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69E7" w:rsidRPr="00C20A77" w:rsidRDefault="00FD69E7" w:rsidP="00FD69E7">
      <w:pPr>
        <w:tabs>
          <w:tab w:val="left" w:pos="4962"/>
        </w:tabs>
        <w:jc w:val="right"/>
        <w:rPr>
          <w:sz w:val="22"/>
        </w:rPr>
      </w:pPr>
      <w:r>
        <w:rPr>
          <w:noProof/>
        </w:rPr>
        <w:drawing>
          <wp:inline distT="0" distB="0" distL="0" distR="0">
            <wp:extent cx="643890" cy="702310"/>
            <wp:effectExtent l="19050" t="0" r="3810" b="0"/>
            <wp:docPr id="2" name="Obraz 1" descr="image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001"/>
                    <pic:cNvPicPr>
                      <a:picLocks noChangeAspect="1" noChangeArrowheads="1"/>
                    </pic:cNvPicPr>
                  </pic:nvPicPr>
                  <pic:blipFill>
                    <a:blip r:embed="rId8"/>
                    <a:srcRect/>
                    <a:stretch>
                      <a:fillRect/>
                    </a:stretch>
                  </pic:blipFill>
                  <pic:spPr bwMode="auto">
                    <a:xfrm>
                      <a:off x="0" y="0"/>
                      <a:ext cx="643890" cy="702310"/>
                    </a:xfrm>
                    <a:prstGeom prst="rect">
                      <a:avLst/>
                    </a:prstGeom>
                    <a:noFill/>
                    <a:ln w="9525">
                      <a:noFill/>
                      <a:miter lim="800000"/>
                      <a:headEnd/>
                      <a:tailEnd/>
                    </a:ln>
                  </pic:spPr>
                </pic:pic>
              </a:graphicData>
            </a:graphic>
          </wp:inline>
        </w:drawing>
      </w:r>
      <w:r>
        <w:t xml:space="preserve">                                           </w:t>
      </w:r>
      <w:r w:rsidRPr="00660D3F">
        <w:rPr>
          <w:sz w:val="22"/>
          <w:szCs w:val="22"/>
        </w:rPr>
        <w:t xml:space="preserve">Warszawa, dnia </w:t>
      </w:r>
      <w:r>
        <w:rPr>
          <w:sz w:val="22"/>
          <w:szCs w:val="22"/>
        </w:rPr>
        <w:t>29 września</w:t>
      </w:r>
      <w:r w:rsidRPr="00660D3F">
        <w:rPr>
          <w:sz w:val="22"/>
          <w:szCs w:val="22"/>
        </w:rPr>
        <w:t xml:space="preserve"> 201</w:t>
      </w:r>
      <w:r w:rsidR="00FD6583">
        <w:rPr>
          <w:sz w:val="22"/>
          <w:szCs w:val="22"/>
        </w:rPr>
        <w:t>4</w:t>
      </w:r>
      <w:r w:rsidRPr="00660D3F">
        <w:rPr>
          <w:sz w:val="22"/>
          <w:szCs w:val="22"/>
        </w:rPr>
        <w:t xml:space="preserve"> r.</w:t>
      </w:r>
    </w:p>
    <w:p w:rsidR="00FD69E7" w:rsidRDefault="00FD69E7" w:rsidP="00FD69E7">
      <w:pPr>
        <w:pStyle w:val="Tekstpodstawowy2"/>
        <w:tabs>
          <w:tab w:val="clear" w:pos="3780"/>
          <w:tab w:val="left" w:pos="4820"/>
        </w:tabs>
        <w:ind w:left="-709" w:right="3780"/>
      </w:pPr>
      <w:r>
        <w:t xml:space="preserve">   PREZES</w:t>
      </w:r>
    </w:p>
    <w:p w:rsidR="00FD69E7" w:rsidRPr="00960C0B" w:rsidRDefault="00FD69E7" w:rsidP="00FD69E7">
      <w:pPr>
        <w:pStyle w:val="Tekstpodstawowy2"/>
        <w:tabs>
          <w:tab w:val="clear" w:pos="3780"/>
          <w:tab w:val="left" w:pos="4536"/>
        </w:tabs>
        <w:ind w:left="-709" w:right="3686"/>
        <w:rPr>
          <w:b w:val="0"/>
          <w:bCs w:val="0"/>
        </w:rPr>
      </w:pPr>
      <w:r>
        <w:t xml:space="preserve">URZĘDU KOMUNIKACJI </w:t>
      </w:r>
      <w:r w:rsidRPr="00960C0B">
        <w:t>ELEKTRONICZNEJ</w:t>
      </w:r>
    </w:p>
    <w:p w:rsidR="00FD69E7" w:rsidRDefault="00FD69E7" w:rsidP="00FD69E7">
      <w:pPr>
        <w:pStyle w:val="Nagwek2"/>
        <w:rPr>
          <w:b w:val="0"/>
          <w:bCs w:val="0"/>
          <w:i/>
          <w:iCs/>
        </w:rPr>
      </w:pPr>
    </w:p>
    <w:p w:rsidR="00FD69E7" w:rsidRDefault="00FD69E7" w:rsidP="00FD69E7">
      <w:pPr>
        <w:pStyle w:val="Nagwek2"/>
        <w:rPr>
          <w:b w:val="0"/>
          <w:i/>
        </w:rPr>
      </w:pPr>
    </w:p>
    <w:p w:rsidR="00FD69E7" w:rsidRPr="00B71511" w:rsidRDefault="007072C7" w:rsidP="00FD69E7">
      <w:pPr>
        <w:pStyle w:val="Tekstpodstawowy"/>
        <w:spacing w:line="240" w:lineRule="auto"/>
        <w:ind w:left="3540" w:firstLine="960"/>
        <w:rPr>
          <w:rFonts w:ascii="Times New Roman" w:hAnsi="Times New Roman" w:cs="Times New Roman"/>
          <w:b/>
          <w:bCs/>
          <w:sz w:val="24"/>
        </w:rPr>
      </w:pPr>
      <w:r>
        <w:rPr>
          <w:rFonts w:ascii="Times New Roman" w:hAnsi="Times New Roman" w:cs="Times New Roman"/>
          <w:b/>
          <w:bCs/>
          <w:sz w:val="24"/>
        </w:rPr>
        <w:t>Orange Polska</w:t>
      </w:r>
      <w:r w:rsidR="00FD69E7">
        <w:rPr>
          <w:rFonts w:ascii="Times New Roman" w:hAnsi="Times New Roman" w:cs="Times New Roman"/>
          <w:b/>
          <w:bCs/>
          <w:sz w:val="24"/>
        </w:rPr>
        <w:t xml:space="preserve"> S.A</w:t>
      </w:r>
      <w:r w:rsidR="00FD69E7" w:rsidRPr="00B71511">
        <w:rPr>
          <w:rFonts w:ascii="Times New Roman" w:hAnsi="Times New Roman" w:cs="Times New Roman"/>
          <w:b/>
          <w:bCs/>
          <w:sz w:val="24"/>
        </w:rPr>
        <w:t>.</w:t>
      </w:r>
    </w:p>
    <w:p w:rsidR="00FD69E7" w:rsidRPr="00B71511" w:rsidRDefault="007072C7" w:rsidP="00FD69E7">
      <w:pPr>
        <w:pStyle w:val="Tekstpodstawowy"/>
        <w:spacing w:line="240" w:lineRule="auto"/>
        <w:ind w:left="3540" w:firstLine="960"/>
        <w:rPr>
          <w:rFonts w:ascii="Times New Roman" w:hAnsi="Times New Roman" w:cs="Times New Roman"/>
          <w:bCs/>
          <w:sz w:val="24"/>
        </w:rPr>
      </w:pPr>
      <w:r>
        <w:rPr>
          <w:rFonts w:ascii="Times New Roman" w:hAnsi="Times New Roman" w:cs="Times New Roman"/>
          <w:bCs/>
          <w:sz w:val="24"/>
        </w:rPr>
        <w:t>Al. Jerozolimskie 160</w:t>
      </w:r>
    </w:p>
    <w:p w:rsidR="00FD69E7" w:rsidRPr="00B71511" w:rsidRDefault="007072C7" w:rsidP="00FD69E7">
      <w:pPr>
        <w:pStyle w:val="Tekstpodstawowy"/>
        <w:spacing w:line="240" w:lineRule="auto"/>
        <w:ind w:left="3540" w:firstLine="960"/>
        <w:rPr>
          <w:rFonts w:ascii="Times New Roman" w:hAnsi="Times New Roman" w:cs="Times New Roman"/>
          <w:bCs/>
          <w:sz w:val="24"/>
        </w:rPr>
      </w:pPr>
      <w:r>
        <w:rPr>
          <w:rFonts w:ascii="Times New Roman" w:hAnsi="Times New Roman" w:cs="Times New Roman"/>
          <w:bCs/>
          <w:sz w:val="24"/>
        </w:rPr>
        <w:t>02</w:t>
      </w:r>
      <w:r w:rsidR="00FD69E7" w:rsidRPr="00B71511">
        <w:rPr>
          <w:rFonts w:ascii="Times New Roman" w:hAnsi="Times New Roman" w:cs="Times New Roman"/>
          <w:bCs/>
          <w:sz w:val="24"/>
        </w:rPr>
        <w:t>-</w:t>
      </w:r>
      <w:r>
        <w:rPr>
          <w:rFonts w:ascii="Times New Roman" w:hAnsi="Times New Roman" w:cs="Times New Roman"/>
          <w:bCs/>
          <w:sz w:val="24"/>
        </w:rPr>
        <w:t>326</w:t>
      </w:r>
      <w:r w:rsidR="00FD69E7">
        <w:rPr>
          <w:rFonts w:ascii="Times New Roman" w:hAnsi="Times New Roman" w:cs="Times New Roman"/>
          <w:bCs/>
          <w:sz w:val="24"/>
        </w:rPr>
        <w:t xml:space="preserve"> Warszawa</w:t>
      </w:r>
    </w:p>
    <w:p w:rsidR="00FD69E7" w:rsidRPr="00B71511" w:rsidRDefault="00FD69E7" w:rsidP="00FD69E7">
      <w:pPr>
        <w:pStyle w:val="Tekstpodstawowy"/>
        <w:spacing w:line="240" w:lineRule="auto"/>
        <w:ind w:left="4860" w:firstLine="960"/>
        <w:rPr>
          <w:rFonts w:ascii="Times New Roman" w:hAnsi="Times New Roman" w:cs="Times New Roman"/>
          <w:b/>
          <w:bCs/>
          <w:sz w:val="24"/>
        </w:rPr>
      </w:pPr>
    </w:p>
    <w:p w:rsidR="00FD69E7" w:rsidRPr="00B71511" w:rsidRDefault="00FD69E7" w:rsidP="00FD69E7">
      <w:pPr>
        <w:pStyle w:val="Tekstpodstawowy"/>
        <w:spacing w:line="240" w:lineRule="auto"/>
        <w:ind w:left="4500"/>
        <w:jc w:val="left"/>
        <w:rPr>
          <w:rFonts w:ascii="Times New Roman" w:hAnsi="Times New Roman" w:cs="Times New Roman"/>
          <w:b/>
          <w:bCs/>
          <w:sz w:val="24"/>
        </w:rPr>
      </w:pPr>
      <w:r>
        <w:rPr>
          <w:rFonts w:ascii="Times New Roman" w:hAnsi="Times New Roman" w:cs="Times New Roman"/>
          <w:b/>
          <w:bCs/>
          <w:sz w:val="24"/>
        </w:rPr>
        <w:t>Netia S.A.</w:t>
      </w:r>
    </w:p>
    <w:p w:rsidR="00FD69E7" w:rsidRPr="00B71511" w:rsidRDefault="00FD69E7" w:rsidP="00FD69E7">
      <w:pPr>
        <w:pStyle w:val="Tekstpodstawowy"/>
        <w:spacing w:line="240" w:lineRule="auto"/>
        <w:ind w:left="4860" w:hanging="360"/>
        <w:rPr>
          <w:rFonts w:ascii="Times New Roman" w:hAnsi="Times New Roman" w:cs="Times New Roman"/>
          <w:bCs/>
          <w:sz w:val="24"/>
        </w:rPr>
      </w:pPr>
      <w:r w:rsidRPr="00B71511">
        <w:rPr>
          <w:rFonts w:ascii="Times New Roman" w:hAnsi="Times New Roman" w:cs="Times New Roman"/>
          <w:bCs/>
          <w:sz w:val="24"/>
        </w:rPr>
        <w:t xml:space="preserve">ul. </w:t>
      </w:r>
      <w:r>
        <w:rPr>
          <w:rFonts w:ascii="Times New Roman" w:hAnsi="Times New Roman" w:cs="Times New Roman"/>
          <w:bCs/>
          <w:sz w:val="24"/>
        </w:rPr>
        <w:t>Taśmowa 7a</w:t>
      </w:r>
    </w:p>
    <w:p w:rsidR="00FD69E7" w:rsidRPr="00B71511" w:rsidRDefault="00FD69E7" w:rsidP="00FD69E7">
      <w:pPr>
        <w:pStyle w:val="Tekstpodstawowy"/>
        <w:spacing w:line="240" w:lineRule="auto"/>
        <w:ind w:left="4860" w:hanging="360"/>
        <w:rPr>
          <w:rFonts w:ascii="Times New Roman" w:hAnsi="Times New Roman" w:cs="Times New Roman"/>
          <w:bCs/>
          <w:sz w:val="24"/>
        </w:rPr>
      </w:pPr>
      <w:r>
        <w:rPr>
          <w:rFonts w:ascii="Times New Roman" w:hAnsi="Times New Roman" w:cs="Times New Roman"/>
          <w:bCs/>
          <w:sz w:val="24"/>
        </w:rPr>
        <w:t>02-677</w:t>
      </w:r>
      <w:r w:rsidRPr="00B71511">
        <w:rPr>
          <w:rFonts w:ascii="Times New Roman" w:hAnsi="Times New Roman" w:cs="Times New Roman"/>
          <w:bCs/>
          <w:sz w:val="24"/>
        </w:rPr>
        <w:t xml:space="preserve"> Warszawa</w:t>
      </w:r>
    </w:p>
    <w:p w:rsidR="00E1742D" w:rsidRPr="0052654C" w:rsidRDefault="00203DFD" w:rsidP="00E1742D">
      <w:pPr>
        <w:spacing w:before="120" w:line="312" w:lineRule="auto"/>
        <w:jc w:val="center"/>
        <w:rPr>
          <w:b/>
          <w:bCs/>
        </w:rPr>
      </w:pPr>
      <w:r>
        <w:rPr>
          <w:b/>
          <w:bCs/>
        </w:rPr>
        <w:t>DECYZJA DHRT-</w:t>
      </w:r>
      <w:r w:rsidRPr="00D7189F">
        <w:rPr>
          <w:b/>
          <w:bCs/>
        </w:rPr>
        <w:t>WWM-6080-</w:t>
      </w:r>
      <w:r>
        <w:rPr>
          <w:b/>
          <w:bCs/>
        </w:rPr>
        <w:t xml:space="preserve">97/12 </w:t>
      </w:r>
      <w:r w:rsidRPr="00D7189F">
        <w:rPr>
          <w:b/>
          <w:bCs/>
        </w:rPr>
        <w:t>(</w:t>
      </w:r>
      <w:r w:rsidR="00DE0C20">
        <w:rPr>
          <w:b/>
          <w:bCs/>
        </w:rPr>
        <w:t>67</w:t>
      </w:r>
      <w:r w:rsidRPr="00D7189F">
        <w:rPr>
          <w:b/>
          <w:bCs/>
        </w:rPr>
        <w:t>)</w:t>
      </w:r>
    </w:p>
    <w:p w:rsidR="00203DFD" w:rsidRDefault="00203DFD" w:rsidP="00CD755F">
      <w:pPr>
        <w:pStyle w:val="Tekstpodstawowybb1"/>
        <w:spacing w:before="120" w:after="120"/>
        <w:rPr>
          <w:rFonts w:ascii="Times New Roman" w:hAnsi="Times New Roman" w:cs="Times New Roman"/>
        </w:rPr>
      </w:pPr>
      <w:r w:rsidRPr="00CD755F">
        <w:rPr>
          <w:rFonts w:ascii="Times New Roman" w:hAnsi="Times New Roman" w:cs="Times New Roman"/>
        </w:rPr>
        <w:t xml:space="preserve">Na podstawie art. 28 ust. 1 w związku z art. 30 ust. 1 ustawy z dnia 16 lipca </w:t>
      </w:r>
      <w:r>
        <w:rPr>
          <w:rFonts w:ascii="Times New Roman" w:hAnsi="Times New Roman" w:cs="Times New Roman"/>
        </w:rPr>
        <w:br/>
      </w:r>
      <w:r w:rsidRPr="00CD755F">
        <w:rPr>
          <w:rFonts w:ascii="Times New Roman" w:hAnsi="Times New Roman" w:cs="Times New Roman"/>
        </w:rPr>
        <w:t>2004 r. Prawo telekomunikacyjne (Dz. U. z 20</w:t>
      </w:r>
      <w:r>
        <w:rPr>
          <w:rFonts w:ascii="Times New Roman" w:hAnsi="Times New Roman" w:cs="Times New Roman"/>
        </w:rPr>
        <w:t>1</w:t>
      </w:r>
      <w:r w:rsidRPr="00CD755F">
        <w:rPr>
          <w:rFonts w:ascii="Times New Roman" w:hAnsi="Times New Roman" w:cs="Times New Roman"/>
        </w:rPr>
        <w:t xml:space="preserve">4 r., poz. </w:t>
      </w:r>
      <w:r>
        <w:rPr>
          <w:rFonts w:ascii="Times New Roman" w:hAnsi="Times New Roman" w:cs="Times New Roman"/>
        </w:rPr>
        <w:t xml:space="preserve">243, zwanej dalej „Pt”) oraz </w:t>
      </w:r>
      <w:r w:rsidRPr="00CD755F">
        <w:rPr>
          <w:rFonts w:ascii="Times New Roman" w:hAnsi="Times New Roman" w:cs="Times New Roman"/>
        </w:rPr>
        <w:t xml:space="preserve">art. 104 § 1 ustawy z dnia </w:t>
      </w:r>
      <w:smartTag w:uri="urn:schemas-microsoft-com:office:smarttags" w:element="metricconverter">
        <w:smartTagPr>
          <w:attr w:name="ProductID" w:val="5 Pt"/>
        </w:smartTagPr>
        <w:r w:rsidRPr="00CD755F">
          <w:rPr>
            <w:rFonts w:ascii="Times New Roman" w:hAnsi="Times New Roman" w:cs="Times New Roman"/>
          </w:rPr>
          <w:t>14 czerwca 19</w:t>
        </w:r>
      </w:smartTag>
      <w:r w:rsidRPr="00CD755F">
        <w:rPr>
          <w:rFonts w:ascii="Times New Roman" w:hAnsi="Times New Roman" w:cs="Times New Roman"/>
        </w:rPr>
        <w:t>60 r. – Kodeks postępowania administracyjnego (tekst jednolity Dz. U. z 20</w:t>
      </w:r>
      <w:r>
        <w:rPr>
          <w:rFonts w:ascii="Times New Roman" w:hAnsi="Times New Roman" w:cs="Times New Roman"/>
        </w:rPr>
        <w:t>13</w:t>
      </w:r>
      <w:r w:rsidRPr="00CD755F">
        <w:rPr>
          <w:rFonts w:ascii="Times New Roman" w:hAnsi="Times New Roman" w:cs="Times New Roman"/>
        </w:rPr>
        <w:t xml:space="preserve"> r., poz. </w:t>
      </w:r>
      <w:r>
        <w:rPr>
          <w:rFonts w:ascii="Times New Roman" w:hAnsi="Times New Roman" w:cs="Times New Roman"/>
        </w:rPr>
        <w:t>267</w:t>
      </w:r>
      <w:r w:rsidRPr="00CD755F">
        <w:rPr>
          <w:rFonts w:ascii="Times New Roman" w:hAnsi="Times New Roman" w:cs="Times New Roman"/>
        </w:rPr>
        <w:t xml:space="preserve">, z późn. zm., zwanej dalej „kpa”) w związku z art. 206 ust. </w:t>
      </w:r>
      <w:smartTag w:uri="urn:schemas-microsoft-com:office:smarttags" w:element="metricconverter">
        <w:smartTagPr>
          <w:attr w:name="ProductID" w:val="5 Pt"/>
        </w:smartTagPr>
        <w:r w:rsidRPr="00CD755F">
          <w:rPr>
            <w:rFonts w:ascii="Times New Roman" w:hAnsi="Times New Roman" w:cs="Times New Roman"/>
          </w:rPr>
          <w:t>1 Pt</w:t>
        </w:r>
      </w:smartTag>
      <w:r w:rsidRPr="00CD755F">
        <w:rPr>
          <w:rFonts w:ascii="Times New Roman" w:hAnsi="Times New Roman" w:cs="Times New Roman"/>
          <w:color w:val="000000"/>
        </w:rPr>
        <w:t xml:space="preserve">, po rozpatrzeniu wniosku </w:t>
      </w:r>
      <w:r>
        <w:rPr>
          <w:rFonts w:ascii="Times New Roman" w:hAnsi="Times New Roman" w:cs="Times New Roman"/>
          <w:color w:val="000000"/>
        </w:rPr>
        <w:t>Orange</w:t>
      </w:r>
      <w:r>
        <w:rPr>
          <w:rFonts w:ascii="Times New Roman" w:hAnsi="Times New Roman" w:cs="Times New Roman"/>
          <w:color w:val="000000"/>
        </w:rPr>
        <w:br/>
        <w:t xml:space="preserve">Polska S.A. z siedzibą w Warszawie (dawniej: </w:t>
      </w:r>
      <w:r w:rsidRPr="00CD755F">
        <w:rPr>
          <w:rFonts w:ascii="Times New Roman" w:hAnsi="Times New Roman" w:cs="Times New Roman"/>
        </w:rPr>
        <w:t>Telekomunikacj</w:t>
      </w:r>
      <w:r>
        <w:rPr>
          <w:rFonts w:ascii="Times New Roman" w:hAnsi="Times New Roman" w:cs="Times New Roman"/>
        </w:rPr>
        <w:t>a</w:t>
      </w:r>
      <w:r w:rsidRPr="00CD755F">
        <w:rPr>
          <w:rFonts w:ascii="Times New Roman" w:hAnsi="Times New Roman" w:cs="Times New Roman"/>
        </w:rPr>
        <w:t xml:space="preserve"> Polsk</w:t>
      </w:r>
      <w:r>
        <w:rPr>
          <w:rFonts w:ascii="Times New Roman" w:hAnsi="Times New Roman" w:cs="Times New Roman"/>
        </w:rPr>
        <w:t>a</w:t>
      </w:r>
      <w:r w:rsidRPr="00CD755F">
        <w:rPr>
          <w:rFonts w:ascii="Times New Roman" w:hAnsi="Times New Roman" w:cs="Times New Roman"/>
        </w:rPr>
        <w:t xml:space="preserve"> S.A.</w:t>
      </w:r>
      <w:r>
        <w:rPr>
          <w:rFonts w:ascii="Times New Roman" w:hAnsi="Times New Roman" w:cs="Times New Roman"/>
        </w:rPr>
        <w:br/>
      </w:r>
      <w:r w:rsidRPr="00CD755F">
        <w:rPr>
          <w:rFonts w:ascii="Times New Roman" w:hAnsi="Times New Roman" w:cs="Times New Roman"/>
        </w:rPr>
        <w:t>z siedzibą w Warszawie (zwanej dalej „</w:t>
      </w:r>
      <w:r>
        <w:rPr>
          <w:rFonts w:ascii="Times New Roman" w:hAnsi="Times New Roman" w:cs="Times New Roman"/>
        </w:rPr>
        <w:t>OPL</w:t>
      </w:r>
      <w:r w:rsidRPr="00CD755F">
        <w:rPr>
          <w:rFonts w:ascii="Times New Roman" w:hAnsi="Times New Roman" w:cs="Times New Roman"/>
        </w:rPr>
        <w:t>”</w:t>
      </w:r>
      <w:r>
        <w:rPr>
          <w:rFonts w:ascii="Times New Roman" w:hAnsi="Times New Roman" w:cs="Times New Roman"/>
        </w:rPr>
        <w:t xml:space="preserve"> lub „TP”</w:t>
      </w:r>
      <w:r w:rsidRPr="00CD755F">
        <w:rPr>
          <w:rFonts w:ascii="Times New Roman" w:hAnsi="Times New Roman" w:cs="Times New Roman"/>
        </w:rPr>
        <w:t>)</w:t>
      </w:r>
      <w:r>
        <w:rPr>
          <w:rFonts w:ascii="Times New Roman" w:hAnsi="Times New Roman" w:cs="Times New Roman"/>
          <w:color w:val="000000"/>
        </w:rPr>
        <w:t xml:space="preserve"> z dnia 4 grudnia 2012 r., zmodyfikowanego pismem OPL z dnia 10 maja 2013 r., o </w:t>
      </w:r>
      <w:r w:rsidRPr="00CD755F">
        <w:rPr>
          <w:rFonts w:ascii="Times New Roman" w:hAnsi="Times New Roman" w:cs="Times New Roman"/>
          <w:color w:val="000000"/>
        </w:rPr>
        <w:t>wydanie decyzji</w:t>
      </w:r>
      <w:r>
        <w:rPr>
          <w:rFonts w:ascii="Times New Roman" w:hAnsi="Times New Roman" w:cs="Times New Roman"/>
          <w:color w:val="000000"/>
        </w:rPr>
        <w:br/>
      </w:r>
      <w:r>
        <w:rPr>
          <w:rFonts w:ascii="Times New Roman" w:hAnsi="Times New Roman" w:cs="Times New Roman"/>
        </w:rPr>
        <w:t>o</w:t>
      </w:r>
      <w:r w:rsidRPr="00CD755F">
        <w:rPr>
          <w:rFonts w:ascii="Times New Roman" w:hAnsi="Times New Roman" w:cs="Times New Roman"/>
        </w:rPr>
        <w:t xml:space="preserve"> dostęp</w:t>
      </w:r>
      <w:r>
        <w:rPr>
          <w:rFonts w:ascii="Times New Roman" w:hAnsi="Times New Roman" w:cs="Times New Roman"/>
        </w:rPr>
        <w:t>ie</w:t>
      </w:r>
      <w:r w:rsidRPr="00CD755F">
        <w:rPr>
          <w:rFonts w:ascii="Times New Roman" w:hAnsi="Times New Roman" w:cs="Times New Roman"/>
        </w:rPr>
        <w:t xml:space="preserve"> telekomunikacyjn</w:t>
      </w:r>
      <w:r>
        <w:rPr>
          <w:rFonts w:ascii="Times New Roman" w:hAnsi="Times New Roman" w:cs="Times New Roman"/>
        </w:rPr>
        <w:t>ym</w:t>
      </w:r>
      <w:r w:rsidRPr="00CD755F">
        <w:rPr>
          <w:rFonts w:ascii="Times New Roman" w:hAnsi="Times New Roman" w:cs="Times New Roman"/>
        </w:rPr>
        <w:t xml:space="preserve"> w oparciu o </w:t>
      </w:r>
      <w:r>
        <w:rPr>
          <w:rFonts w:ascii="Times New Roman" w:hAnsi="Times New Roman" w:cs="Times New Roman"/>
        </w:rPr>
        <w:t>„</w:t>
      </w:r>
      <w:r w:rsidRPr="00CD755F">
        <w:rPr>
          <w:rFonts w:ascii="Times New Roman" w:hAnsi="Times New Roman" w:cs="Times New Roman"/>
        </w:rPr>
        <w:t>Ofertę Ramową określającą ramowe warunki dostępu telekomunikac</w:t>
      </w:r>
      <w:r>
        <w:rPr>
          <w:rFonts w:ascii="Times New Roman" w:hAnsi="Times New Roman" w:cs="Times New Roman"/>
        </w:rPr>
        <w:t xml:space="preserve">yjnego w zakresie rozpoczynania </w:t>
      </w:r>
      <w:r w:rsidRPr="00CD755F">
        <w:rPr>
          <w:rFonts w:ascii="Times New Roman" w:hAnsi="Times New Roman" w:cs="Times New Roman"/>
        </w:rPr>
        <w:t>i zakańczania połączeń, hurtowe</w:t>
      </w:r>
      <w:r>
        <w:rPr>
          <w:rFonts w:ascii="Times New Roman" w:hAnsi="Times New Roman" w:cs="Times New Roman"/>
        </w:rPr>
        <w:t xml:space="preserve">go dostępu do sieci OPL, dostępu </w:t>
      </w:r>
      <w:r w:rsidRPr="00CD755F">
        <w:rPr>
          <w:rFonts w:ascii="Times New Roman" w:hAnsi="Times New Roman" w:cs="Times New Roman"/>
        </w:rPr>
        <w:t>do łączy abonenckich w sposób zapewniający dostęp p</w:t>
      </w:r>
      <w:r>
        <w:rPr>
          <w:rFonts w:ascii="Times New Roman" w:hAnsi="Times New Roman" w:cs="Times New Roman"/>
        </w:rPr>
        <w:t xml:space="preserve">ełny lub współdzielony, dostępu </w:t>
      </w:r>
      <w:r w:rsidRPr="00CD755F">
        <w:rPr>
          <w:rFonts w:ascii="Times New Roman" w:hAnsi="Times New Roman" w:cs="Times New Roman"/>
        </w:rPr>
        <w:t xml:space="preserve">do łączy abonenckich poprzez </w:t>
      </w:r>
      <w:r>
        <w:rPr>
          <w:rFonts w:ascii="Times New Roman" w:hAnsi="Times New Roman" w:cs="Times New Roman"/>
        </w:rPr>
        <w:t xml:space="preserve">węzły sieci telekomunikacyjnej </w:t>
      </w:r>
      <w:r w:rsidRPr="00CD755F">
        <w:rPr>
          <w:rFonts w:ascii="Times New Roman" w:hAnsi="Times New Roman" w:cs="Times New Roman"/>
        </w:rPr>
        <w:t>na potrzeby sprzedaży usług szerokopasmowej transmisji danych</w:t>
      </w:r>
      <w:r>
        <w:rPr>
          <w:rFonts w:ascii="Times New Roman" w:hAnsi="Times New Roman" w:cs="Times New Roman"/>
        </w:rPr>
        <w:t>”</w:t>
      </w:r>
      <w:r w:rsidRPr="00CD755F">
        <w:rPr>
          <w:rFonts w:ascii="Times New Roman" w:hAnsi="Times New Roman" w:cs="Times New Roman"/>
        </w:rPr>
        <w:t>, za</w:t>
      </w:r>
      <w:r>
        <w:rPr>
          <w:rFonts w:ascii="Times New Roman" w:hAnsi="Times New Roman" w:cs="Times New Roman"/>
        </w:rPr>
        <w:t xml:space="preserve">twierdzoną decyzją Prezesa </w:t>
      </w:r>
      <w:r w:rsidR="003565CD">
        <w:rPr>
          <w:rFonts w:ascii="Times New Roman" w:hAnsi="Times New Roman" w:cs="Times New Roman"/>
        </w:rPr>
        <w:t xml:space="preserve">Urzędu Komunikacji Elektronicznej (zwanego dalej „Prezesem UKE”) </w:t>
      </w:r>
      <w:r w:rsidRPr="00CD755F">
        <w:rPr>
          <w:rFonts w:ascii="Times New Roman" w:hAnsi="Times New Roman" w:cs="Times New Roman"/>
        </w:rPr>
        <w:t xml:space="preserve">z dnia </w:t>
      </w:r>
      <w:r>
        <w:rPr>
          <w:rFonts w:ascii="Times New Roman" w:hAnsi="Times New Roman" w:cs="Times New Roman"/>
        </w:rPr>
        <w:t>29 września 2010 r.,</w:t>
      </w:r>
      <w:r w:rsidRPr="00165751">
        <w:t xml:space="preserve"> </w:t>
      </w:r>
      <w:r w:rsidRPr="00165751">
        <w:rPr>
          <w:rFonts w:ascii="Times New Roman" w:hAnsi="Times New Roman" w:cs="Times New Roman"/>
        </w:rPr>
        <w:t>zmienioną następnie decyzjami Prezesa UKE</w:t>
      </w:r>
      <w:r w:rsidR="00D64DB8">
        <w:rPr>
          <w:rFonts w:ascii="Times New Roman" w:hAnsi="Times New Roman" w:cs="Times New Roman"/>
        </w:rPr>
        <w:t>:</w:t>
      </w:r>
      <w:r w:rsidRPr="00165751">
        <w:rPr>
          <w:rFonts w:ascii="Times New Roman" w:hAnsi="Times New Roman" w:cs="Times New Roman"/>
        </w:rPr>
        <w:t xml:space="preserve"> z dnia 5 kwietnia 2011 r.</w:t>
      </w:r>
      <w:r>
        <w:rPr>
          <w:rFonts w:ascii="Times New Roman" w:hAnsi="Times New Roman" w:cs="Times New Roman"/>
        </w:rPr>
        <w:t xml:space="preserve">, </w:t>
      </w:r>
      <w:r w:rsidR="0058730E">
        <w:rPr>
          <w:rFonts w:ascii="Times New Roman" w:hAnsi="Times New Roman" w:cs="Times New Roman"/>
        </w:rPr>
        <w:br/>
      </w:r>
      <w:r w:rsidRPr="00165751">
        <w:rPr>
          <w:rFonts w:ascii="Times New Roman" w:hAnsi="Times New Roman" w:cs="Times New Roman"/>
        </w:rPr>
        <w:t>z dnia 4 października 2011 r., z dnia 3 marca 2014 r., z dnia 26 maja 2014 r., z dnia 30 maja 2014 r.</w:t>
      </w:r>
      <w:r>
        <w:rPr>
          <w:rFonts w:ascii="Times New Roman" w:hAnsi="Times New Roman" w:cs="Times New Roman"/>
        </w:rPr>
        <w:t>,</w:t>
      </w:r>
      <w:r w:rsidRPr="00165751">
        <w:rPr>
          <w:rFonts w:ascii="Times New Roman" w:hAnsi="Times New Roman" w:cs="Times New Roman"/>
        </w:rPr>
        <w:t xml:space="preserve"> z dnia 2 czerwca 2014 r.</w:t>
      </w:r>
      <w:r>
        <w:rPr>
          <w:rFonts w:ascii="Times New Roman" w:hAnsi="Times New Roman" w:cs="Times New Roman"/>
        </w:rPr>
        <w:t xml:space="preserve"> oraz z dnia 18 czerwca 2013 r. </w:t>
      </w:r>
      <w:r w:rsidRPr="00CD755F">
        <w:rPr>
          <w:rFonts w:ascii="Times New Roman" w:hAnsi="Times New Roman" w:cs="Times New Roman"/>
        </w:rPr>
        <w:t>(zwaną dalej „</w:t>
      </w:r>
      <w:r>
        <w:rPr>
          <w:rFonts w:ascii="Times New Roman" w:hAnsi="Times New Roman" w:cs="Times New Roman"/>
        </w:rPr>
        <w:t xml:space="preserve">Ofertą </w:t>
      </w:r>
      <w:r w:rsidRPr="00CD755F">
        <w:rPr>
          <w:rFonts w:ascii="Times New Roman" w:hAnsi="Times New Roman" w:cs="Times New Roman"/>
        </w:rPr>
        <w:t xml:space="preserve">SOR”), </w:t>
      </w:r>
      <w:r>
        <w:rPr>
          <w:rFonts w:ascii="Times New Roman" w:hAnsi="Times New Roman" w:cs="Times New Roman"/>
        </w:rPr>
        <w:t xml:space="preserve">regulującej warunki współpracy określone uprzednio </w:t>
      </w:r>
      <w:r w:rsidR="0058730E">
        <w:rPr>
          <w:rFonts w:ascii="Times New Roman" w:hAnsi="Times New Roman" w:cs="Times New Roman"/>
        </w:rPr>
        <w:br/>
      </w:r>
      <w:r>
        <w:rPr>
          <w:rFonts w:ascii="Times New Roman" w:hAnsi="Times New Roman" w:cs="Times New Roman"/>
        </w:rPr>
        <w:t xml:space="preserve">w </w:t>
      </w:r>
      <w:r w:rsidRPr="00CD755F">
        <w:rPr>
          <w:rFonts w:ascii="Times New Roman" w:hAnsi="Times New Roman" w:cs="Times New Roman"/>
        </w:rPr>
        <w:t>następując</w:t>
      </w:r>
      <w:r>
        <w:rPr>
          <w:rFonts w:ascii="Times New Roman" w:hAnsi="Times New Roman" w:cs="Times New Roman"/>
        </w:rPr>
        <w:t>ych</w:t>
      </w:r>
      <w:r w:rsidRPr="00CD755F">
        <w:rPr>
          <w:rFonts w:ascii="Times New Roman" w:hAnsi="Times New Roman" w:cs="Times New Roman"/>
        </w:rPr>
        <w:t xml:space="preserve"> umow</w:t>
      </w:r>
      <w:r>
        <w:rPr>
          <w:rFonts w:ascii="Times New Roman" w:hAnsi="Times New Roman" w:cs="Times New Roman"/>
        </w:rPr>
        <w:t>ach,</w:t>
      </w:r>
      <w:r w:rsidRPr="00CD755F">
        <w:rPr>
          <w:rFonts w:ascii="Times New Roman" w:hAnsi="Times New Roman" w:cs="Times New Roman"/>
        </w:rPr>
        <w:t xml:space="preserve"> porozumi</w:t>
      </w:r>
      <w:r>
        <w:rPr>
          <w:rFonts w:ascii="Times New Roman" w:hAnsi="Times New Roman" w:cs="Times New Roman"/>
        </w:rPr>
        <w:t xml:space="preserve">eniach i decyzjach zawartych pomiędzy OPL </w:t>
      </w:r>
      <w:r w:rsidR="0058730E">
        <w:rPr>
          <w:rFonts w:ascii="Times New Roman" w:hAnsi="Times New Roman" w:cs="Times New Roman"/>
        </w:rPr>
        <w:br/>
      </w:r>
      <w:r>
        <w:rPr>
          <w:rFonts w:ascii="Times New Roman" w:hAnsi="Times New Roman" w:cs="Times New Roman"/>
        </w:rPr>
        <w:t xml:space="preserve">i Netią S.A. </w:t>
      </w:r>
      <w:r w:rsidRPr="00CD755F">
        <w:rPr>
          <w:rFonts w:ascii="Times New Roman" w:hAnsi="Times New Roman" w:cs="Times New Roman"/>
        </w:rPr>
        <w:t>z siedzibą w Wa</w:t>
      </w:r>
      <w:r>
        <w:rPr>
          <w:rFonts w:ascii="Times New Roman" w:hAnsi="Times New Roman" w:cs="Times New Roman"/>
        </w:rPr>
        <w:t>rszawie (zwaną dalej „Netią</w:t>
      </w:r>
      <w:r w:rsidRPr="00CD755F">
        <w:rPr>
          <w:rFonts w:ascii="Times New Roman" w:hAnsi="Times New Roman" w:cs="Times New Roman"/>
        </w:rPr>
        <w:t>”):</w:t>
      </w:r>
    </w:p>
    <w:p w:rsidR="00203DFD" w:rsidRDefault="00203DFD" w:rsidP="003565CD">
      <w:pPr>
        <w:numPr>
          <w:ilvl w:val="5"/>
          <w:numId w:val="3"/>
        </w:numPr>
        <w:tabs>
          <w:tab w:val="num" w:pos="709"/>
        </w:tabs>
        <w:overflowPunct w:val="0"/>
        <w:autoSpaceDE w:val="0"/>
        <w:autoSpaceDN w:val="0"/>
        <w:adjustRightInd w:val="0"/>
        <w:spacing w:after="120"/>
        <w:ind w:left="709" w:hanging="431"/>
        <w:jc w:val="both"/>
        <w:textAlignment w:val="baseline"/>
      </w:pPr>
      <w:r w:rsidRPr="00770D71">
        <w:t>Umow</w:t>
      </w:r>
      <w:r>
        <w:t>ie</w:t>
      </w:r>
      <w:r w:rsidRPr="00770D71">
        <w:t xml:space="preserve"> o </w:t>
      </w:r>
      <w:r w:rsidR="00B47A05">
        <w:t>p</w:t>
      </w:r>
      <w:r w:rsidRPr="00770D71">
        <w:t xml:space="preserve">ołączeniu </w:t>
      </w:r>
      <w:r w:rsidR="00B47A05">
        <w:t>s</w:t>
      </w:r>
      <w:r w:rsidRPr="00770D71">
        <w:t>ieci o Nr POS/K-15</w:t>
      </w:r>
      <w:r>
        <w:t xml:space="preserve">81 z dnia 30 czerwca </w:t>
      </w:r>
      <w:r>
        <w:br/>
        <w:t>2007 r.</w:t>
      </w:r>
      <w:r w:rsidRPr="00280328">
        <w:t xml:space="preserve"> </w:t>
      </w:r>
      <w:r>
        <w:t>zmienionej następnie Aneksem nr 1 z dnia 21 listopada 2007 r., Aneksem nr 2 z dnia 15 kwietnia 2008 r.,</w:t>
      </w:r>
      <w:r w:rsidRPr="00280328">
        <w:t xml:space="preserve"> </w:t>
      </w:r>
      <w:r>
        <w:t xml:space="preserve">Porozumieniem z dnia 3 czerwca 2009 r., Załącznikiem nr 31 z dnia 4 czerwca 2009 r., Porozumieniem z dnia 3 czerwca 2009 r., Aneksem nr 3 z dnia 16 lutego 2010 r., Aneksem Nr 4 </w:t>
      </w:r>
      <w:r w:rsidR="00B47A05">
        <w:br/>
      </w:r>
      <w:r>
        <w:t xml:space="preserve">z dnia 22 września 2011 r., Porozumieniem z dnia 31 października 2013 r. oraz decyzjami Prezesa UKE: nr DHRT-WWM-60600-9/08(24) z dnia </w:t>
      </w:r>
      <w:r w:rsidR="00B47A05">
        <w:br/>
      </w:r>
      <w:r>
        <w:t>20 maja 2008 r., nr DHRT-WWM-60600-127/08(20)</w:t>
      </w:r>
      <w:r w:rsidRPr="00AC28C4">
        <w:t xml:space="preserve"> </w:t>
      </w:r>
      <w:r>
        <w:t xml:space="preserve">z dnia 20 lutego </w:t>
      </w:r>
      <w:r w:rsidR="00B47A05">
        <w:br/>
      </w:r>
      <w:r>
        <w:t>2009 r., nr DHRT-WWM-60600-177/08(27)</w:t>
      </w:r>
      <w:r w:rsidRPr="00AC28C4">
        <w:t xml:space="preserve"> </w:t>
      </w:r>
      <w:r>
        <w:t xml:space="preserve">z dnia 10 sierpnia 2009 r., </w:t>
      </w:r>
      <w:r w:rsidR="00B47A05">
        <w:br/>
      </w:r>
      <w:r>
        <w:t>nr DHRT-WWM-6080-85/11(28)</w:t>
      </w:r>
      <w:r w:rsidRPr="00AC28C4">
        <w:t xml:space="preserve"> </w:t>
      </w:r>
      <w:r>
        <w:t>z dnia 13 stycznia 2012 r., nr DHRT-WWM-6080-113/11(25)</w:t>
      </w:r>
      <w:r w:rsidRPr="00AC28C4">
        <w:t xml:space="preserve"> </w:t>
      </w:r>
      <w:r>
        <w:t>z dnia 21 czerwca 2012 r.;</w:t>
      </w:r>
    </w:p>
    <w:p w:rsidR="00203DFD" w:rsidRDefault="00203DFD" w:rsidP="003565CD">
      <w:pPr>
        <w:numPr>
          <w:ilvl w:val="5"/>
          <w:numId w:val="4"/>
        </w:numPr>
        <w:tabs>
          <w:tab w:val="num" w:pos="709"/>
        </w:tabs>
        <w:overflowPunct w:val="0"/>
        <w:autoSpaceDE w:val="0"/>
        <w:autoSpaceDN w:val="0"/>
        <w:adjustRightInd w:val="0"/>
        <w:spacing w:after="120"/>
        <w:ind w:left="709" w:hanging="431"/>
        <w:jc w:val="both"/>
        <w:textAlignment w:val="baseline"/>
      </w:pPr>
      <w:r w:rsidRPr="00770D71">
        <w:lastRenderedPageBreak/>
        <w:t>Umow</w:t>
      </w:r>
      <w:r>
        <w:t>ie</w:t>
      </w:r>
      <w:r w:rsidR="008F75B1">
        <w:t xml:space="preserve"> o p</w:t>
      </w:r>
      <w:r w:rsidRPr="00770D71">
        <w:t xml:space="preserve">ołączeniu </w:t>
      </w:r>
      <w:r w:rsidR="008F75B1">
        <w:t>s</w:t>
      </w:r>
      <w:r w:rsidRPr="00770D71">
        <w:t>ieci z dnia 19 grudnia 2002 r</w:t>
      </w:r>
      <w:r>
        <w:t>.</w:t>
      </w:r>
      <w:r w:rsidRPr="00EA5A6A">
        <w:t xml:space="preserve"> </w:t>
      </w:r>
      <w:r>
        <w:t xml:space="preserve">zmienionej następnie Aneksem nr 1 z dnia 19 grudnia 2002 r., Aneksem nr 2 z dnia </w:t>
      </w:r>
      <w:r>
        <w:br/>
        <w:t>20 października 2003 r., Porozumieniem z dnia 22 stycznia 2004 r., Aneksem nr 3 z dnia 10 marca 2004 r., Aneksem nr 4 z dnia 18 maja 2004 r., Aneksem nr 5 z dnia 15 lipca 2005 r.,</w:t>
      </w:r>
      <w:r w:rsidRPr="00EA5A6A">
        <w:t xml:space="preserve"> </w:t>
      </w:r>
      <w:r>
        <w:t>Aneksem nr 6 z dnia 10 maja 2006 r., Aneksem nr 7 z dnia 15 lipca 2006</w:t>
      </w:r>
      <w:r w:rsidR="005372C5">
        <w:t xml:space="preserve"> r.</w:t>
      </w:r>
      <w:r>
        <w:t>, Ane</w:t>
      </w:r>
      <w:r w:rsidR="005372C5">
        <w:t>ksem nr 8 z dnia 7 grudnia 2006</w:t>
      </w:r>
      <w:r>
        <w:t xml:space="preserve"> r. oraz Porozumieniem z dnia 14 września 2009 r.</w:t>
      </w:r>
      <w:r w:rsidR="005372C5">
        <w:t>,</w:t>
      </w:r>
      <w:r w:rsidRPr="00235B36">
        <w:t xml:space="preserve"> </w:t>
      </w:r>
      <w:r>
        <w:t xml:space="preserve">oraz decyzjami Prezesa Urzędu Regulacji Telekomunikacji i Poczty nr DRT-WWM-40/03 z dnia </w:t>
      </w:r>
      <w:smartTag w:uri="urn:schemas-microsoft-com:office:smarttags" w:element="date">
        <w:smartTagPr>
          <w:attr w:name="ls" w:val="trans"/>
          <w:attr w:name="Month" w:val="12"/>
          <w:attr w:name="Day" w:val="22"/>
          <w:attr w:name="Year" w:val="2003"/>
        </w:smartTagPr>
        <w:r>
          <w:t>22 grudnia 2003 r.</w:t>
        </w:r>
      </w:smartTag>
      <w:r>
        <w:t xml:space="preserve">, nr DRT-WWM-67/04 z dnia </w:t>
      </w:r>
      <w:smartTag w:uri="urn:schemas-microsoft-com:office:smarttags" w:element="date">
        <w:smartTagPr>
          <w:attr w:name="ls" w:val="trans"/>
          <w:attr w:name="Month" w:val="10"/>
          <w:attr w:name="Day" w:val="1"/>
          <w:attr w:name="Year" w:val="2004"/>
        </w:smartTagPr>
        <w:r>
          <w:t>1 października 2004 r.</w:t>
        </w:r>
      </w:smartTag>
      <w:r>
        <w:t xml:space="preserve">, nr DRT-WWM-74/04 z dnia 4 listopada 2004 r., nr DRT-WWM-60600-14/03(61) z dnia </w:t>
      </w:r>
      <w:r>
        <w:br/>
        <w:t xml:space="preserve">6 lipca 2005 r., nr DRT-WWM-60600-14/03 (65) z dnia 7 lipca 2005 r. </w:t>
      </w:r>
      <w:r>
        <w:rPr>
          <w:color w:val="000000"/>
        </w:rPr>
        <w:t>a</w:t>
      </w:r>
      <w:r>
        <w:t> </w:t>
      </w:r>
      <w:r>
        <w:rPr>
          <w:color w:val="000000"/>
        </w:rPr>
        <w:t>także decyzjami Prezesa UKE nr DRT-WWM-60600-43/04(180) z</w:t>
      </w:r>
      <w:r>
        <w:t> </w:t>
      </w:r>
      <w:r>
        <w:rPr>
          <w:color w:val="000000"/>
        </w:rPr>
        <w:t>dnia 29 grudnia 2006 r., nr DRTH-WWM-60600-76/06(31) z dnia 30</w:t>
      </w:r>
      <w:r>
        <w:t> </w:t>
      </w:r>
      <w:r>
        <w:rPr>
          <w:color w:val="000000"/>
        </w:rPr>
        <w:t>marca 2007</w:t>
      </w:r>
      <w:r>
        <w:t> </w:t>
      </w:r>
      <w:r>
        <w:rPr>
          <w:color w:val="000000"/>
        </w:rPr>
        <w:t>r., nr</w:t>
      </w:r>
      <w:r>
        <w:t> </w:t>
      </w:r>
      <w:r>
        <w:rPr>
          <w:color w:val="000000"/>
        </w:rPr>
        <w:t>DHRT-WWM-60600-15/08(23) z</w:t>
      </w:r>
      <w:r>
        <w:t> </w:t>
      </w:r>
      <w:r>
        <w:rPr>
          <w:color w:val="000000"/>
        </w:rPr>
        <w:t>dnia 8 lipca 2008 r., nr DHRT-WWM-60600-12/08(23) z dnia 4</w:t>
      </w:r>
      <w:r>
        <w:t> </w:t>
      </w:r>
      <w:r>
        <w:rPr>
          <w:color w:val="000000"/>
        </w:rPr>
        <w:t>sierpnia</w:t>
      </w:r>
      <w:r>
        <w:t> </w:t>
      </w:r>
      <w:r>
        <w:rPr>
          <w:color w:val="000000"/>
        </w:rPr>
        <w:t>2008</w:t>
      </w:r>
      <w:r>
        <w:t> </w:t>
      </w:r>
      <w:r w:rsidR="005372C5">
        <w:rPr>
          <w:color w:val="000000"/>
        </w:rPr>
        <w:t xml:space="preserve">r., </w:t>
      </w:r>
      <w:r>
        <w:rPr>
          <w:color w:val="000000"/>
        </w:rPr>
        <w:t xml:space="preserve">nr DHRT-WWM-60600-85/08(38) z dnia 2 lutego 2009 r., nr DHRT-WWM-60600-116/08(25) z dnia 23 lutego 2009 r., nr DHRT-WWM-60600-66/08(37) z dnia 24 lutego </w:t>
      </w:r>
      <w:r>
        <w:rPr>
          <w:color w:val="000000"/>
        </w:rPr>
        <w:br/>
        <w:t>2009 r., nr DHRT-WWM-60600-84/08(32) z dnia 18 marca 2009 r.</w:t>
      </w:r>
      <w:r w:rsidRPr="00770D71">
        <w:t>;</w:t>
      </w:r>
    </w:p>
    <w:p w:rsidR="00203DFD" w:rsidRDefault="00203DFD" w:rsidP="003565CD">
      <w:pPr>
        <w:numPr>
          <w:ilvl w:val="5"/>
          <w:numId w:val="4"/>
        </w:numPr>
        <w:tabs>
          <w:tab w:val="num" w:pos="709"/>
        </w:tabs>
        <w:overflowPunct w:val="0"/>
        <w:autoSpaceDE w:val="0"/>
        <w:autoSpaceDN w:val="0"/>
        <w:adjustRightInd w:val="0"/>
        <w:spacing w:after="120"/>
        <w:ind w:left="709" w:hanging="431"/>
        <w:jc w:val="both"/>
        <w:textAlignment w:val="baseline"/>
      </w:pPr>
      <w:r w:rsidRPr="00770D71">
        <w:t>Umow</w:t>
      </w:r>
      <w:r>
        <w:t>ie</w:t>
      </w:r>
      <w:r w:rsidRPr="00770D71">
        <w:t xml:space="preserve"> o </w:t>
      </w:r>
      <w:r w:rsidR="0054682A">
        <w:t>p</w:t>
      </w:r>
      <w:r w:rsidRPr="00770D71">
        <w:t xml:space="preserve">ołączeniu </w:t>
      </w:r>
      <w:r w:rsidR="0054682A">
        <w:t>s</w:t>
      </w:r>
      <w:r w:rsidRPr="00770D71">
        <w:t xml:space="preserve">ieci z dnia 15 lipca 2005 </w:t>
      </w:r>
      <w:r>
        <w:t>r. zmienionej następnie Aneksem nr 1 z dnia 15 lipca 2005 r.</w:t>
      </w:r>
      <w:r w:rsidRPr="00962CC7">
        <w:t xml:space="preserve"> </w:t>
      </w:r>
      <w:r>
        <w:t xml:space="preserve">Aneksem nr 2 z dnia 25 sierpnia </w:t>
      </w:r>
      <w:r>
        <w:br/>
        <w:t xml:space="preserve">2005 r. Aneksem nr 3 z dnia 6 grudnia 2005 r., Aneksem nr 4 z dnia </w:t>
      </w:r>
      <w:r>
        <w:br/>
        <w:t xml:space="preserve">12 kwietnia 2006 r., Aneksem nr 5 z dnia 16 października 2006 r., Aneksem nr 6 z dnia </w:t>
      </w:r>
      <w:smartTag w:uri="urn:schemas-microsoft-com:office:smarttags" w:element="date">
        <w:smartTagPr>
          <w:attr w:name="ls" w:val="trans"/>
          <w:attr w:name="Month" w:val="7"/>
          <w:attr w:name="Day" w:val="3"/>
          <w:attr w:name="Year" w:val="2007"/>
        </w:smartTagPr>
        <w:r>
          <w:t>3 lipca 2007 r.</w:t>
        </w:r>
      </w:smartTag>
      <w:r>
        <w:t xml:space="preserve">, Aneksem nr 7 z dnia 10 czerwca 2008 r. </w:t>
      </w:r>
      <w:r w:rsidR="006F67D3">
        <w:br/>
      </w:r>
      <w:r>
        <w:t xml:space="preserve">oraz decyzjami Prezesa UKE nr DRTH-WWM-60600-47/06(39) z dnia </w:t>
      </w:r>
      <w:r>
        <w:br/>
        <w:t xml:space="preserve">26 stycznia 2007 r., nr DHRT-WWM-60600-124/07(41) z dnia 16 maja </w:t>
      </w:r>
      <w:r>
        <w:br/>
        <w:t xml:space="preserve">2008 r., nr DHRT-WWM-60600-151/08(21) z dnia 31 marca 2009 r., </w:t>
      </w:r>
      <w:r>
        <w:br/>
        <w:t>nr DHRT-WWM-60600-102/08(64) z dnia 9 grudnia 2009 r.;</w:t>
      </w:r>
    </w:p>
    <w:p w:rsidR="00203DFD" w:rsidRPr="00697AB2" w:rsidRDefault="00203DFD" w:rsidP="003565CD">
      <w:pPr>
        <w:numPr>
          <w:ilvl w:val="5"/>
          <w:numId w:val="4"/>
        </w:numPr>
        <w:tabs>
          <w:tab w:val="num" w:pos="709"/>
        </w:tabs>
        <w:overflowPunct w:val="0"/>
        <w:autoSpaceDE w:val="0"/>
        <w:autoSpaceDN w:val="0"/>
        <w:adjustRightInd w:val="0"/>
        <w:spacing w:after="120"/>
        <w:ind w:left="709" w:hanging="431"/>
        <w:jc w:val="both"/>
        <w:textAlignment w:val="baseline"/>
        <w:rPr>
          <w:i/>
          <w:iCs/>
          <w:lang w:val="de-DE"/>
        </w:rPr>
      </w:pPr>
      <w:r w:rsidRPr="00770D71">
        <w:t>Umow</w:t>
      </w:r>
      <w:r>
        <w:t>ie</w:t>
      </w:r>
      <w:r w:rsidRPr="00770D71">
        <w:t xml:space="preserve"> </w:t>
      </w:r>
      <w:r w:rsidRPr="00770D71">
        <w:rPr>
          <w:bCs/>
        </w:rPr>
        <w:t>o dostępie telekomunikacy</w:t>
      </w:r>
      <w:r>
        <w:rPr>
          <w:bCs/>
        </w:rPr>
        <w:t>jnym w zakresie dostępu pełnego</w:t>
      </w:r>
      <w:r>
        <w:rPr>
          <w:bCs/>
        </w:rPr>
        <w:br/>
      </w:r>
      <w:r w:rsidRPr="00770D71">
        <w:rPr>
          <w:bCs/>
        </w:rPr>
        <w:t>i współdzielonego do lokalnej pętli abonenckiej</w:t>
      </w:r>
      <w:r>
        <w:t xml:space="preserve"> o Nr POS/K-1476 z dnia</w:t>
      </w:r>
      <w:r>
        <w:br/>
      </w:r>
      <w:r w:rsidRPr="00770D71">
        <w:t>26 kwietnia 2007 r</w:t>
      </w:r>
      <w:r>
        <w:t>.</w:t>
      </w:r>
      <w:r w:rsidRPr="00D72430">
        <w:t xml:space="preserve"> </w:t>
      </w:r>
      <w:r w:rsidRPr="00913344">
        <w:t>zmienion</w:t>
      </w:r>
      <w:r w:rsidR="00351D8B">
        <w:t>ej</w:t>
      </w:r>
      <w:r w:rsidRPr="00913344">
        <w:t xml:space="preserve"> następnie Aneksem nr 1 z dnia 25 kwietnia 2008 r., Aneksem nr 2 z dnia </w:t>
      </w:r>
      <w:smartTag w:uri="urn:schemas-microsoft-com:office:smarttags" w:element="date">
        <w:smartTagPr>
          <w:attr w:name="Year" w:val="2008"/>
          <w:attr w:name="Day" w:val="25"/>
          <w:attr w:name="Month" w:val="4"/>
          <w:attr w:name="ls" w:val="trans"/>
        </w:smartTagPr>
        <w:r w:rsidRPr="00913344">
          <w:t>25 kwietnia 2008 r.</w:t>
        </w:r>
      </w:smartTag>
      <w:r w:rsidRPr="00913344">
        <w:t xml:space="preserve">, Aneksem nr 3 z dnia </w:t>
      </w:r>
      <w:r>
        <w:br/>
      </w:r>
      <w:smartTag w:uri="urn:schemas-microsoft-com:office:smarttags" w:element="date">
        <w:smartTagPr>
          <w:attr w:name="Year" w:val="2008"/>
          <w:attr w:name="Day" w:val="18"/>
          <w:attr w:name="Month" w:val="8"/>
          <w:attr w:name="ls" w:val="trans"/>
        </w:smartTagPr>
        <w:r w:rsidRPr="00913344">
          <w:t>18 sierpnia 2008 r.</w:t>
        </w:r>
      </w:smartTag>
      <w:r w:rsidRPr="00913344">
        <w:t xml:space="preserve"> </w:t>
      </w:r>
      <w:r>
        <w:t xml:space="preserve"> Aneksem nr 5 z dnia 13 listopada 2009</w:t>
      </w:r>
      <w:r w:rsidR="00866F7B">
        <w:t xml:space="preserve"> r.</w:t>
      </w:r>
      <w:r>
        <w:t xml:space="preserve">, Aneksem </w:t>
      </w:r>
      <w:r>
        <w:br/>
        <w:t xml:space="preserve">nr 7 z dnia 22 stycznia </w:t>
      </w:r>
      <w:r w:rsidRPr="00D72430">
        <w:t>2010</w:t>
      </w:r>
      <w:r>
        <w:t xml:space="preserve"> r.,</w:t>
      </w:r>
      <w:r w:rsidRPr="00D72430">
        <w:t xml:space="preserve"> Aneks</w:t>
      </w:r>
      <w:r>
        <w:t>em</w:t>
      </w:r>
      <w:r w:rsidRPr="00D72430">
        <w:t xml:space="preserve"> nr 8</w:t>
      </w:r>
      <w:r>
        <w:t xml:space="preserve"> z dnia 22 stycznia </w:t>
      </w:r>
      <w:r w:rsidRPr="00D72430">
        <w:t>2010</w:t>
      </w:r>
      <w:r>
        <w:t xml:space="preserve"> r., Aneksem nr 9 z dnia 5 listopada 2010 r., Aneksem nr 10 z dnia 25 sierpnia 2011 r., Aneksem nr 11 z dnia 20 grudnia 2012 r.</w:t>
      </w:r>
      <w:r w:rsidRPr="00D72430">
        <w:t xml:space="preserve"> </w:t>
      </w:r>
      <w:r>
        <w:t xml:space="preserve">oraz decyzjami Prezesa </w:t>
      </w:r>
      <w:r w:rsidRPr="00D72430">
        <w:t>UKE</w:t>
      </w:r>
      <w:r>
        <w:t xml:space="preserve"> </w:t>
      </w:r>
      <w:r w:rsidRPr="00D72430">
        <w:t>nr</w:t>
      </w:r>
      <w:r>
        <w:t xml:space="preserve"> DHRT-WWM-60600-83/08(37) z dnia 22 lipca 2009 r., nr</w:t>
      </w:r>
      <w:r w:rsidRPr="00D72430">
        <w:t xml:space="preserve"> </w:t>
      </w:r>
      <w:r w:rsidRPr="00D72430">
        <w:rPr>
          <w:iCs/>
          <w:lang w:val="de-DE"/>
        </w:rPr>
        <w:t>DHRT-WWM-60600-113</w:t>
      </w:r>
      <w:r>
        <w:rPr>
          <w:iCs/>
          <w:lang w:val="de-DE"/>
        </w:rPr>
        <w:t>/08</w:t>
      </w:r>
      <w:r w:rsidRPr="00D72430">
        <w:rPr>
          <w:iCs/>
          <w:lang w:val="de-DE"/>
        </w:rPr>
        <w:t>(32 )</w:t>
      </w:r>
      <w:r>
        <w:rPr>
          <w:iCs/>
          <w:lang w:val="de-DE"/>
        </w:rPr>
        <w:t xml:space="preserve"> z dnia 28 lipca 2009 r.;</w:t>
      </w:r>
    </w:p>
    <w:p w:rsidR="00203DFD" w:rsidRDefault="00203DFD" w:rsidP="003565CD">
      <w:pPr>
        <w:numPr>
          <w:ilvl w:val="5"/>
          <w:numId w:val="4"/>
        </w:numPr>
        <w:tabs>
          <w:tab w:val="num" w:pos="709"/>
        </w:tabs>
        <w:overflowPunct w:val="0"/>
        <w:autoSpaceDE w:val="0"/>
        <w:autoSpaceDN w:val="0"/>
        <w:adjustRightInd w:val="0"/>
        <w:spacing w:after="120"/>
        <w:ind w:left="709" w:hanging="431"/>
        <w:jc w:val="both"/>
        <w:textAlignment w:val="baseline"/>
      </w:pPr>
      <w:r w:rsidRPr="00770D71">
        <w:t>Decyzj</w:t>
      </w:r>
      <w:r>
        <w:t>i</w:t>
      </w:r>
      <w:r w:rsidRPr="00770D71">
        <w:t xml:space="preserve"> Prezesa UKE Nr DR</w:t>
      </w:r>
      <w:r>
        <w:t>TH-WWM-60600-107/06(31) z dnia</w:t>
      </w:r>
      <w:r>
        <w:br/>
      </w:r>
      <w:r w:rsidRPr="00770D71">
        <w:t>12 października 2007 r</w:t>
      </w:r>
      <w:r>
        <w:t>. (LLU)</w:t>
      </w:r>
      <w:r w:rsidRPr="00770D71">
        <w:t xml:space="preserve">; </w:t>
      </w:r>
    </w:p>
    <w:p w:rsidR="00203DFD" w:rsidRDefault="00203DFD" w:rsidP="003565CD">
      <w:pPr>
        <w:numPr>
          <w:ilvl w:val="5"/>
          <w:numId w:val="4"/>
        </w:numPr>
        <w:tabs>
          <w:tab w:val="num" w:pos="709"/>
        </w:tabs>
        <w:overflowPunct w:val="0"/>
        <w:autoSpaceDE w:val="0"/>
        <w:autoSpaceDN w:val="0"/>
        <w:adjustRightInd w:val="0"/>
        <w:spacing w:after="120"/>
        <w:ind w:left="709" w:hanging="431"/>
        <w:jc w:val="both"/>
        <w:textAlignment w:val="baseline"/>
      </w:pPr>
      <w:r w:rsidRPr="00770D71">
        <w:rPr>
          <w:bCs/>
        </w:rPr>
        <w:t>Porozumieni</w:t>
      </w:r>
      <w:r>
        <w:rPr>
          <w:bCs/>
        </w:rPr>
        <w:t>u</w:t>
      </w:r>
      <w:r w:rsidRPr="00770D71">
        <w:rPr>
          <w:bCs/>
        </w:rPr>
        <w:t xml:space="preserve"> o </w:t>
      </w:r>
      <w:r w:rsidRPr="00770D71">
        <w:t>warunkach przeprowadzenia asysty w ramach usługi dostępu telekomunikacyjnego w zakresie dostępu pełnego i współdzielonego do łącza abonenckiego (LLU) o Nr POS/K-696</w:t>
      </w:r>
      <w:r>
        <w:t>4 z dnia 5 listopada 2010 r.;</w:t>
      </w:r>
    </w:p>
    <w:p w:rsidR="00203DFD" w:rsidRDefault="00203DFD" w:rsidP="003565CD">
      <w:pPr>
        <w:numPr>
          <w:ilvl w:val="5"/>
          <w:numId w:val="4"/>
        </w:numPr>
        <w:tabs>
          <w:tab w:val="num" w:pos="709"/>
        </w:tabs>
        <w:overflowPunct w:val="0"/>
        <w:autoSpaceDE w:val="0"/>
        <w:autoSpaceDN w:val="0"/>
        <w:adjustRightInd w:val="0"/>
        <w:spacing w:after="120"/>
        <w:ind w:left="709" w:hanging="431"/>
        <w:jc w:val="both"/>
        <w:textAlignment w:val="baseline"/>
      </w:pPr>
      <w:r w:rsidRPr="00770D71">
        <w:t>Ramow</w:t>
      </w:r>
      <w:r>
        <w:t>ej</w:t>
      </w:r>
      <w:r w:rsidRPr="00770D71">
        <w:rPr>
          <w:noProof/>
        </w:rPr>
        <w:t xml:space="preserve"> Umow</w:t>
      </w:r>
      <w:r>
        <w:rPr>
          <w:noProof/>
        </w:rPr>
        <w:t>ie</w:t>
      </w:r>
      <w:r w:rsidRPr="00770D71">
        <w:rPr>
          <w:noProof/>
        </w:rPr>
        <w:t xml:space="preserve"> Kolokacji</w:t>
      </w:r>
      <w:r w:rsidRPr="00770D71">
        <w:t xml:space="preserve"> o Nr POS/K-14</w:t>
      </w:r>
      <w:r>
        <w:t xml:space="preserve">38/07 z dnia 29 maja 2007 r. zmienionej następnie Aneksem nr 3 z dnia 8 grudnia 2009 r., Aneksem </w:t>
      </w:r>
      <w:r>
        <w:br/>
        <w:t>nr 4 z dnia 30 grudnia 2009 r., Aneksem nr 5 z dnia 1 czerwca 2010 r., Aneksem nr 6 z dnia 2 czerw</w:t>
      </w:r>
      <w:r w:rsidR="00827991">
        <w:t>ca 2010 r., Aneksem nr 7 z dnia</w:t>
      </w:r>
      <w:r>
        <w:t xml:space="preserve"> 24 września 2010 r., Aneksem nr 8 z dnia 25 sierpnia 2011 r.;</w:t>
      </w:r>
    </w:p>
    <w:p w:rsidR="00203DFD" w:rsidRDefault="00203DFD" w:rsidP="003565CD">
      <w:pPr>
        <w:numPr>
          <w:ilvl w:val="5"/>
          <w:numId w:val="4"/>
        </w:numPr>
        <w:tabs>
          <w:tab w:val="num" w:pos="709"/>
        </w:tabs>
        <w:overflowPunct w:val="0"/>
        <w:autoSpaceDE w:val="0"/>
        <w:autoSpaceDN w:val="0"/>
        <w:adjustRightInd w:val="0"/>
        <w:spacing w:after="120"/>
        <w:ind w:left="709" w:hanging="431"/>
        <w:jc w:val="both"/>
        <w:textAlignment w:val="baseline"/>
      </w:pPr>
      <w:r w:rsidRPr="00770D71">
        <w:lastRenderedPageBreak/>
        <w:t>Decyzj</w:t>
      </w:r>
      <w:r>
        <w:t>i</w:t>
      </w:r>
      <w:r w:rsidRPr="00770D71">
        <w:t xml:space="preserve"> Prezesa UKE Nr DRTH-WWM-60600-42/07 </w:t>
      </w:r>
      <w:r>
        <w:t>(24) z dnia 28 listopada 2007 r</w:t>
      </w:r>
      <w:r w:rsidRPr="00770D71">
        <w:t>.</w:t>
      </w:r>
      <w:r>
        <w:t xml:space="preserve"> (LLU)</w:t>
      </w:r>
      <w:r w:rsidRPr="00770D71">
        <w:t>;</w:t>
      </w:r>
    </w:p>
    <w:p w:rsidR="00203DFD" w:rsidRDefault="00203DFD" w:rsidP="003565CD">
      <w:pPr>
        <w:numPr>
          <w:ilvl w:val="5"/>
          <w:numId w:val="4"/>
        </w:numPr>
        <w:tabs>
          <w:tab w:val="num" w:pos="709"/>
        </w:tabs>
        <w:overflowPunct w:val="0"/>
        <w:autoSpaceDE w:val="0"/>
        <w:autoSpaceDN w:val="0"/>
        <w:adjustRightInd w:val="0"/>
        <w:spacing w:after="120"/>
        <w:ind w:left="709" w:hanging="431"/>
        <w:jc w:val="both"/>
        <w:textAlignment w:val="baseline"/>
      </w:pPr>
      <w:r w:rsidRPr="00770D71">
        <w:t>Umow</w:t>
      </w:r>
      <w:r>
        <w:t>ie</w:t>
      </w:r>
      <w:r w:rsidRPr="00770D71">
        <w:t xml:space="preserve"> o dostępie telekomunikacyjnym w zakresie usługi dostępu szerokopasmowego, w tym usługi szerokopasmowej transmisji dany</w:t>
      </w:r>
      <w:r>
        <w:t>ch</w:t>
      </w:r>
      <w:r>
        <w:br/>
      </w:r>
      <w:r w:rsidRPr="00770D71">
        <w:t xml:space="preserve">o Nr POS/K-7062 z dnia 22 października 2010 </w:t>
      </w:r>
      <w:r>
        <w:t>r. zmienionej następnie Aneksem nr 1 z dnia 22 października 2010 r., Aneksem nr 2 z dnia 4 stycznia 2011 r., Aneksem nr 3 z dnia 25 stycznia 2011 r.,</w:t>
      </w:r>
      <w:r w:rsidRPr="00261C11">
        <w:t xml:space="preserve"> </w:t>
      </w:r>
      <w:r>
        <w:t xml:space="preserve">Aneksem nr 4 z dnia </w:t>
      </w:r>
      <w:r>
        <w:br/>
        <w:t>24 sierpni</w:t>
      </w:r>
      <w:r w:rsidR="00827991">
        <w:t>a 2011 r., Porozumieniem z dnia 21 marca 2011 r.</w:t>
      </w:r>
      <w:r>
        <w:t xml:space="preserve"> i Aneksem </w:t>
      </w:r>
      <w:r>
        <w:br/>
        <w:t>nr 1 do Porozumienia z dnia 6 lutego 2014 r.;</w:t>
      </w:r>
    </w:p>
    <w:p w:rsidR="00203DFD" w:rsidRDefault="00203DFD" w:rsidP="003565CD">
      <w:pPr>
        <w:numPr>
          <w:ilvl w:val="5"/>
          <w:numId w:val="4"/>
        </w:numPr>
        <w:tabs>
          <w:tab w:val="num" w:pos="709"/>
        </w:tabs>
        <w:overflowPunct w:val="0"/>
        <w:autoSpaceDE w:val="0"/>
        <w:autoSpaceDN w:val="0"/>
        <w:adjustRightInd w:val="0"/>
        <w:spacing w:after="120"/>
        <w:ind w:left="709" w:hanging="431"/>
        <w:jc w:val="both"/>
        <w:textAlignment w:val="baseline"/>
      </w:pPr>
      <w:r w:rsidRPr="00770D71">
        <w:t>Umow</w:t>
      </w:r>
      <w:r>
        <w:t>ie</w:t>
      </w:r>
      <w:r w:rsidRPr="00770D71">
        <w:t xml:space="preserve"> o dostępie do lokalnej pętli abonenckiej poprzez dostęp do węzłów sieci telekomunikacyjnej na potrzeby sprzedaży usług szerokopasmowej transmisji danych o Nr </w:t>
      </w:r>
      <w:r w:rsidRPr="00770D71">
        <w:rPr>
          <w:bCs/>
        </w:rPr>
        <w:t xml:space="preserve">POS/K-1286/06 </w:t>
      </w:r>
      <w:r w:rsidRPr="00770D71">
        <w:t>z dnia 4 stycznia 2007 r</w:t>
      </w:r>
      <w:r>
        <w:t>.</w:t>
      </w:r>
      <w:r w:rsidRPr="00AC28C4">
        <w:t xml:space="preserve"> </w:t>
      </w:r>
      <w:r>
        <w:t xml:space="preserve">zmienionej następnie Aneksem nr 2 z dnia 11 września 2007 r., Aneksem nr 3 z dnia </w:t>
      </w:r>
      <w:r>
        <w:br/>
        <w:t xml:space="preserve">14 stycznia 2009 r., Aneksem nr 4 z dnia 10 września 2009 r., Aneksem </w:t>
      </w:r>
      <w:r>
        <w:br/>
        <w:t xml:space="preserve">nr 7 z dnia 17 grudnia 2009 r. oraz </w:t>
      </w:r>
      <w:r w:rsidRPr="00920D60">
        <w:t>decyzjami</w:t>
      </w:r>
      <w:r>
        <w:t xml:space="preserve"> Prezesa UKE </w:t>
      </w:r>
      <w:r w:rsidRPr="00920D60">
        <w:t>nr DRTH-WWM-60600-19/07 (24) z dnia 31 lipca 2007 r.</w:t>
      </w:r>
      <w:r>
        <w:t>,</w:t>
      </w:r>
      <w:r w:rsidRPr="00920D60">
        <w:t xml:space="preserve"> nr DRTH-WWM-60600-31/07 (22) z dnia 8 sierpnia 2007 r.</w:t>
      </w:r>
      <w:r>
        <w:t xml:space="preserve">, </w:t>
      </w:r>
      <w:r w:rsidRPr="00920D60">
        <w:t>nr DRTH-WWM-48/07 (</w:t>
      </w:r>
      <w:r>
        <w:t>29</w:t>
      </w:r>
      <w:r w:rsidRPr="00920D60">
        <w:t xml:space="preserve">) z dnia </w:t>
      </w:r>
      <w:r>
        <w:br/>
      </w:r>
      <w:r w:rsidRPr="00920D60">
        <w:t xml:space="preserve">5 marca 2008 r. </w:t>
      </w:r>
      <w:r>
        <w:t xml:space="preserve">oraz nr DHRT-WWM-60600-121/07(27) z dnia </w:t>
      </w:r>
      <w:smartTag w:uri="urn:schemas-microsoft-com:office:smarttags" w:element="date">
        <w:smartTagPr>
          <w:attr w:name="Year" w:val="2008"/>
          <w:attr w:name="Day" w:val="21"/>
          <w:attr w:name="Month" w:val="2"/>
          <w:attr w:name="ls" w:val="trans"/>
        </w:smartTagPr>
        <w:r>
          <w:t>21 lutego 2008</w:t>
        </w:r>
      </w:smartTag>
      <w:r>
        <w:t xml:space="preserve"> r., nr DHRT-WWM-60600-115/08(69) z dnia 8 kwietnia 2010 r.</w:t>
      </w:r>
      <w:r w:rsidRPr="00770D71">
        <w:t>;</w:t>
      </w:r>
    </w:p>
    <w:p w:rsidR="00203DFD" w:rsidRDefault="00203DFD" w:rsidP="003565CD">
      <w:pPr>
        <w:numPr>
          <w:ilvl w:val="5"/>
          <w:numId w:val="4"/>
        </w:numPr>
        <w:tabs>
          <w:tab w:val="num" w:pos="709"/>
        </w:tabs>
        <w:overflowPunct w:val="0"/>
        <w:autoSpaceDE w:val="0"/>
        <w:autoSpaceDN w:val="0"/>
        <w:adjustRightInd w:val="0"/>
        <w:spacing w:after="120"/>
        <w:ind w:left="709" w:hanging="431"/>
        <w:jc w:val="both"/>
        <w:textAlignment w:val="baseline"/>
      </w:pPr>
      <w:r w:rsidRPr="00770D71">
        <w:t>Porozumieni</w:t>
      </w:r>
      <w:r>
        <w:t>u</w:t>
      </w:r>
      <w:r w:rsidRPr="00770D71">
        <w:t xml:space="preserve"> w sprawie świadczenia przez </w:t>
      </w:r>
      <w:r>
        <w:t>OPL</w:t>
      </w:r>
      <w:r w:rsidRPr="00770D71">
        <w:t xml:space="preserve"> usługi dostępu szerokopasmowego, w tym usługi szerokopasmowej transmisji dany</w:t>
      </w:r>
      <w:r>
        <w:t>ch</w:t>
      </w:r>
      <w:r>
        <w:br/>
      </w:r>
      <w:r w:rsidRPr="00770D71">
        <w:t>w technologii VDSL o Nr POS/</w:t>
      </w:r>
      <w:r>
        <w:t>K-8234 z dnia 21 czerwca 2011 r.;</w:t>
      </w:r>
    </w:p>
    <w:p w:rsidR="00203DFD" w:rsidRDefault="00203DFD" w:rsidP="003565CD">
      <w:pPr>
        <w:numPr>
          <w:ilvl w:val="5"/>
          <w:numId w:val="4"/>
        </w:numPr>
        <w:tabs>
          <w:tab w:val="num" w:pos="709"/>
        </w:tabs>
        <w:overflowPunct w:val="0"/>
        <w:autoSpaceDE w:val="0"/>
        <w:autoSpaceDN w:val="0"/>
        <w:adjustRightInd w:val="0"/>
        <w:spacing w:after="120"/>
        <w:ind w:left="709" w:hanging="431"/>
        <w:jc w:val="both"/>
        <w:textAlignment w:val="baseline"/>
      </w:pPr>
      <w:r w:rsidRPr="00770D71">
        <w:t>Decyzj</w:t>
      </w:r>
      <w:r>
        <w:t>i</w:t>
      </w:r>
      <w:r w:rsidRPr="00770D71">
        <w:t xml:space="preserve"> Prezesa UKE Nr DH</w:t>
      </w:r>
      <w:r>
        <w:t>RT-WWM-60600-111/08 (42) z dnia</w:t>
      </w:r>
      <w:r>
        <w:br/>
        <w:t>14 października 2008 r. zmienionej Aneksem nr 1 z dnia 14 października 2009 r. (WLR);</w:t>
      </w:r>
      <w:r w:rsidRPr="00770D71">
        <w:t xml:space="preserve"> </w:t>
      </w:r>
    </w:p>
    <w:p w:rsidR="00203DFD" w:rsidRDefault="00203DFD" w:rsidP="003565CD">
      <w:pPr>
        <w:numPr>
          <w:ilvl w:val="5"/>
          <w:numId w:val="4"/>
        </w:numPr>
        <w:tabs>
          <w:tab w:val="num" w:pos="709"/>
        </w:tabs>
        <w:overflowPunct w:val="0"/>
        <w:autoSpaceDE w:val="0"/>
        <w:autoSpaceDN w:val="0"/>
        <w:adjustRightInd w:val="0"/>
        <w:spacing w:after="120"/>
        <w:ind w:left="709" w:hanging="431"/>
        <w:jc w:val="both"/>
        <w:textAlignment w:val="baseline"/>
      </w:pPr>
      <w:r w:rsidRPr="00770D71">
        <w:t>Porozumieni</w:t>
      </w:r>
      <w:r>
        <w:t>u</w:t>
      </w:r>
      <w:r w:rsidRPr="00770D71">
        <w:t xml:space="preserve"> w zakresie usługi hurtowego dostępu do sieci </w:t>
      </w:r>
      <w:r>
        <w:t>OPL</w:t>
      </w:r>
      <w:r>
        <w:br/>
      </w:r>
      <w:r w:rsidRPr="00770D71">
        <w:t>o Nr POS/K-71</w:t>
      </w:r>
      <w:r>
        <w:t>95 z dnia 13 grudnia 2011 r.;</w:t>
      </w:r>
    </w:p>
    <w:p w:rsidR="00F768F2" w:rsidRDefault="00F768F2" w:rsidP="003565CD">
      <w:pPr>
        <w:numPr>
          <w:ilvl w:val="5"/>
          <w:numId w:val="4"/>
        </w:numPr>
        <w:tabs>
          <w:tab w:val="num" w:pos="709"/>
        </w:tabs>
        <w:overflowPunct w:val="0"/>
        <w:autoSpaceDE w:val="0"/>
        <w:autoSpaceDN w:val="0"/>
        <w:adjustRightInd w:val="0"/>
        <w:spacing w:after="120"/>
        <w:ind w:left="709" w:hanging="431"/>
        <w:jc w:val="both"/>
        <w:textAlignment w:val="baseline"/>
      </w:pPr>
      <w:r>
        <w:t>Decyzji Prezesa UKE Nr DHRT-WWM-60600-94/08(15) z dnia 24 lipca 2008 r. zmienionej Aneksem Rn 1 z dnia 14 października 2009 r.(WLR);</w:t>
      </w:r>
    </w:p>
    <w:p w:rsidR="00203DFD" w:rsidRDefault="00203DFD" w:rsidP="003565CD">
      <w:pPr>
        <w:numPr>
          <w:ilvl w:val="5"/>
          <w:numId w:val="4"/>
        </w:numPr>
        <w:tabs>
          <w:tab w:val="num" w:pos="709"/>
        </w:tabs>
        <w:overflowPunct w:val="0"/>
        <w:autoSpaceDE w:val="0"/>
        <w:autoSpaceDN w:val="0"/>
        <w:adjustRightInd w:val="0"/>
        <w:spacing w:after="120"/>
        <w:ind w:left="709" w:hanging="431"/>
        <w:jc w:val="both"/>
        <w:textAlignment w:val="baseline"/>
      </w:pPr>
      <w:r w:rsidRPr="00770D71">
        <w:t>Porozumieni</w:t>
      </w:r>
      <w:r>
        <w:t>u</w:t>
      </w:r>
      <w:r w:rsidRPr="00770D71">
        <w:t xml:space="preserve"> w zakresie usługi hurtowego dostępu do sieci </w:t>
      </w:r>
      <w:r>
        <w:t>OPL</w:t>
      </w:r>
      <w:r>
        <w:br/>
      </w:r>
      <w:r w:rsidRPr="00770D71">
        <w:t>o Nr POS/K-7196 z dnia 13 grudnia 2011 roku; (Netia)</w:t>
      </w:r>
    </w:p>
    <w:p w:rsidR="00203DFD" w:rsidRDefault="00203DFD" w:rsidP="003565CD">
      <w:pPr>
        <w:numPr>
          <w:ilvl w:val="5"/>
          <w:numId w:val="4"/>
        </w:numPr>
        <w:tabs>
          <w:tab w:val="num" w:pos="709"/>
        </w:tabs>
        <w:overflowPunct w:val="0"/>
        <w:autoSpaceDE w:val="0"/>
        <w:autoSpaceDN w:val="0"/>
        <w:adjustRightInd w:val="0"/>
        <w:spacing w:after="120"/>
        <w:ind w:left="709" w:hanging="431"/>
        <w:jc w:val="both"/>
        <w:textAlignment w:val="baseline"/>
      </w:pPr>
      <w:r w:rsidRPr="00770D71">
        <w:t>Decyzj</w:t>
      </w:r>
      <w:r>
        <w:t>i</w:t>
      </w:r>
      <w:r w:rsidRPr="00770D71">
        <w:t xml:space="preserve"> Prezesa UKE Nr DRT-WWM-60600-47/06(39) z dnia 26 stycznia 2007 </w:t>
      </w:r>
      <w:r>
        <w:t>r. (WLR)</w:t>
      </w:r>
      <w:r w:rsidRPr="00770D71">
        <w:t xml:space="preserve">; </w:t>
      </w:r>
    </w:p>
    <w:p w:rsidR="00203DFD" w:rsidRDefault="00203DFD" w:rsidP="003565CD">
      <w:pPr>
        <w:numPr>
          <w:ilvl w:val="5"/>
          <w:numId w:val="4"/>
        </w:numPr>
        <w:tabs>
          <w:tab w:val="num" w:pos="709"/>
        </w:tabs>
        <w:overflowPunct w:val="0"/>
        <w:autoSpaceDE w:val="0"/>
        <w:autoSpaceDN w:val="0"/>
        <w:adjustRightInd w:val="0"/>
        <w:spacing w:after="120"/>
        <w:ind w:left="709" w:hanging="431"/>
        <w:jc w:val="both"/>
        <w:textAlignment w:val="baseline"/>
      </w:pPr>
      <w:r w:rsidRPr="00770D71">
        <w:t>Porozumieni</w:t>
      </w:r>
      <w:r>
        <w:t>u</w:t>
      </w:r>
      <w:r w:rsidRPr="00770D71">
        <w:t xml:space="preserve"> w zakresie usługi hurtowego dostępu do sieci </w:t>
      </w:r>
      <w:r>
        <w:t>OPL</w:t>
      </w:r>
      <w:r>
        <w:br/>
      </w:r>
      <w:r w:rsidRPr="00770D71">
        <w:t>o Nr POS/K-7197 z dnia 13 grudnia 2011 r</w:t>
      </w:r>
      <w:r>
        <w:t>.;</w:t>
      </w:r>
    </w:p>
    <w:p w:rsidR="00203DFD" w:rsidRDefault="00203DFD" w:rsidP="003565CD">
      <w:pPr>
        <w:numPr>
          <w:ilvl w:val="5"/>
          <w:numId w:val="4"/>
        </w:numPr>
        <w:tabs>
          <w:tab w:val="num" w:pos="709"/>
        </w:tabs>
        <w:overflowPunct w:val="0"/>
        <w:autoSpaceDE w:val="0"/>
        <w:autoSpaceDN w:val="0"/>
        <w:adjustRightInd w:val="0"/>
        <w:spacing w:after="120"/>
        <w:ind w:left="709" w:hanging="431"/>
        <w:jc w:val="both"/>
        <w:textAlignment w:val="baseline"/>
      </w:pPr>
      <w:r w:rsidRPr="00770D71">
        <w:t>Umow</w:t>
      </w:r>
      <w:r>
        <w:t>ie</w:t>
      </w:r>
      <w:r w:rsidRPr="00770D71">
        <w:t xml:space="preserve"> </w:t>
      </w:r>
      <w:r w:rsidRPr="00770D71">
        <w:rPr>
          <w:bCs/>
        </w:rPr>
        <w:t>dzierżawy urządzeń NT o</w:t>
      </w:r>
      <w:r w:rsidRPr="00770D71">
        <w:t xml:space="preserve"> N</w:t>
      </w:r>
      <w:r>
        <w:t>r POS/K-3431 z dnia 24 kwietnia</w:t>
      </w:r>
      <w:r>
        <w:br/>
        <w:t xml:space="preserve">2009 </w:t>
      </w:r>
      <w:r w:rsidRPr="00770D71">
        <w:t>r</w:t>
      </w:r>
      <w:r>
        <w:t>.;</w:t>
      </w:r>
    </w:p>
    <w:p w:rsidR="00203DFD" w:rsidRDefault="00203DFD" w:rsidP="003565CD">
      <w:pPr>
        <w:numPr>
          <w:ilvl w:val="5"/>
          <w:numId w:val="4"/>
        </w:numPr>
        <w:tabs>
          <w:tab w:val="num" w:pos="709"/>
        </w:tabs>
        <w:overflowPunct w:val="0"/>
        <w:autoSpaceDE w:val="0"/>
        <w:autoSpaceDN w:val="0"/>
        <w:adjustRightInd w:val="0"/>
        <w:spacing w:after="120"/>
        <w:ind w:left="709" w:hanging="431"/>
        <w:jc w:val="both"/>
        <w:textAlignment w:val="baseline"/>
      </w:pPr>
      <w:r w:rsidRPr="00770D71">
        <w:t>Umow</w:t>
      </w:r>
      <w:r>
        <w:t>ie</w:t>
      </w:r>
      <w:r w:rsidRPr="00770D71">
        <w:t xml:space="preserve"> dzierżawy urządzeń NT </w:t>
      </w:r>
      <w:r w:rsidRPr="00770D71">
        <w:rPr>
          <w:bCs/>
        </w:rPr>
        <w:t>o</w:t>
      </w:r>
      <w:r w:rsidRPr="00770D71">
        <w:t xml:space="preserve"> Nr </w:t>
      </w:r>
      <w:r w:rsidRPr="00770D71">
        <w:rPr>
          <w:color w:val="000000"/>
        </w:rPr>
        <w:t>POS/K-1817</w:t>
      </w:r>
      <w:r w:rsidRPr="00770D71">
        <w:t xml:space="preserve"> z dnia 15 maja 2008 r</w:t>
      </w:r>
      <w:r>
        <w:t>.</w:t>
      </w:r>
      <w:r w:rsidRPr="00770D71">
        <w:t>;</w:t>
      </w:r>
    </w:p>
    <w:p w:rsidR="00203DFD" w:rsidRDefault="00203DFD" w:rsidP="003565CD">
      <w:pPr>
        <w:numPr>
          <w:ilvl w:val="5"/>
          <w:numId w:val="4"/>
        </w:numPr>
        <w:tabs>
          <w:tab w:val="num" w:pos="709"/>
        </w:tabs>
        <w:overflowPunct w:val="0"/>
        <w:autoSpaceDE w:val="0"/>
        <w:autoSpaceDN w:val="0"/>
        <w:adjustRightInd w:val="0"/>
        <w:spacing w:after="120"/>
        <w:ind w:left="709" w:hanging="431"/>
        <w:jc w:val="both"/>
        <w:textAlignment w:val="baseline"/>
      </w:pPr>
      <w:r w:rsidRPr="00770D71">
        <w:t>Porozumieni</w:t>
      </w:r>
      <w:r>
        <w:t>u</w:t>
      </w:r>
      <w:r w:rsidRPr="00770D71">
        <w:t xml:space="preserve"> </w:t>
      </w:r>
      <w:r w:rsidRPr="00770D71">
        <w:rPr>
          <w:bCs/>
        </w:rPr>
        <w:t>dotycząc</w:t>
      </w:r>
      <w:r>
        <w:rPr>
          <w:bCs/>
        </w:rPr>
        <w:t>ym</w:t>
      </w:r>
      <w:r w:rsidRPr="00770D71">
        <w:rPr>
          <w:bCs/>
        </w:rPr>
        <w:t xml:space="preserve"> współpracy przy realizacji usługi hurtowego dostępu do sieci </w:t>
      </w:r>
      <w:r>
        <w:rPr>
          <w:bCs/>
        </w:rPr>
        <w:t>OPL</w:t>
      </w:r>
      <w:r w:rsidRPr="00770D71">
        <w:t xml:space="preserve"> o Nr POS/K-5999 z dnia 10 czerwca 2010 r</w:t>
      </w:r>
      <w:r>
        <w:t>.</w:t>
      </w:r>
      <w:r w:rsidRPr="00770D71">
        <w:t>;</w:t>
      </w:r>
    </w:p>
    <w:p w:rsidR="00203DFD" w:rsidRDefault="00203DFD" w:rsidP="003565CD">
      <w:pPr>
        <w:numPr>
          <w:ilvl w:val="5"/>
          <w:numId w:val="4"/>
        </w:numPr>
        <w:tabs>
          <w:tab w:val="num" w:pos="709"/>
        </w:tabs>
        <w:overflowPunct w:val="0"/>
        <w:autoSpaceDE w:val="0"/>
        <w:autoSpaceDN w:val="0"/>
        <w:adjustRightInd w:val="0"/>
        <w:spacing w:after="120"/>
        <w:ind w:left="709" w:hanging="431"/>
        <w:jc w:val="both"/>
        <w:textAlignment w:val="baseline"/>
      </w:pPr>
      <w:r w:rsidRPr="00770D71">
        <w:rPr>
          <w:bCs/>
        </w:rPr>
        <w:t>Porozumieni</w:t>
      </w:r>
      <w:r>
        <w:rPr>
          <w:bCs/>
        </w:rPr>
        <w:t>u</w:t>
      </w:r>
      <w:r w:rsidRPr="00770D71">
        <w:rPr>
          <w:bCs/>
        </w:rPr>
        <w:t xml:space="preserve"> w zakresie realizacji prze</w:t>
      </w:r>
      <w:r>
        <w:rPr>
          <w:bCs/>
        </w:rPr>
        <w:t>kierowań połączeń dla uszkodzeń</w:t>
      </w:r>
      <w:r>
        <w:rPr>
          <w:bCs/>
        </w:rPr>
        <w:br/>
      </w:r>
      <w:r w:rsidRPr="00770D71">
        <w:rPr>
          <w:bCs/>
        </w:rPr>
        <w:t xml:space="preserve">w ramach Usługi WLR </w:t>
      </w:r>
      <w:r w:rsidRPr="00770D71">
        <w:t>o Nr POS/K-9619 z dnia 10 lutego 2012 r</w:t>
      </w:r>
      <w:r>
        <w:t>.;</w:t>
      </w:r>
    </w:p>
    <w:p w:rsidR="00203DFD" w:rsidRDefault="00203DFD" w:rsidP="003565CD">
      <w:pPr>
        <w:numPr>
          <w:ilvl w:val="5"/>
          <w:numId w:val="4"/>
        </w:numPr>
        <w:tabs>
          <w:tab w:val="num" w:pos="709"/>
        </w:tabs>
        <w:overflowPunct w:val="0"/>
        <w:autoSpaceDE w:val="0"/>
        <w:autoSpaceDN w:val="0"/>
        <w:adjustRightInd w:val="0"/>
        <w:spacing w:after="120"/>
        <w:ind w:left="709" w:hanging="431"/>
        <w:jc w:val="both"/>
        <w:textAlignment w:val="baseline"/>
      </w:pPr>
      <w:r w:rsidRPr="00770D71">
        <w:t>Porozumieni</w:t>
      </w:r>
      <w:r>
        <w:t>u</w:t>
      </w:r>
      <w:r w:rsidRPr="00770D71">
        <w:t xml:space="preserve"> w sprawi</w:t>
      </w:r>
      <w:r>
        <w:t xml:space="preserve">e uregulowania zasad współpracy </w:t>
      </w:r>
      <w:r w:rsidRPr="00770D71">
        <w:t>międzyoperatorskiej wynikającej z</w:t>
      </w:r>
      <w:r>
        <w:t xml:space="preserve"> obowiązku realizacji uprawnień </w:t>
      </w:r>
      <w:r w:rsidRPr="00770D71">
        <w:t>Abonentów do zachowania nume</w:t>
      </w:r>
      <w:r>
        <w:t>ru w przypadku zmiany operatora</w:t>
      </w:r>
      <w:r>
        <w:br/>
      </w:r>
      <w:r w:rsidRPr="00770D71">
        <w:lastRenderedPageBreak/>
        <w:t xml:space="preserve">o Nr POS/K-1757 z dnia 31 października 2007 </w:t>
      </w:r>
      <w:r>
        <w:t xml:space="preserve">r. zmienionego Aneksem </w:t>
      </w:r>
      <w:r>
        <w:br/>
        <w:t>nr 1 z dnia 6 sierpnia 2008 r.;</w:t>
      </w:r>
    </w:p>
    <w:p w:rsidR="00203DFD" w:rsidRDefault="00203DFD" w:rsidP="003565CD">
      <w:pPr>
        <w:numPr>
          <w:ilvl w:val="5"/>
          <w:numId w:val="4"/>
        </w:numPr>
        <w:tabs>
          <w:tab w:val="num" w:pos="709"/>
        </w:tabs>
        <w:overflowPunct w:val="0"/>
        <w:autoSpaceDE w:val="0"/>
        <w:autoSpaceDN w:val="0"/>
        <w:adjustRightInd w:val="0"/>
        <w:spacing w:after="120"/>
        <w:ind w:left="709" w:hanging="431"/>
        <w:jc w:val="both"/>
        <w:textAlignment w:val="baseline"/>
      </w:pPr>
      <w:r w:rsidRPr="00770D71">
        <w:t>Porozumieni</w:t>
      </w:r>
      <w:r>
        <w:t>u</w:t>
      </w:r>
      <w:r w:rsidRPr="00770D71">
        <w:t xml:space="preserve"> </w:t>
      </w:r>
      <w:r w:rsidRPr="00770D71">
        <w:rPr>
          <w:bCs/>
        </w:rPr>
        <w:t xml:space="preserve">w zakresie wprowadzenia Modelu Wymiany Danych </w:t>
      </w:r>
      <w:r w:rsidR="00176FB3">
        <w:rPr>
          <w:bCs/>
        </w:rPr>
        <w:br/>
      </w:r>
      <w:r w:rsidRPr="00770D71">
        <w:rPr>
          <w:bCs/>
        </w:rPr>
        <w:t>dla migracji usług hurtowych w ramach dostępu telekomunikacyjnego</w:t>
      </w:r>
      <w:r>
        <w:br/>
      </w:r>
      <w:r w:rsidRPr="00770D71">
        <w:t xml:space="preserve">o Nr POS/K-3590 z dnia 20 maja 2009 </w:t>
      </w:r>
      <w:r>
        <w:t>r.;</w:t>
      </w:r>
    </w:p>
    <w:p w:rsidR="00203DFD" w:rsidRDefault="00203DFD" w:rsidP="003565CD">
      <w:pPr>
        <w:numPr>
          <w:ilvl w:val="5"/>
          <w:numId w:val="4"/>
        </w:numPr>
        <w:tabs>
          <w:tab w:val="num" w:pos="709"/>
        </w:tabs>
        <w:overflowPunct w:val="0"/>
        <w:autoSpaceDE w:val="0"/>
        <w:autoSpaceDN w:val="0"/>
        <w:adjustRightInd w:val="0"/>
        <w:spacing w:after="120"/>
        <w:ind w:left="709" w:hanging="431"/>
        <w:jc w:val="both"/>
        <w:textAlignment w:val="baseline"/>
      </w:pPr>
      <w:r w:rsidRPr="00770D71">
        <w:t>Porozumieni</w:t>
      </w:r>
      <w:r>
        <w:t>u</w:t>
      </w:r>
      <w:r w:rsidRPr="00770D71">
        <w:t xml:space="preserve"> w zakresie wprowadzenia</w:t>
      </w:r>
      <w:r>
        <w:t xml:space="preserve"> Modelu Realizacji Procesów </w:t>
      </w:r>
      <w:r w:rsidR="00176FB3">
        <w:br/>
      </w:r>
      <w:r>
        <w:t xml:space="preserve">dla </w:t>
      </w:r>
      <w:r w:rsidRPr="00770D71">
        <w:t xml:space="preserve">cesji o Nr POS/K-6290 z dnia 20 lipca 2010 </w:t>
      </w:r>
      <w:r>
        <w:t>r.;</w:t>
      </w:r>
    </w:p>
    <w:p w:rsidR="00203DFD" w:rsidRDefault="00203DFD" w:rsidP="003565CD">
      <w:pPr>
        <w:numPr>
          <w:ilvl w:val="5"/>
          <w:numId w:val="4"/>
        </w:numPr>
        <w:tabs>
          <w:tab w:val="num" w:pos="709"/>
        </w:tabs>
        <w:overflowPunct w:val="0"/>
        <w:autoSpaceDE w:val="0"/>
        <w:autoSpaceDN w:val="0"/>
        <w:adjustRightInd w:val="0"/>
        <w:spacing w:after="120"/>
        <w:ind w:left="709" w:hanging="431"/>
        <w:jc w:val="both"/>
        <w:textAlignment w:val="baseline"/>
        <w:rPr>
          <w:color w:val="000000"/>
        </w:rPr>
      </w:pPr>
      <w:r w:rsidRPr="00770D71">
        <w:t>Umow</w:t>
      </w:r>
      <w:r>
        <w:t>ie</w:t>
      </w:r>
      <w:r w:rsidRPr="00770D71">
        <w:t xml:space="preserve"> o połączeniu sieci Nr POS/K-3557 z dnia 6 maja 2009 </w:t>
      </w:r>
      <w:r>
        <w:t>r.</w:t>
      </w:r>
      <w:r w:rsidRPr="00F03D54">
        <w:rPr>
          <w:color w:val="000000"/>
        </w:rPr>
        <w:t xml:space="preserve"> </w:t>
      </w:r>
      <w:r>
        <w:rPr>
          <w:color w:val="000000"/>
        </w:rPr>
        <w:t xml:space="preserve">zmienionej następnie Aneksem nr 1 z dnia 18 lutego 2010 r., Aneksem nr 2 z dnia 1 lipca 2011 r., Aneksem nr 3 z dnia 1 lipca 2011 r., Aneksem nr 4 z dnia 1 lipca 2011 r. </w:t>
      </w:r>
      <w:r w:rsidRPr="00F03D54">
        <w:rPr>
          <w:color w:val="000000"/>
        </w:rPr>
        <w:t>oraz decyzją Prezesa UKE nr DHRT-WWM-6080-100/11(18) z dnia 25 stycznia 2012 r</w:t>
      </w:r>
      <w:r>
        <w:rPr>
          <w:color w:val="000000"/>
        </w:rPr>
        <w:t>.;</w:t>
      </w:r>
    </w:p>
    <w:p w:rsidR="00203DFD" w:rsidRDefault="00203DFD" w:rsidP="003565CD">
      <w:pPr>
        <w:numPr>
          <w:ilvl w:val="5"/>
          <w:numId w:val="4"/>
        </w:numPr>
        <w:tabs>
          <w:tab w:val="num" w:pos="709"/>
        </w:tabs>
        <w:overflowPunct w:val="0"/>
        <w:autoSpaceDE w:val="0"/>
        <w:autoSpaceDN w:val="0"/>
        <w:adjustRightInd w:val="0"/>
        <w:spacing w:after="120"/>
        <w:ind w:left="709" w:hanging="431"/>
        <w:jc w:val="both"/>
        <w:textAlignment w:val="baseline"/>
      </w:pPr>
      <w:r w:rsidRPr="00F03D54">
        <w:rPr>
          <w:color w:val="000000"/>
        </w:rPr>
        <w:t xml:space="preserve">Umowie hurtowego dostępu do sieci OPL Nr POS/K-3446 z dnia </w:t>
      </w:r>
      <w:r>
        <w:rPr>
          <w:color w:val="000000"/>
        </w:rPr>
        <w:br/>
      </w:r>
      <w:r w:rsidRPr="00F03D54">
        <w:rPr>
          <w:color w:val="000000"/>
        </w:rPr>
        <w:t>6 maja</w:t>
      </w:r>
      <w:r>
        <w:rPr>
          <w:color w:val="000000"/>
        </w:rPr>
        <w:t xml:space="preserve"> </w:t>
      </w:r>
      <w:r w:rsidRPr="00F03D54">
        <w:rPr>
          <w:color w:val="000000"/>
        </w:rPr>
        <w:t xml:space="preserve">2009 r. zmienionej następnie Aneksem nr </w:t>
      </w:r>
      <w:r>
        <w:rPr>
          <w:color w:val="000000"/>
        </w:rPr>
        <w:t xml:space="preserve">1 z dnia 16 września </w:t>
      </w:r>
      <w:r>
        <w:rPr>
          <w:color w:val="000000"/>
        </w:rPr>
        <w:br/>
        <w:t>2009 r.;</w:t>
      </w:r>
    </w:p>
    <w:p w:rsidR="00203DFD" w:rsidRDefault="00203DFD" w:rsidP="003565CD">
      <w:pPr>
        <w:numPr>
          <w:ilvl w:val="5"/>
          <w:numId w:val="4"/>
        </w:numPr>
        <w:tabs>
          <w:tab w:val="num" w:pos="709"/>
        </w:tabs>
        <w:overflowPunct w:val="0"/>
        <w:autoSpaceDE w:val="0"/>
        <w:autoSpaceDN w:val="0"/>
        <w:adjustRightInd w:val="0"/>
        <w:spacing w:after="120"/>
        <w:ind w:left="709" w:hanging="431"/>
        <w:jc w:val="both"/>
        <w:textAlignment w:val="baseline"/>
      </w:pPr>
      <w:r w:rsidRPr="00770D71">
        <w:t>Umow</w:t>
      </w:r>
      <w:r>
        <w:t>ie</w:t>
      </w:r>
      <w:r w:rsidRPr="00770D71">
        <w:t xml:space="preserve"> dzierżawy urządzeń NT N</w:t>
      </w:r>
      <w:r>
        <w:t>r POS/K-4564 z dnia 9 listopada</w:t>
      </w:r>
      <w:r>
        <w:br/>
        <w:t>2008 r.;</w:t>
      </w:r>
    </w:p>
    <w:p w:rsidR="00203DFD" w:rsidRDefault="00203DFD" w:rsidP="003565CD">
      <w:pPr>
        <w:numPr>
          <w:ilvl w:val="5"/>
          <w:numId w:val="4"/>
        </w:numPr>
        <w:tabs>
          <w:tab w:val="num" w:pos="709"/>
        </w:tabs>
        <w:overflowPunct w:val="0"/>
        <w:autoSpaceDE w:val="0"/>
        <w:autoSpaceDN w:val="0"/>
        <w:adjustRightInd w:val="0"/>
        <w:spacing w:after="120"/>
        <w:ind w:left="709" w:hanging="431"/>
        <w:jc w:val="both"/>
        <w:textAlignment w:val="baseline"/>
      </w:pPr>
      <w:r w:rsidRPr="00770D71">
        <w:t>Porozumieni</w:t>
      </w:r>
      <w:r>
        <w:t>u</w:t>
      </w:r>
      <w:r w:rsidRPr="00770D71">
        <w:t xml:space="preserve"> określające</w:t>
      </w:r>
      <w:r>
        <w:t>mu</w:t>
      </w:r>
      <w:r w:rsidRPr="00770D71">
        <w:t xml:space="preserve"> wysokość opłaty z tytułu u</w:t>
      </w:r>
      <w:r>
        <w:t xml:space="preserve">dostępnienia przez OPL na rzecz </w:t>
      </w:r>
      <w:r w:rsidRPr="00770D71">
        <w:t xml:space="preserve">Crowley Data Poland (na potrzeby realizacji Usługi WLR </w:t>
      </w:r>
      <w:r>
        <w:br/>
      </w:r>
      <w:r w:rsidRPr="00770D71">
        <w:t xml:space="preserve">w zakresie dostępu ISDN) bezpośrednich numerów wewnętrznych (DDI) </w:t>
      </w:r>
      <w:r>
        <w:br/>
      </w:r>
      <w:r w:rsidRPr="00770D71">
        <w:t>Nr POS/K-4333 z dnia 15 września 2009 r</w:t>
      </w:r>
      <w:r>
        <w:t>.;</w:t>
      </w:r>
    </w:p>
    <w:p w:rsidR="00203DFD" w:rsidRDefault="00203DFD" w:rsidP="003565CD">
      <w:pPr>
        <w:numPr>
          <w:ilvl w:val="5"/>
          <w:numId w:val="4"/>
        </w:numPr>
        <w:tabs>
          <w:tab w:val="num" w:pos="709"/>
        </w:tabs>
        <w:overflowPunct w:val="0"/>
        <w:autoSpaceDE w:val="0"/>
        <w:autoSpaceDN w:val="0"/>
        <w:adjustRightInd w:val="0"/>
        <w:spacing w:after="120"/>
        <w:ind w:left="709" w:hanging="431"/>
        <w:jc w:val="both"/>
        <w:textAlignment w:val="baseline"/>
      </w:pPr>
      <w:r w:rsidRPr="00770D71">
        <w:t>Porozumieni</w:t>
      </w:r>
      <w:r>
        <w:t>u</w:t>
      </w:r>
      <w:r w:rsidRPr="00770D71">
        <w:t xml:space="preserve"> wprowadzające</w:t>
      </w:r>
      <w:r>
        <w:t>mu</w:t>
      </w:r>
      <w:r w:rsidRPr="00770D71">
        <w:t xml:space="preserve"> Model Realizacji Procesów dla realizacji cesji abonenckiej Nr POS/K-8689 z dnia 14 września 2011 r</w:t>
      </w:r>
      <w:r>
        <w:t>.</w:t>
      </w:r>
      <w:r w:rsidRPr="00770D71">
        <w:rPr>
          <w:color w:val="000000"/>
        </w:rPr>
        <w:t xml:space="preserve"> </w:t>
      </w:r>
    </w:p>
    <w:p w:rsidR="00203DFD" w:rsidRDefault="00203DFD" w:rsidP="008C387B">
      <w:pPr>
        <w:spacing w:before="120" w:after="120"/>
        <w:jc w:val="both"/>
        <w:rPr>
          <w:b/>
        </w:rPr>
      </w:pPr>
      <w:r>
        <w:rPr>
          <w:b/>
        </w:rPr>
        <w:t>I. z zastrzeżeniem zmian wynikających z pkt II poniżej</w:t>
      </w:r>
      <w:r w:rsidRPr="0034591E">
        <w:rPr>
          <w:b/>
        </w:rPr>
        <w:t>,</w:t>
      </w:r>
      <w:r>
        <w:rPr>
          <w:b/>
        </w:rPr>
        <w:t xml:space="preserve"> odmawiam</w:t>
      </w:r>
      <w:r>
        <w:t xml:space="preserve"> </w:t>
      </w:r>
      <w:r w:rsidRPr="002F506C">
        <w:rPr>
          <w:b/>
        </w:rPr>
        <w:t>zmiany</w:t>
      </w:r>
      <w:r>
        <w:rPr>
          <w:b/>
        </w:rPr>
        <w:t xml:space="preserve"> następujących umów w zakresie, w jakim wniosek o ich zmianę dotyczył ustalenia warunków świadczenia usług przez Netię na rzecz OPL</w:t>
      </w:r>
      <w:r w:rsidRPr="002F506C">
        <w:rPr>
          <w:b/>
        </w:rPr>
        <w:t>:</w:t>
      </w:r>
    </w:p>
    <w:p w:rsidR="00203DFD" w:rsidRDefault="00203DFD" w:rsidP="003565CD">
      <w:pPr>
        <w:numPr>
          <w:ilvl w:val="5"/>
          <w:numId w:val="10"/>
        </w:numPr>
        <w:tabs>
          <w:tab w:val="clear" w:pos="1152"/>
          <w:tab w:val="num" w:pos="709"/>
        </w:tabs>
        <w:overflowPunct w:val="0"/>
        <w:autoSpaceDE w:val="0"/>
        <w:autoSpaceDN w:val="0"/>
        <w:adjustRightInd w:val="0"/>
        <w:spacing w:after="120"/>
        <w:ind w:left="709" w:hanging="431"/>
        <w:jc w:val="both"/>
        <w:textAlignment w:val="baseline"/>
      </w:pPr>
      <w:r>
        <w:t>Umowy</w:t>
      </w:r>
      <w:r w:rsidRPr="00770D71">
        <w:t xml:space="preserve"> o </w:t>
      </w:r>
      <w:r w:rsidR="00BF47ED">
        <w:t>p</w:t>
      </w:r>
      <w:r w:rsidRPr="00770D71">
        <w:t xml:space="preserve">ołączeniu </w:t>
      </w:r>
      <w:r w:rsidR="00BF47ED">
        <w:t>s</w:t>
      </w:r>
      <w:r w:rsidRPr="00770D71">
        <w:t>ieci Nr POS/K-15</w:t>
      </w:r>
      <w:r>
        <w:t xml:space="preserve">81 z dnia 30 czerwca </w:t>
      </w:r>
      <w:r>
        <w:br/>
        <w:t>2007 r.</w:t>
      </w:r>
      <w:r w:rsidRPr="001C4DEB">
        <w:t xml:space="preserve"> </w:t>
      </w:r>
      <w:r>
        <w:t>zmienionej następnie Aneksem nr 1 z dnia 21 listopada 2007 r., Aneksem nr 2 z dnia 15 kwietnia 2008 r.,</w:t>
      </w:r>
      <w:r w:rsidRPr="00280328">
        <w:t xml:space="preserve"> </w:t>
      </w:r>
      <w:r>
        <w:t xml:space="preserve">Porozumieniem z dnia 3 czerwca 2009 r., Załącznikiem nr 31 z dnia 4 czerwca 2009 r., Porozumieniem z dnia 3 czerwca 2009 r., Aneksem nr 3 z dnia 16 lutego 2010 r., Aneksem </w:t>
      </w:r>
      <w:r>
        <w:br/>
        <w:t xml:space="preserve">Nr 4 z dnia 22 września 2011 r., Porozumieniem z dnia 31 października </w:t>
      </w:r>
      <w:r w:rsidR="00972580">
        <w:br/>
      </w:r>
      <w:r>
        <w:t xml:space="preserve">2013 r. oraz decyzjami Prezesa UKE: nr DHRT-WWM-60600-9/08(24) </w:t>
      </w:r>
      <w:r w:rsidR="00972580">
        <w:br/>
      </w:r>
      <w:r>
        <w:t>z dnia 20 maja 2008 r., nr DHRT-WWM-60600-127/08(20)</w:t>
      </w:r>
      <w:r w:rsidRPr="00AC28C4">
        <w:t xml:space="preserve"> </w:t>
      </w:r>
      <w:r>
        <w:t xml:space="preserve">z dnia 20 lutego </w:t>
      </w:r>
      <w:r>
        <w:br/>
        <w:t>2009 r., nr DHRT-WWM-60600-177/08(27)</w:t>
      </w:r>
      <w:r w:rsidRPr="00AC28C4">
        <w:t xml:space="preserve"> </w:t>
      </w:r>
      <w:r>
        <w:t xml:space="preserve">z dnia 10 sierpnia 2009 r., </w:t>
      </w:r>
      <w:r>
        <w:br/>
        <w:t>nr DHRT-WWM-6080-85/11(28)</w:t>
      </w:r>
      <w:r w:rsidRPr="00AC28C4">
        <w:t xml:space="preserve"> </w:t>
      </w:r>
      <w:r>
        <w:t>z dnia 13 stycznia 2012 r., nr DHRT-WWM-6080-113/11(25)</w:t>
      </w:r>
      <w:r w:rsidRPr="00AC28C4">
        <w:t xml:space="preserve"> </w:t>
      </w:r>
      <w:r>
        <w:t>z dnia 21 czerwca 2012 r.</w:t>
      </w:r>
      <w:r w:rsidR="00BF47ED">
        <w:t xml:space="preserve"> (zwana dalej „Umową </w:t>
      </w:r>
      <w:r w:rsidR="003D127F">
        <w:br/>
      </w:r>
      <w:r w:rsidR="00BF47ED">
        <w:t>o Połączeniu Sieci”)</w:t>
      </w:r>
      <w:r>
        <w:t>;</w:t>
      </w:r>
    </w:p>
    <w:p w:rsidR="00203DFD" w:rsidRDefault="00203DFD" w:rsidP="003565CD">
      <w:pPr>
        <w:numPr>
          <w:ilvl w:val="5"/>
          <w:numId w:val="10"/>
        </w:numPr>
        <w:tabs>
          <w:tab w:val="clear" w:pos="1152"/>
          <w:tab w:val="num" w:pos="709"/>
        </w:tabs>
        <w:overflowPunct w:val="0"/>
        <w:autoSpaceDE w:val="0"/>
        <w:autoSpaceDN w:val="0"/>
        <w:adjustRightInd w:val="0"/>
        <w:spacing w:after="120"/>
        <w:ind w:left="709" w:hanging="431"/>
        <w:jc w:val="both"/>
        <w:textAlignment w:val="baseline"/>
      </w:pPr>
      <w:r>
        <w:t>Umowy</w:t>
      </w:r>
      <w:r w:rsidRPr="00770D71">
        <w:t xml:space="preserve"> o </w:t>
      </w:r>
      <w:r w:rsidR="00BF47ED">
        <w:t>p</w:t>
      </w:r>
      <w:r w:rsidRPr="00770D71">
        <w:t xml:space="preserve">ołączeniu </w:t>
      </w:r>
      <w:r w:rsidR="00BF47ED">
        <w:t>s</w:t>
      </w:r>
      <w:r w:rsidRPr="00770D71">
        <w:t>ieci z dnia 19 grudnia 2002 r</w:t>
      </w:r>
      <w:r>
        <w:t>.</w:t>
      </w:r>
      <w:r w:rsidRPr="001C4DEB">
        <w:t xml:space="preserve"> </w:t>
      </w:r>
      <w:r>
        <w:t xml:space="preserve">zmienionej następnie Aneksem nr 1 z dnia 19 grudnia 2002 r., Aneksem nr 2 z dnia </w:t>
      </w:r>
      <w:r w:rsidR="00984169">
        <w:br/>
      </w:r>
      <w:r>
        <w:t>20 października 2003 r., Porozumieniem z dnia 22 stycznia 2004 r., Aneksem nr 3 z dnia 10 marca 2004 r., Aneksem nr 4 z dnia 18 maja 2004 r., Aneksem nr 5 z dnia 15 lipca 2005 r.,</w:t>
      </w:r>
      <w:r w:rsidRPr="00EA5A6A">
        <w:t xml:space="preserve"> </w:t>
      </w:r>
      <w:r>
        <w:t>Aneksem nr 6 z dnia 10 maja 2006 r., Aneksem nr 7 z dnia 15 lipca 2006, Aneksem nr 8 z dnia 7 g</w:t>
      </w:r>
      <w:r w:rsidR="0097370F">
        <w:t>rudnia 2006</w:t>
      </w:r>
      <w:r>
        <w:t xml:space="preserve"> r. oraz Porozumieniem z dnia 14 września 2009 r.</w:t>
      </w:r>
      <w:r w:rsidRPr="00235B36">
        <w:t xml:space="preserve"> </w:t>
      </w:r>
      <w:r>
        <w:t xml:space="preserve">oraz decyzjami Prezesa Urzędu Regulacji Telekomunikacji i Poczty nr DRT-WWM-40/03 z dnia 22 grudnia </w:t>
      </w:r>
      <w:r>
        <w:lastRenderedPageBreak/>
        <w:t xml:space="preserve">2003 r., nr DRT-WWM-67/04 z dnia 1 października 2004 r., nr DRT-WWM-74/04 z dnia 4 listopada 2004 r., nr DRT-WWM-60600-14/03(61) z dnia </w:t>
      </w:r>
      <w:r>
        <w:br/>
        <w:t xml:space="preserve">6 lipca 2005 r., nr DRT-WWM-60600-14/03 (65) z dnia 7 lipca </w:t>
      </w:r>
      <w:r>
        <w:br/>
        <w:t xml:space="preserve">2005 r. </w:t>
      </w:r>
      <w:r>
        <w:rPr>
          <w:color w:val="000000"/>
        </w:rPr>
        <w:t>a</w:t>
      </w:r>
      <w:r>
        <w:t> </w:t>
      </w:r>
      <w:r>
        <w:rPr>
          <w:color w:val="000000"/>
        </w:rPr>
        <w:t>także decyzjami Prezesa UKE nr DRT-WWM-60600-43/04(180) z</w:t>
      </w:r>
      <w:r>
        <w:t> </w:t>
      </w:r>
      <w:r>
        <w:rPr>
          <w:color w:val="000000"/>
        </w:rPr>
        <w:t>dnia 29 grudnia 2006 r., nr DRTH-WWM-60600-76/06(31) z dnia 30</w:t>
      </w:r>
      <w:r>
        <w:t> </w:t>
      </w:r>
      <w:r>
        <w:rPr>
          <w:color w:val="000000"/>
        </w:rPr>
        <w:t>marca 2007</w:t>
      </w:r>
      <w:r>
        <w:t> </w:t>
      </w:r>
      <w:r>
        <w:rPr>
          <w:color w:val="000000"/>
        </w:rPr>
        <w:t>r., nr</w:t>
      </w:r>
      <w:r>
        <w:t> </w:t>
      </w:r>
      <w:r>
        <w:rPr>
          <w:color w:val="000000"/>
        </w:rPr>
        <w:t>DHRT-WWM-60600-15/08(23) z</w:t>
      </w:r>
      <w:r>
        <w:t> </w:t>
      </w:r>
      <w:r>
        <w:rPr>
          <w:color w:val="000000"/>
        </w:rPr>
        <w:t>dnia 8 lipca 2008 r., nr DHRT-WWM-60600-12/08(23) z dnia 4</w:t>
      </w:r>
      <w:r>
        <w:t> </w:t>
      </w:r>
      <w:r>
        <w:rPr>
          <w:color w:val="000000"/>
        </w:rPr>
        <w:t>sierpnia</w:t>
      </w:r>
      <w:r>
        <w:t> </w:t>
      </w:r>
      <w:r>
        <w:rPr>
          <w:color w:val="000000"/>
        </w:rPr>
        <w:t>2008</w:t>
      </w:r>
      <w:r>
        <w:t> </w:t>
      </w:r>
      <w:r>
        <w:rPr>
          <w:color w:val="000000"/>
        </w:rPr>
        <w:t xml:space="preserve">r.,  nr DHRT-WWM-60600-85/08(38) z dnia 2 lutego 2009 r., nr DHRT-WWM-60600-116/08(25) z dnia 23 lutego 2009 r., nr DHRT-WWM-60600-66/08(37) z dnia 24 lutego </w:t>
      </w:r>
      <w:r>
        <w:rPr>
          <w:color w:val="000000"/>
        </w:rPr>
        <w:br/>
        <w:t>2009 r., nr DHRT-WWM-60600-84/08(32) z dnia 18 marca 2009 r.</w:t>
      </w:r>
      <w:r w:rsidRPr="00770D71">
        <w:t>;</w:t>
      </w:r>
    </w:p>
    <w:p w:rsidR="00203DFD" w:rsidRDefault="00203DFD" w:rsidP="003565CD">
      <w:pPr>
        <w:numPr>
          <w:ilvl w:val="5"/>
          <w:numId w:val="10"/>
        </w:numPr>
        <w:tabs>
          <w:tab w:val="clear" w:pos="1152"/>
          <w:tab w:val="num" w:pos="709"/>
        </w:tabs>
        <w:overflowPunct w:val="0"/>
        <w:autoSpaceDE w:val="0"/>
        <w:autoSpaceDN w:val="0"/>
        <w:adjustRightInd w:val="0"/>
        <w:spacing w:after="120"/>
        <w:ind w:left="709" w:hanging="431"/>
        <w:jc w:val="both"/>
        <w:textAlignment w:val="baseline"/>
      </w:pPr>
      <w:r>
        <w:t>Umowy</w:t>
      </w:r>
      <w:r w:rsidRPr="00770D71">
        <w:t xml:space="preserve"> o </w:t>
      </w:r>
      <w:r w:rsidR="00BF47ED">
        <w:t>p</w:t>
      </w:r>
      <w:r w:rsidRPr="00770D71">
        <w:t xml:space="preserve">ołączeniu </w:t>
      </w:r>
      <w:r w:rsidR="00BF47ED">
        <w:t>s</w:t>
      </w:r>
      <w:r w:rsidRPr="00770D71">
        <w:t xml:space="preserve">ieci z dnia 15 lipca 2005 </w:t>
      </w:r>
      <w:r>
        <w:t>r.</w:t>
      </w:r>
      <w:r w:rsidRPr="00770D71">
        <w:t xml:space="preserve"> </w:t>
      </w:r>
      <w:r>
        <w:t>zmienionej następnie Aneksem nr 1 z dnia 15 lipca 2005 r.</w:t>
      </w:r>
      <w:r w:rsidRPr="00962CC7">
        <w:t xml:space="preserve"> </w:t>
      </w:r>
      <w:r>
        <w:t xml:space="preserve">Aneksem nr 2 z dnia 25 sierpnia </w:t>
      </w:r>
      <w:r>
        <w:br/>
        <w:t xml:space="preserve">2005 r. Aneksem nr 3 z dnia 6 grudnia 2005 r., Aneksem nr 4 z dnia </w:t>
      </w:r>
      <w:r>
        <w:br/>
        <w:t xml:space="preserve">12 kwietnia 2006 r., Aneksem nr 5 z dnia 16 października 2006 r., Aneksem nr 6 z dnia 3 lipca 2007 r., Aneksem nr 7 z dnia 10 czerwca 2008 r. </w:t>
      </w:r>
      <w:r w:rsidR="00F70AC5">
        <w:br/>
      </w:r>
      <w:r>
        <w:t xml:space="preserve">oraz decyzjami Prezesa UKE nr DRTH-WWM-60600-47/06(39) z dnia </w:t>
      </w:r>
      <w:r>
        <w:br/>
        <w:t xml:space="preserve">26 stycznia 2007 r., nr DHRT-WWM-60600-124/07(41) z dnia 16 maja </w:t>
      </w:r>
      <w:r w:rsidR="0097370F">
        <w:br/>
      </w:r>
      <w:r>
        <w:t xml:space="preserve">2008 r., nr DHRT-WWM-60600-151/08(21) z dnia 31 marca 2009 r., </w:t>
      </w:r>
      <w:r w:rsidR="0097370F">
        <w:br/>
      </w:r>
      <w:r>
        <w:t>nr DHRT-WWM-60600-102/08(64) z dnia 9 grudnia 2009 r.;</w:t>
      </w:r>
    </w:p>
    <w:p w:rsidR="00203DFD" w:rsidRDefault="00203DFD" w:rsidP="003565CD">
      <w:pPr>
        <w:numPr>
          <w:ilvl w:val="5"/>
          <w:numId w:val="10"/>
        </w:numPr>
        <w:tabs>
          <w:tab w:val="clear" w:pos="1152"/>
          <w:tab w:val="num" w:pos="709"/>
        </w:tabs>
        <w:overflowPunct w:val="0"/>
        <w:autoSpaceDE w:val="0"/>
        <w:autoSpaceDN w:val="0"/>
        <w:adjustRightInd w:val="0"/>
        <w:spacing w:after="120"/>
        <w:ind w:left="709" w:hanging="431"/>
        <w:jc w:val="both"/>
        <w:textAlignment w:val="baseline"/>
      </w:pPr>
      <w:r>
        <w:t>Umowy</w:t>
      </w:r>
      <w:r w:rsidRPr="00770D71">
        <w:t xml:space="preserve"> o połączeniu sieci Nr POS/K-3557 z dnia 6 maja 2009 </w:t>
      </w:r>
      <w:r>
        <w:t>r.</w:t>
      </w:r>
      <w:r w:rsidRPr="00A31DB5">
        <w:rPr>
          <w:color w:val="000000"/>
        </w:rPr>
        <w:t xml:space="preserve"> </w:t>
      </w:r>
      <w:r>
        <w:rPr>
          <w:color w:val="000000"/>
        </w:rPr>
        <w:t xml:space="preserve">zmienionej następnie Aneksem nr 1 z dnia 18 lutego 2010 r., Aneksem nr 2 z dnia 1 lipca 2011 r., Aneksem nr 3 z dnia 1 lipca 2011 r., Aneksem nr 4 z dnia 1 lipca 2011 r. </w:t>
      </w:r>
      <w:r w:rsidRPr="00F03D54">
        <w:rPr>
          <w:color w:val="000000"/>
        </w:rPr>
        <w:t>oraz decyzją Prezesa UKE nr DHRT-WWM-6080-100/11(18) z dnia 25 stycznia 2012 r</w:t>
      </w:r>
      <w:r>
        <w:rPr>
          <w:color w:val="000000"/>
        </w:rPr>
        <w:t>.</w:t>
      </w:r>
      <w:r>
        <w:t>;</w:t>
      </w:r>
    </w:p>
    <w:p w:rsidR="00203DFD" w:rsidRPr="00DA7BC2" w:rsidRDefault="00203DFD" w:rsidP="00DA7BC2">
      <w:pPr>
        <w:pStyle w:val="Nagwek5"/>
        <w:tabs>
          <w:tab w:val="left" w:pos="567"/>
        </w:tabs>
        <w:spacing w:line="240" w:lineRule="auto"/>
        <w:rPr>
          <w:bCs w:val="0"/>
        </w:rPr>
      </w:pPr>
      <w:r>
        <w:t>II</w:t>
      </w:r>
      <w:r w:rsidRPr="00DA7BC2">
        <w:t xml:space="preserve">. zmieniam postanowienia </w:t>
      </w:r>
      <w:r w:rsidR="00E55EAD">
        <w:t>Umowy o Połączeniu Sieci</w:t>
      </w:r>
      <w:r w:rsidR="00BF47ED">
        <w:t>,</w:t>
      </w:r>
      <w:r>
        <w:rPr>
          <w:bCs w:val="0"/>
        </w:rPr>
        <w:t xml:space="preserve"> o </w:t>
      </w:r>
      <w:r w:rsidR="00E55EAD">
        <w:rPr>
          <w:bCs w:val="0"/>
        </w:rPr>
        <w:t xml:space="preserve">której </w:t>
      </w:r>
      <w:r>
        <w:rPr>
          <w:bCs w:val="0"/>
        </w:rPr>
        <w:t xml:space="preserve">mowa </w:t>
      </w:r>
      <w:r w:rsidRPr="00285A12">
        <w:rPr>
          <w:bCs w:val="0"/>
        </w:rPr>
        <w:t xml:space="preserve">w pkt I  </w:t>
      </w:r>
      <w:r>
        <w:rPr>
          <w:bCs w:val="0"/>
        </w:rPr>
        <w:br/>
      </w:r>
      <w:r w:rsidRPr="00DA7BC2">
        <w:rPr>
          <w:bCs w:val="0"/>
        </w:rPr>
        <w:t>w następujący sposób:</w:t>
      </w:r>
    </w:p>
    <w:p w:rsidR="00BF47ED" w:rsidRDefault="0078159C" w:rsidP="006935CF">
      <w:pPr>
        <w:tabs>
          <w:tab w:val="left" w:pos="900"/>
        </w:tabs>
        <w:spacing w:after="120"/>
        <w:jc w:val="both"/>
      </w:pPr>
      <w:r>
        <w:t xml:space="preserve">1. </w:t>
      </w:r>
      <w:r w:rsidR="00203DFD" w:rsidRPr="004D5C6B">
        <w:t xml:space="preserve">W art. </w:t>
      </w:r>
      <w:r w:rsidR="004573BF">
        <w:t>5</w:t>
      </w:r>
      <w:r w:rsidR="004573BF" w:rsidRPr="004D5C6B">
        <w:t xml:space="preserve"> </w:t>
      </w:r>
      <w:r w:rsidR="00203DFD" w:rsidRPr="004D5C6B">
        <w:t>„</w:t>
      </w:r>
      <w:r w:rsidR="004573BF">
        <w:t>Opłaty na rzecz TP za ruch międzysieciowy</w:t>
      </w:r>
      <w:r w:rsidR="00203DFD" w:rsidRPr="004D5C6B">
        <w:t>”</w:t>
      </w:r>
      <w:r w:rsidR="00001FC4">
        <w:t xml:space="preserve">, w </w:t>
      </w:r>
      <w:r w:rsidR="00203DFD" w:rsidRPr="004D5C6B">
        <w:t xml:space="preserve"> ust. </w:t>
      </w:r>
      <w:r w:rsidR="004573BF" w:rsidRPr="004D5C6B">
        <w:t>1</w:t>
      </w:r>
      <w:r w:rsidR="004573BF">
        <w:t>1</w:t>
      </w:r>
      <w:r>
        <w:t xml:space="preserve"> „</w:t>
      </w:r>
      <w:r w:rsidR="00001FC4" w:rsidRPr="00001FC4">
        <w:t>Opłaty związane z Przeniesieniem Numerów</w:t>
      </w:r>
      <w:r w:rsidR="00001FC4">
        <w:t>”</w:t>
      </w:r>
      <w:r w:rsidR="00001FC4" w:rsidRPr="00001FC4" w:rsidDel="004573BF">
        <w:t xml:space="preserve"> </w:t>
      </w:r>
      <w:r>
        <w:t xml:space="preserve">w </w:t>
      </w:r>
      <w:r w:rsidR="00970ABF">
        <w:t>pkt. 2</w:t>
      </w:r>
      <w:r>
        <w:rPr>
          <w:b/>
          <w:bCs/>
        </w:rPr>
        <w:t xml:space="preserve"> </w:t>
      </w:r>
      <w:r w:rsidR="00970ABF">
        <w:rPr>
          <w:b/>
          <w:bCs/>
        </w:rPr>
        <w:t>„</w:t>
      </w:r>
      <w:r w:rsidR="00970ABF">
        <w:t xml:space="preserve">Opłaty abonamentowe związane </w:t>
      </w:r>
      <w:r>
        <w:br/>
      </w:r>
      <w:r w:rsidR="00970ABF">
        <w:t xml:space="preserve">z Przeniesieniem Numerów z Sieci Netia (Przedsiębiorcy Macierzystego) do Sieci TP” </w:t>
      </w:r>
      <w:r w:rsidR="004573BF">
        <w:t>zmienia się Tabelę Nr 25 „Opłaty abonamentowe związane z Przeniesieniem Numerów z Sieci Netia do Sieci TP, należne Netia od TP”</w:t>
      </w:r>
      <w:r w:rsidR="00001FC4">
        <w:t xml:space="preserve"> </w:t>
      </w:r>
      <w:r w:rsidR="00970ABF">
        <w:t>w następujący sposób</w:t>
      </w:r>
      <w:r w:rsidR="00001FC4">
        <w:t>:</w:t>
      </w:r>
    </w:p>
    <w:p w:rsidR="00107B73" w:rsidRPr="00984169" w:rsidRDefault="00001FC4" w:rsidP="006935CF">
      <w:pPr>
        <w:spacing w:after="120"/>
      </w:pPr>
      <w:r w:rsidRPr="00984169" w:rsidDel="00001FC4">
        <w:t xml:space="preserve"> </w:t>
      </w:r>
      <w:r w:rsidR="00203DFD" w:rsidRPr="00984169">
        <w:t xml:space="preserve">Tabela nr </w:t>
      </w:r>
      <w:r w:rsidRPr="00984169">
        <w:t>25</w:t>
      </w:r>
      <w:r w:rsidR="00203DFD" w:rsidRPr="00984169">
        <w:t>. Opłaty za przeniesienie numeru.</w:t>
      </w:r>
    </w:p>
    <w:tbl>
      <w:tblPr>
        <w:tblW w:w="5044" w:type="pct"/>
        <w:tblCellMar>
          <w:left w:w="30" w:type="dxa"/>
          <w:right w:w="30" w:type="dxa"/>
        </w:tblCellMar>
        <w:tblLook w:val="0000"/>
      </w:tblPr>
      <w:tblGrid>
        <w:gridCol w:w="510"/>
        <w:gridCol w:w="5800"/>
        <w:gridCol w:w="2043"/>
      </w:tblGrid>
      <w:tr w:rsidR="00203DFD" w:rsidRPr="008874B8" w:rsidTr="00DA7BC2">
        <w:trPr>
          <w:cantSplit/>
        </w:trPr>
        <w:tc>
          <w:tcPr>
            <w:tcW w:w="5000" w:type="pct"/>
            <w:gridSpan w:val="3"/>
            <w:tcBorders>
              <w:top w:val="single" w:sz="4" w:space="0" w:color="auto"/>
              <w:left w:val="single" w:sz="4" w:space="0" w:color="auto"/>
              <w:bottom w:val="single" w:sz="4" w:space="0" w:color="auto"/>
              <w:right w:val="single" w:sz="4" w:space="0" w:color="auto"/>
            </w:tcBorders>
            <w:shd w:val="clear" w:color="auto" w:fill="C0C0C0"/>
          </w:tcPr>
          <w:p w:rsidR="00203DFD" w:rsidRPr="008874B8" w:rsidRDefault="00203DFD" w:rsidP="00DA7BC2">
            <w:pPr>
              <w:pStyle w:val="tabelanagwek"/>
              <w:jc w:val="left"/>
              <w:rPr>
                <w:rFonts w:ascii="Times New Roman" w:hAnsi="Times New Roman" w:cs="Times New Roman"/>
                <w:sz w:val="24"/>
                <w:szCs w:val="24"/>
              </w:rPr>
            </w:pPr>
            <w:r w:rsidRPr="008874B8">
              <w:rPr>
                <w:rFonts w:ascii="Times New Roman" w:hAnsi="Times New Roman" w:cs="Times New Roman"/>
                <w:sz w:val="24"/>
                <w:szCs w:val="24"/>
              </w:rPr>
              <w:t>Przeniesienie numerów</w:t>
            </w:r>
          </w:p>
        </w:tc>
      </w:tr>
      <w:tr w:rsidR="00203DFD" w:rsidRPr="008874B8" w:rsidTr="00DA7BC2">
        <w:trPr>
          <w:cantSplit/>
        </w:trPr>
        <w:tc>
          <w:tcPr>
            <w:tcW w:w="305" w:type="pct"/>
            <w:tcBorders>
              <w:top w:val="single" w:sz="4" w:space="0" w:color="auto"/>
              <w:left w:val="single" w:sz="4" w:space="0" w:color="auto"/>
              <w:bottom w:val="single" w:sz="4" w:space="0" w:color="auto"/>
              <w:right w:val="single" w:sz="4" w:space="0" w:color="auto"/>
            </w:tcBorders>
            <w:shd w:val="clear" w:color="auto" w:fill="C0C0C0"/>
          </w:tcPr>
          <w:p w:rsidR="00203DFD" w:rsidRPr="008874B8" w:rsidRDefault="00203DFD" w:rsidP="00DA7BC2">
            <w:pPr>
              <w:pStyle w:val="tabelanagwekLP"/>
              <w:jc w:val="left"/>
              <w:rPr>
                <w:rFonts w:ascii="Times New Roman" w:hAnsi="Times New Roman" w:cs="Times New Roman"/>
                <w:sz w:val="24"/>
                <w:szCs w:val="24"/>
              </w:rPr>
            </w:pPr>
            <w:r w:rsidRPr="008874B8">
              <w:rPr>
                <w:rFonts w:ascii="Times New Roman" w:hAnsi="Times New Roman" w:cs="Times New Roman"/>
                <w:sz w:val="24"/>
                <w:szCs w:val="24"/>
              </w:rPr>
              <w:t>Lp.</w:t>
            </w:r>
          </w:p>
        </w:tc>
        <w:tc>
          <w:tcPr>
            <w:tcW w:w="3472" w:type="pct"/>
            <w:tcBorders>
              <w:top w:val="single" w:sz="4" w:space="0" w:color="auto"/>
              <w:left w:val="single" w:sz="4" w:space="0" w:color="auto"/>
              <w:bottom w:val="single" w:sz="4" w:space="0" w:color="auto"/>
              <w:right w:val="single" w:sz="4" w:space="0" w:color="auto"/>
            </w:tcBorders>
            <w:shd w:val="clear" w:color="auto" w:fill="C0C0C0"/>
          </w:tcPr>
          <w:p w:rsidR="00203DFD" w:rsidRPr="008874B8" w:rsidRDefault="00203DFD" w:rsidP="00DA7BC2">
            <w:pPr>
              <w:pStyle w:val="tabelanagwekLP"/>
              <w:jc w:val="left"/>
              <w:rPr>
                <w:rFonts w:ascii="Times New Roman" w:hAnsi="Times New Roman" w:cs="Times New Roman"/>
                <w:sz w:val="24"/>
                <w:szCs w:val="24"/>
              </w:rPr>
            </w:pPr>
            <w:r w:rsidRPr="008874B8">
              <w:rPr>
                <w:rFonts w:ascii="Times New Roman" w:hAnsi="Times New Roman" w:cs="Times New Roman"/>
                <w:sz w:val="24"/>
                <w:szCs w:val="24"/>
              </w:rPr>
              <w:t>Elementy podlegające opłacie</w:t>
            </w:r>
          </w:p>
        </w:tc>
        <w:tc>
          <w:tcPr>
            <w:tcW w:w="1223" w:type="pct"/>
            <w:tcBorders>
              <w:top w:val="single" w:sz="4" w:space="0" w:color="auto"/>
              <w:left w:val="single" w:sz="4" w:space="0" w:color="auto"/>
              <w:bottom w:val="single" w:sz="4" w:space="0" w:color="auto"/>
              <w:right w:val="single" w:sz="4" w:space="0" w:color="auto"/>
            </w:tcBorders>
            <w:shd w:val="clear" w:color="auto" w:fill="C0C0C0"/>
            <w:vAlign w:val="center"/>
          </w:tcPr>
          <w:p w:rsidR="00203DFD" w:rsidRPr="008874B8" w:rsidRDefault="00203DFD" w:rsidP="00DA7BC2">
            <w:pPr>
              <w:pStyle w:val="tabelanagwekLP"/>
              <w:jc w:val="left"/>
              <w:rPr>
                <w:rFonts w:ascii="Times New Roman" w:hAnsi="Times New Roman" w:cs="Times New Roman"/>
                <w:sz w:val="24"/>
                <w:szCs w:val="24"/>
              </w:rPr>
            </w:pPr>
            <w:r w:rsidRPr="008874B8">
              <w:rPr>
                <w:rFonts w:ascii="Times New Roman" w:hAnsi="Times New Roman" w:cs="Times New Roman"/>
                <w:sz w:val="24"/>
                <w:szCs w:val="24"/>
              </w:rPr>
              <w:t>Opłata [PLN]</w:t>
            </w:r>
          </w:p>
        </w:tc>
      </w:tr>
      <w:tr w:rsidR="00203DFD" w:rsidRPr="008874B8" w:rsidTr="00DA7BC2">
        <w:trPr>
          <w:cantSplit/>
          <w:trHeight w:val="800"/>
        </w:trPr>
        <w:tc>
          <w:tcPr>
            <w:tcW w:w="305" w:type="pct"/>
            <w:tcBorders>
              <w:top w:val="single" w:sz="4" w:space="0" w:color="auto"/>
              <w:left w:val="single" w:sz="4" w:space="0" w:color="auto"/>
              <w:bottom w:val="single" w:sz="4" w:space="0" w:color="auto"/>
              <w:right w:val="single" w:sz="4" w:space="0" w:color="auto"/>
            </w:tcBorders>
            <w:shd w:val="clear" w:color="auto" w:fill="FFFFFF"/>
            <w:vAlign w:val="center"/>
          </w:tcPr>
          <w:p w:rsidR="00203DFD" w:rsidRPr="008874B8" w:rsidRDefault="00203DFD" w:rsidP="0054276A">
            <w:pPr>
              <w:pStyle w:val="tabelatekst"/>
              <w:spacing w:line="240" w:lineRule="auto"/>
              <w:rPr>
                <w:rFonts w:ascii="Times New Roman" w:hAnsi="Times New Roman" w:cs="Times New Roman"/>
                <w:snapToGrid w:val="0"/>
                <w:sz w:val="24"/>
                <w:szCs w:val="24"/>
              </w:rPr>
            </w:pPr>
            <w:r w:rsidRPr="008874B8">
              <w:rPr>
                <w:rFonts w:ascii="Times New Roman" w:hAnsi="Times New Roman" w:cs="Times New Roman"/>
                <w:snapToGrid w:val="0"/>
                <w:sz w:val="24"/>
                <w:szCs w:val="24"/>
              </w:rPr>
              <w:t>1</w:t>
            </w:r>
          </w:p>
        </w:tc>
        <w:tc>
          <w:tcPr>
            <w:tcW w:w="3472" w:type="pct"/>
            <w:tcBorders>
              <w:top w:val="single" w:sz="4" w:space="0" w:color="auto"/>
              <w:left w:val="single" w:sz="4" w:space="0" w:color="auto"/>
              <w:bottom w:val="single" w:sz="4" w:space="0" w:color="auto"/>
              <w:right w:val="single" w:sz="4" w:space="0" w:color="auto"/>
            </w:tcBorders>
            <w:shd w:val="clear" w:color="auto" w:fill="FFFFFF"/>
            <w:vAlign w:val="center"/>
          </w:tcPr>
          <w:p w:rsidR="00203DFD" w:rsidRPr="008874B8" w:rsidRDefault="00203DFD" w:rsidP="00DA7BC2">
            <w:pPr>
              <w:pStyle w:val="tabelawyjustowany"/>
              <w:spacing w:line="240" w:lineRule="auto"/>
              <w:rPr>
                <w:rFonts w:ascii="Times New Roman" w:hAnsi="Times New Roman" w:cs="Times New Roman"/>
                <w:snapToGrid w:val="0"/>
                <w:sz w:val="24"/>
                <w:szCs w:val="24"/>
              </w:rPr>
            </w:pPr>
            <w:r w:rsidRPr="008874B8">
              <w:rPr>
                <w:rFonts w:ascii="Times New Roman" w:hAnsi="Times New Roman" w:cs="Times New Roman"/>
                <w:snapToGrid w:val="0"/>
                <w:sz w:val="24"/>
                <w:szCs w:val="24"/>
              </w:rPr>
              <w:t>Opłata za wykorzystanie numerów przeniesionych – numery geograficzne</w:t>
            </w:r>
          </w:p>
        </w:tc>
        <w:tc>
          <w:tcPr>
            <w:tcW w:w="1223" w:type="pct"/>
            <w:tcBorders>
              <w:top w:val="single" w:sz="4" w:space="0" w:color="auto"/>
              <w:bottom w:val="single" w:sz="4" w:space="0" w:color="auto"/>
              <w:right w:val="single" w:sz="4" w:space="0" w:color="auto"/>
            </w:tcBorders>
            <w:vAlign w:val="center"/>
          </w:tcPr>
          <w:p w:rsidR="00203DFD" w:rsidRPr="008874B8" w:rsidRDefault="00203DFD" w:rsidP="00DA7BC2">
            <w:pPr>
              <w:pStyle w:val="tabelatekst"/>
              <w:spacing w:line="240" w:lineRule="auto"/>
              <w:rPr>
                <w:rFonts w:ascii="Times New Roman" w:hAnsi="Times New Roman" w:cs="Times New Roman"/>
                <w:snapToGrid w:val="0"/>
                <w:sz w:val="24"/>
                <w:szCs w:val="24"/>
              </w:rPr>
            </w:pPr>
            <w:r w:rsidRPr="008874B8">
              <w:rPr>
                <w:rFonts w:ascii="Times New Roman" w:hAnsi="Times New Roman" w:cs="Times New Roman"/>
                <w:snapToGrid w:val="0"/>
                <w:sz w:val="24"/>
                <w:szCs w:val="24"/>
              </w:rPr>
              <w:t>Rozporządzenie M</w:t>
            </w:r>
            <w:r>
              <w:rPr>
                <w:rFonts w:ascii="Times New Roman" w:hAnsi="Times New Roman" w:cs="Times New Roman"/>
                <w:snapToGrid w:val="0"/>
                <w:sz w:val="24"/>
                <w:szCs w:val="24"/>
              </w:rPr>
              <w:t>AiC</w:t>
            </w:r>
            <w:r w:rsidRPr="008874B8">
              <w:rPr>
                <w:rStyle w:val="Odwoanieprzypisudolnego"/>
                <w:rFonts w:ascii="Times New Roman" w:hAnsi="Times New Roman"/>
                <w:snapToGrid w:val="0"/>
              </w:rPr>
              <w:footnoteReference w:id="1"/>
            </w:r>
          </w:p>
        </w:tc>
      </w:tr>
      <w:tr w:rsidR="00203DFD" w:rsidRPr="008874B8" w:rsidTr="00DA7BC2">
        <w:trPr>
          <w:cantSplit/>
          <w:trHeight w:val="800"/>
        </w:trPr>
        <w:tc>
          <w:tcPr>
            <w:tcW w:w="305" w:type="pct"/>
            <w:tcBorders>
              <w:top w:val="single" w:sz="4" w:space="0" w:color="auto"/>
              <w:left w:val="single" w:sz="4" w:space="0" w:color="auto"/>
              <w:bottom w:val="single" w:sz="4" w:space="0" w:color="auto"/>
              <w:right w:val="single" w:sz="4" w:space="0" w:color="auto"/>
            </w:tcBorders>
            <w:shd w:val="clear" w:color="auto" w:fill="FFFFFF"/>
            <w:vAlign w:val="center"/>
          </w:tcPr>
          <w:p w:rsidR="00203DFD" w:rsidRPr="008874B8" w:rsidRDefault="00203DFD" w:rsidP="0054276A">
            <w:pPr>
              <w:pStyle w:val="tabelatekst"/>
              <w:spacing w:line="240" w:lineRule="auto"/>
              <w:rPr>
                <w:rFonts w:ascii="Times New Roman" w:hAnsi="Times New Roman" w:cs="Times New Roman"/>
                <w:snapToGrid w:val="0"/>
                <w:sz w:val="24"/>
                <w:szCs w:val="24"/>
              </w:rPr>
            </w:pPr>
            <w:r w:rsidRPr="008874B8">
              <w:rPr>
                <w:rFonts w:ascii="Times New Roman" w:hAnsi="Times New Roman" w:cs="Times New Roman"/>
                <w:snapToGrid w:val="0"/>
                <w:sz w:val="24"/>
                <w:szCs w:val="24"/>
              </w:rPr>
              <w:t>2</w:t>
            </w:r>
          </w:p>
        </w:tc>
        <w:tc>
          <w:tcPr>
            <w:tcW w:w="3472" w:type="pct"/>
            <w:tcBorders>
              <w:top w:val="single" w:sz="4" w:space="0" w:color="auto"/>
              <w:left w:val="single" w:sz="4" w:space="0" w:color="auto"/>
              <w:bottom w:val="single" w:sz="4" w:space="0" w:color="auto"/>
              <w:right w:val="single" w:sz="4" w:space="0" w:color="auto"/>
            </w:tcBorders>
            <w:shd w:val="clear" w:color="auto" w:fill="FFFFFF"/>
            <w:vAlign w:val="center"/>
          </w:tcPr>
          <w:p w:rsidR="00203DFD" w:rsidRPr="008874B8" w:rsidRDefault="00203DFD" w:rsidP="00DA7BC2">
            <w:pPr>
              <w:pStyle w:val="tabelawyjustowany"/>
              <w:spacing w:line="240" w:lineRule="auto"/>
              <w:rPr>
                <w:rFonts w:ascii="Times New Roman" w:hAnsi="Times New Roman" w:cs="Times New Roman"/>
                <w:snapToGrid w:val="0"/>
                <w:sz w:val="24"/>
                <w:szCs w:val="24"/>
              </w:rPr>
            </w:pPr>
            <w:r w:rsidRPr="008874B8">
              <w:rPr>
                <w:rFonts w:ascii="Times New Roman" w:hAnsi="Times New Roman" w:cs="Times New Roman"/>
                <w:snapToGrid w:val="0"/>
                <w:sz w:val="24"/>
                <w:szCs w:val="24"/>
              </w:rPr>
              <w:t>Opłata za wykorzystanie numerów przeniesionych – numery niegeograficzne</w:t>
            </w:r>
          </w:p>
        </w:tc>
        <w:tc>
          <w:tcPr>
            <w:tcW w:w="1223" w:type="pct"/>
            <w:tcBorders>
              <w:top w:val="single" w:sz="4" w:space="0" w:color="auto"/>
              <w:bottom w:val="single" w:sz="4" w:space="0" w:color="auto"/>
              <w:right w:val="single" w:sz="4" w:space="0" w:color="auto"/>
            </w:tcBorders>
            <w:vAlign w:val="center"/>
          </w:tcPr>
          <w:p w:rsidR="00203DFD" w:rsidRPr="008874B8" w:rsidRDefault="00203DFD" w:rsidP="00DA7BC2">
            <w:pPr>
              <w:pStyle w:val="tabelatekst"/>
              <w:spacing w:line="240" w:lineRule="auto"/>
              <w:rPr>
                <w:rFonts w:ascii="Times New Roman" w:hAnsi="Times New Roman" w:cs="Times New Roman"/>
                <w:snapToGrid w:val="0"/>
                <w:sz w:val="24"/>
                <w:szCs w:val="24"/>
              </w:rPr>
            </w:pPr>
            <w:r w:rsidRPr="008874B8">
              <w:rPr>
                <w:rFonts w:ascii="Times New Roman" w:hAnsi="Times New Roman" w:cs="Times New Roman"/>
                <w:snapToGrid w:val="0"/>
                <w:sz w:val="24"/>
                <w:szCs w:val="24"/>
              </w:rPr>
              <w:t>Rozporządzenie M</w:t>
            </w:r>
            <w:r>
              <w:rPr>
                <w:rFonts w:ascii="Times New Roman" w:hAnsi="Times New Roman" w:cs="Times New Roman"/>
                <w:snapToGrid w:val="0"/>
                <w:sz w:val="24"/>
                <w:szCs w:val="24"/>
              </w:rPr>
              <w:t>AiC</w:t>
            </w:r>
            <w:r w:rsidRPr="008874B8">
              <w:rPr>
                <w:rStyle w:val="Odwoanieprzypisudolnego"/>
                <w:rFonts w:ascii="Times New Roman" w:hAnsi="Times New Roman"/>
                <w:snapToGrid w:val="0"/>
              </w:rPr>
              <w:footnoteReference w:id="2"/>
            </w:r>
          </w:p>
        </w:tc>
      </w:tr>
      <w:tr w:rsidR="00203DFD" w:rsidRPr="008874B8" w:rsidTr="00DA7BC2">
        <w:trPr>
          <w:cantSplit/>
          <w:trHeight w:val="800"/>
        </w:trPr>
        <w:tc>
          <w:tcPr>
            <w:tcW w:w="305" w:type="pct"/>
            <w:tcBorders>
              <w:top w:val="single" w:sz="4" w:space="0" w:color="auto"/>
              <w:left w:val="single" w:sz="4" w:space="0" w:color="auto"/>
              <w:bottom w:val="single" w:sz="4" w:space="0" w:color="auto"/>
              <w:right w:val="single" w:sz="4" w:space="0" w:color="auto"/>
            </w:tcBorders>
            <w:shd w:val="clear" w:color="auto" w:fill="FFFFFF"/>
            <w:vAlign w:val="center"/>
          </w:tcPr>
          <w:p w:rsidR="00203DFD" w:rsidRPr="008874B8" w:rsidRDefault="00203DFD" w:rsidP="0054276A">
            <w:pPr>
              <w:pStyle w:val="tabelatekst"/>
              <w:spacing w:line="240" w:lineRule="auto"/>
              <w:rPr>
                <w:rFonts w:ascii="Times New Roman" w:hAnsi="Times New Roman" w:cs="Times New Roman"/>
                <w:snapToGrid w:val="0"/>
                <w:sz w:val="24"/>
                <w:szCs w:val="24"/>
              </w:rPr>
            </w:pPr>
            <w:r w:rsidRPr="008874B8">
              <w:rPr>
                <w:rFonts w:ascii="Times New Roman" w:hAnsi="Times New Roman" w:cs="Times New Roman"/>
                <w:snapToGrid w:val="0"/>
                <w:sz w:val="24"/>
                <w:szCs w:val="24"/>
              </w:rPr>
              <w:t>3</w:t>
            </w:r>
          </w:p>
        </w:tc>
        <w:tc>
          <w:tcPr>
            <w:tcW w:w="3472" w:type="pct"/>
            <w:tcBorders>
              <w:top w:val="single" w:sz="4" w:space="0" w:color="auto"/>
              <w:left w:val="single" w:sz="4" w:space="0" w:color="auto"/>
              <w:bottom w:val="single" w:sz="4" w:space="0" w:color="auto"/>
              <w:right w:val="single" w:sz="4" w:space="0" w:color="auto"/>
            </w:tcBorders>
            <w:shd w:val="clear" w:color="auto" w:fill="FFFFFF"/>
            <w:vAlign w:val="center"/>
          </w:tcPr>
          <w:p w:rsidR="00203DFD" w:rsidRPr="008874B8" w:rsidRDefault="00BF47ED" w:rsidP="00BF47ED">
            <w:pPr>
              <w:pStyle w:val="tabelawyjustowany"/>
              <w:spacing w:line="240" w:lineRule="auto"/>
              <w:rPr>
                <w:rFonts w:ascii="Times New Roman" w:hAnsi="Times New Roman" w:cs="Times New Roman"/>
                <w:snapToGrid w:val="0"/>
                <w:sz w:val="24"/>
                <w:szCs w:val="24"/>
              </w:rPr>
            </w:pPr>
            <w:r>
              <w:rPr>
                <w:rFonts w:ascii="Times New Roman" w:hAnsi="Times New Roman" w:cs="Times New Roman"/>
                <w:snapToGrid w:val="0"/>
                <w:sz w:val="24"/>
                <w:szCs w:val="24"/>
              </w:rPr>
              <w:t>Opłata za kierowanie metodą OR</w:t>
            </w:r>
            <w:r w:rsidR="00203DFD" w:rsidRPr="008874B8">
              <w:rPr>
                <w:rFonts w:ascii="Times New Roman" w:hAnsi="Times New Roman" w:cs="Times New Roman"/>
                <w:snapToGrid w:val="0"/>
                <w:sz w:val="24"/>
                <w:szCs w:val="24"/>
              </w:rPr>
              <w:t xml:space="preserve"> (m-c)</w:t>
            </w:r>
          </w:p>
        </w:tc>
        <w:tc>
          <w:tcPr>
            <w:tcW w:w="1223" w:type="pct"/>
            <w:tcBorders>
              <w:top w:val="single" w:sz="4" w:space="0" w:color="auto"/>
              <w:bottom w:val="single" w:sz="4" w:space="0" w:color="auto"/>
              <w:right w:val="single" w:sz="4" w:space="0" w:color="auto"/>
            </w:tcBorders>
            <w:vAlign w:val="center"/>
          </w:tcPr>
          <w:p w:rsidR="00203DFD" w:rsidRPr="008874B8" w:rsidRDefault="00203DFD" w:rsidP="00B31F66">
            <w:pPr>
              <w:pStyle w:val="cena"/>
              <w:spacing w:line="240" w:lineRule="auto"/>
              <w:ind w:right="0"/>
              <w:jc w:val="center"/>
              <w:rPr>
                <w:rFonts w:ascii="Times New Roman" w:hAnsi="Times New Roman" w:cs="Times New Roman"/>
                <w:snapToGrid w:val="0"/>
                <w:sz w:val="24"/>
                <w:szCs w:val="24"/>
              </w:rPr>
            </w:pPr>
            <w:r w:rsidRPr="008874B8">
              <w:rPr>
                <w:rFonts w:ascii="Times New Roman" w:hAnsi="Times New Roman" w:cs="Times New Roman"/>
                <w:snapToGrid w:val="0"/>
                <w:sz w:val="24"/>
                <w:szCs w:val="24"/>
              </w:rPr>
              <w:t>2 942,49</w:t>
            </w:r>
          </w:p>
        </w:tc>
      </w:tr>
    </w:tbl>
    <w:p w:rsidR="00203DFD" w:rsidRDefault="00203DFD" w:rsidP="004D5C6B">
      <w:pPr>
        <w:pStyle w:val="Tabela"/>
        <w:tabs>
          <w:tab w:val="clear" w:pos="1260"/>
          <w:tab w:val="left" w:pos="0"/>
        </w:tabs>
        <w:spacing w:before="120" w:after="120" w:line="240" w:lineRule="auto"/>
        <w:ind w:left="0" w:firstLine="0"/>
        <w:rPr>
          <w:rFonts w:ascii="Times New Roman" w:hAnsi="Times New Roman" w:cs="Times New Roman"/>
          <w:sz w:val="24"/>
          <w:szCs w:val="24"/>
        </w:rPr>
      </w:pPr>
      <w:r w:rsidRPr="008874B8">
        <w:rPr>
          <w:rFonts w:ascii="Times New Roman" w:hAnsi="Times New Roman" w:cs="Times New Roman"/>
          <w:sz w:val="24"/>
          <w:szCs w:val="24"/>
        </w:rPr>
        <w:lastRenderedPageBreak/>
        <w:t xml:space="preserve">Z tytułu Przeniesienia Numeru </w:t>
      </w:r>
      <w:r>
        <w:rPr>
          <w:rFonts w:ascii="Times New Roman" w:hAnsi="Times New Roman" w:cs="Times New Roman"/>
          <w:sz w:val="24"/>
          <w:szCs w:val="24"/>
        </w:rPr>
        <w:t>OPL</w:t>
      </w:r>
      <w:r w:rsidRPr="008874B8">
        <w:rPr>
          <w:rFonts w:ascii="Times New Roman" w:hAnsi="Times New Roman" w:cs="Times New Roman"/>
          <w:sz w:val="24"/>
          <w:szCs w:val="24"/>
        </w:rPr>
        <w:t xml:space="preserve"> (Biorca) zobowiązuje się do uiszczenia opłaty jednorazowej</w:t>
      </w:r>
    </w:p>
    <w:p w:rsidR="00107B73" w:rsidRDefault="00A57FD1" w:rsidP="00107B73">
      <w:pPr>
        <w:pStyle w:val="Akapitzlist"/>
        <w:tabs>
          <w:tab w:val="left" w:pos="0"/>
        </w:tabs>
        <w:spacing w:after="120" w:line="240" w:lineRule="auto"/>
        <w:ind w:left="0"/>
        <w:jc w:val="both"/>
        <w:rPr>
          <w:rFonts w:ascii="Times New Roman" w:hAnsi="Times New Roman"/>
          <w:b/>
          <w:sz w:val="24"/>
        </w:rPr>
      </w:pPr>
      <w:r>
        <w:rPr>
          <w:rFonts w:ascii="Times New Roman" w:hAnsi="Times New Roman"/>
          <w:sz w:val="24"/>
        </w:rPr>
        <w:t xml:space="preserve">2. </w:t>
      </w:r>
      <w:r w:rsidR="00001FC4" w:rsidRPr="00001FC4">
        <w:rPr>
          <w:rFonts w:ascii="Times New Roman" w:hAnsi="Times New Roman"/>
          <w:sz w:val="24"/>
        </w:rPr>
        <w:t>W art. 5 „Opłaty na rzecz TP za ruch międzysieciowy” w  ust. 11</w:t>
      </w:r>
      <w:r w:rsidR="00001FC4">
        <w:rPr>
          <w:rFonts w:ascii="Times New Roman" w:hAnsi="Times New Roman"/>
          <w:sz w:val="24"/>
        </w:rPr>
        <w:t xml:space="preserve"> </w:t>
      </w:r>
      <w:r w:rsidR="00001FC4" w:rsidRPr="00001FC4">
        <w:rPr>
          <w:rFonts w:ascii="Times New Roman" w:hAnsi="Times New Roman"/>
          <w:sz w:val="24"/>
        </w:rPr>
        <w:t xml:space="preserve"> </w:t>
      </w:r>
      <w:r w:rsidR="00001FC4">
        <w:rPr>
          <w:rFonts w:ascii="Times New Roman" w:hAnsi="Times New Roman"/>
          <w:sz w:val="24"/>
        </w:rPr>
        <w:t>„</w:t>
      </w:r>
      <w:r w:rsidR="00001FC4" w:rsidRPr="00001FC4">
        <w:rPr>
          <w:rFonts w:ascii="Times New Roman" w:hAnsi="Times New Roman"/>
          <w:sz w:val="24"/>
        </w:rPr>
        <w:t>Opłaty związane z Przeniesieniem Numerów”</w:t>
      </w:r>
      <w:r w:rsidR="00001FC4" w:rsidRPr="00001FC4" w:rsidDel="004573BF">
        <w:rPr>
          <w:rFonts w:ascii="Times New Roman" w:hAnsi="Times New Roman"/>
          <w:sz w:val="24"/>
        </w:rPr>
        <w:t xml:space="preserve"> </w:t>
      </w:r>
      <w:r w:rsidRPr="00A57FD1">
        <w:rPr>
          <w:rFonts w:ascii="Times New Roman" w:hAnsi="Times New Roman"/>
          <w:sz w:val="24"/>
        </w:rPr>
        <w:t xml:space="preserve">w </w:t>
      </w:r>
      <w:r>
        <w:rPr>
          <w:rFonts w:ascii="Times New Roman" w:hAnsi="Times New Roman"/>
          <w:sz w:val="24"/>
        </w:rPr>
        <w:t>pkt</w:t>
      </w:r>
      <w:r w:rsidRPr="00A57FD1">
        <w:rPr>
          <w:rFonts w:ascii="Times New Roman" w:hAnsi="Times New Roman"/>
          <w:sz w:val="24"/>
        </w:rPr>
        <w:t xml:space="preserve"> 2</w:t>
      </w:r>
      <w:r w:rsidRPr="00A57FD1">
        <w:rPr>
          <w:rFonts w:ascii="Times New Roman" w:hAnsi="Times New Roman"/>
          <w:b/>
          <w:bCs/>
          <w:sz w:val="24"/>
        </w:rPr>
        <w:t xml:space="preserve"> „</w:t>
      </w:r>
      <w:r w:rsidRPr="00A57FD1">
        <w:rPr>
          <w:rFonts w:ascii="Times New Roman" w:hAnsi="Times New Roman"/>
          <w:sz w:val="24"/>
        </w:rPr>
        <w:t xml:space="preserve">Opłaty abonamentowe związane </w:t>
      </w:r>
      <w:r w:rsidRPr="00A57FD1">
        <w:rPr>
          <w:rFonts w:ascii="Times New Roman" w:hAnsi="Times New Roman"/>
          <w:sz w:val="24"/>
        </w:rPr>
        <w:br/>
        <w:t>z Przeniesieniem Numerów z Sieci Netia (Przedsiębiorcy Macierzystego) do Sieci TP”</w:t>
      </w:r>
      <w:r>
        <w:rPr>
          <w:rFonts w:ascii="Times New Roman" w:hAnsi="Times New Roman"/>
          <w:sz w:val="24"/>
        </w:rPr>
        <w:t xml:space="preserve"> </w:t>
      </w:r>
      <w:r w:rsidR="00001FC4" w:rsidRPr="00001FC4">
        <w:rPr>
          <w:rFonts w:ascii="Times New Roman" w:hAnsi="Times New Roman"/>
          <w:sz w:val="24"/>
        </w:rPr>
        <w:t xml:space="preserve">dodaje się Tabelę Nr 25a </w:t>
      </w:r>
      <w:r w:rsidR="00001FC4">
        <w:rPr>
          <w:rFonts w:ascii="Times New Roman" w:hAnsi="Times New Roman"/>
          <w:sz w:val="24"/>
        </w:rPr>
        <w:t>w następujący sposób:</w:t>
      </w:r>
    </w:p>
    <w:p w:rsidR="00203DFD" w:rsidRPr="00984169" w:rsidRDefault="00203DFD" w:rsidP="00984169">
      <w:r w:rsidRPr="00984169">
        <w:t xml:space="preserve">Tabela nr </w:t>
      </w:r>
      <w:r w:rsidR="00374E0F">
        <w:t>25a</w:t>
      </w:r>
      <w:r w:rsidRPr="00984169">
        <w:t xml:space="preserve">. Opłata jednorazowa za przeniesienie numeru do OPL </w:t>
      </w:r>
    </w:p>
    <w:tbl>
      <w:tblPr>
        <w:tblW w:w="5000" w:type="pct"/>
        <w:tblInd w:w="57" w:type="dxa"/>
        <w:tblBorders>
          <w:top w:val="single" w:sz="12" w:space="0" w:color="auto"/>
          <w:left w:val="single" w:sz="12" w:space="0" w:color="auto"/>
          <w:bottom w:val="single" w:sz="12" w:space="0" w:color="auto"/>
          <w:right w:val="single" w:sz="4" w:space="0" w:color="auto"/>
        </w:tblBorders>
        <w:tblCellMar>
          <w:left w:w="70" w:type="dxa"/>
          <w:right w:w="70" w:type="dxa"/>
        </w:tblCellMar>
        <w:tblLook w:val="0000"/>
      </w:tblPr>
      <w:tblGrid>
        <w:gridCol w:w="467"/>
        <w:gridCol w:w="5626"/>
        <w:gridCol w:w="2267"/>
      </w:tblGrid>
      <w:tr w:rsidR="00203DFD" w:rsidRPr="008874B8" w:rsidTr="00DA7BC2">
        <w:trPr>
          <w:trHeight w:val="633"/>
        </w:trPr>
        <w:tc>
          <w:tcPr>
            <w:tcW w:w="5000" w:type="pct"/>
            <w:gridSpan w:val="3"/>
            <w:tcBorders>
              <w:top w:val="single" w:sz="4" w:space="0" w:color="auto"/>
              <w:left w:val="single" w:sz="4" w:space="0" w:color="auto"/>
              <w:bottom w:val="single" w:sz="4" w:space="0" w:color="auto"/>
            </w:tcBorders>
            <w:shd w:val="clear" w:color="auto" w:fill="C0C0C0"/>
          </w:tcPr>
          <w:p w:rsidR="00203DFD" w:rsidRPr="008874B8" w:rsidRDefault="00203DFD" w:rsidP="00DA7BC2">
            <w:pPr>
              <w:pStyle w:val="Tabela"/>
              <w:tabs>
                <w:tab w:val="left" w:pos="0"/>
              </w:tabs>
              <w:spacing w:after="120" w:line="240" w:lineRule="auto"/>
              <w:ind w:left="0" w:firstLine="0"/>
              <w:jc w:val="left"/>
              <w:rPr>
                <w:rFonts w:ascii="Times New Roman" w:hAnsi="Times New Roman" w:cs="Times New Roman"/>
                <w:sz w:val="24"/>
                <w:szCs w:val="24"/>
              </w:rPr>
            </w:pPr>
            <w:r w:rsidRPr="008874B8">
              <w:rPr>
                <w:rFonts w:ascii="Times New Roman" w:hAnsi="Times New Roman" w:cs="Times New Roman"/>
                <w:b/>
                <w:sz w:val="24"/>
                <w:szCs w:val="24"/>
              </w:rPr>
              <w:t xml:space="preserve">Opłata za przeniesienie numeru do </w:t>
            </w:r>
            <w:r>
              <w:rPr>
                <w:rFonts w:ascii="Times New Roman" w:hAnsi="Times New Roman" w:cs="Times New Roman"/>
                <w:b/>
                <w:sz w:val="24"/>
                <w:szCs w:val="24"/>
              </w:rPr>
              <w:t>OPL</w:t>
            </w:r>
          </w:p>
        </w:tc>
      </w:tr>
      <w:tr w:rsidR="00203DFD" w:rsidRPr="008874B8" w:rsidTr="00DA7BC2">
        <w:trPr>
          <w:trHeight w:val="504"/>
        </w:trPr>
        <w:tc>
          <w:tcPr>
            <w:tcW w:w="247" w:type="pct"/>
            <w:tcBorders>
              <w:top w:val="single" w:sz="4" w:space="0" w:color="auto"/>
              <w:left w:val="single" w:sz="4" w:space="0" w:color="auto"/>
              <w:bottom w:val="single" w:sz="4" w:space="0" w:color="auto"/>
              <w:right w:val="single" w:sz="4" w:space="0" w:color="auto"/>
            </w:tcBorders>
            <w:shd w:val="clear" w:color="auto" w:fill="C0C0C0"/>
          </w:tcPr>
          <w:p w:rsidR="00203DFD" w:rsidRPr="008874B8" w:rsidRDefault="00203DFD" w:rsidP="00DA7BC2">
            <w:pPr>
              <w:pStyle w:val="tabelanagwekLP"/>
              <w:jc w:val="left"/>
              <w:rPr>
                <w:rFonts w:ascii="Times New Roman" w:hAnsi="Times New Roman" w:cs="Times New Roman"/>
                <w:sz w:val="24"/>
                <w:szCs w:val="24"/>
              </w:rPr>
            </w:pPr>
            <w:r w:rsidRPr="008874B8">
              <w:rPr>
                <w:rFonts w:ascii="Times New Roman" w:hAnsi="Times New Roman" w:cs="Times New Roman"/>
                <w:sz w:val="24"/>
                <w:szCs w:val="24"/>
              </w:rPr>
              <w:t>Lp.</w:t>
            </w:r>
          </w:p>
        </w:tc>
        <w:tc>
          <w:tcPr>
            <w:tcW w:w="3381" w:type="pct"/>
            <w:tcBorders>
              <w:top w:val="single" w:sz="4" w:space="0" w:color="auto"/>
              <w:left w:val="single" w:sz="4" w:space="0" w:color="auto"/>
              <w:bottom w:val="single" w:sz="4" w:space="0" w:color="auto"/>
              <w:right w:val="single" w:sz="4" w:space="0" w:color="auto"/>
            </w:tcBorders>
            <w:shd w:val="clear" w:color="auto" w:fill="C0C0C0"/>
            <w:vAlign w:val="center"/>
          </w:tcPr>
          <w:p w:rsidR="00203DFD" w:rsidRPr="008874B8" w:rsidRDefault="00203DFD" w:rsidP="00DA7BC2">
            <w:pPr>
              <w:pStyle w:val="tabelanagwekLP"/>
              <w:jc w:val="left"/>
              <w:rPr>
                <w:rFonts w:ascii="Times New Roman" w:hAnsi="Times New Roman" w:cs="Times New Roman"/>
                <w:sz w:val="24"/>
                <w:szCs w:val="24"/>
              </w:rPr>
            </w:pPr>
            <w:r w:rsidRPr="008874B8">
              <w:rPr>
                <w:rFonts w:ascii="Times New Roman" w:hAnsi="Times New Roman" w:cs="Times New Roman"/>
                <w:sz w:val="24"/>
                <w:szCs w:val="24"/>
              </w:rPr>
              <w:t>Elementy podlegające opłacie</w:t>
            </w:r>
          </w:p>
        </w:tc>
        <w:tc>
          <w:tcPr>
            <w:tcW w:w="1372" w:type="pct"/>
            <w:tcBorders>
              <w:top w:val="single" w:sz="4" w:space="0" w:color="auto"/>
              <w:left w:val="single" w:sz="4" w:space="0" w:color="auto"/>
              <w:bottom w:val="single" w:sz="4" w:space="0" w:color="auto"/>
            </w:tcBorders>
            <w:shd w:val="clear" w:color="auto" w:fill="C0C0C0"/>
            <w:vAlign w:val="center"/>
          </w:tcPr>
          <w:p w:rsidR="00203DFD" w:rsidRPr="008874B8" w:rsidRDefault="00203DFD" w:rsidP="00DA7BC2">
            <w:pPr>
              <w:pStyle w:val="tabelanagwekLP"/>
              <w:jc w:val="left"/>
              <w:rPr>
                <w:rFonts w:ascii="Times New Roman" w:hAnsi="Times New Roman" w:cs="Times New Roman"/>
                <w:sz w:val="24"/>
                <w:szCs w:val="24"/>
              </w:rPr>
            </w:pPr>
            <w:r w:rsidRPr="008874B8">
              <w:rPr>
                <w:rFonts w:ascii="Times New Roman" w:hAnsi="Times New Roman" w:cs="Times New Roman"/>
                <w:sz w:val="24"/>
                <w:szCs w:val="24"/>
              </w:rPr>
              <w:t>Opłata [PLN]</w:t>
            </w:r>
          </w:p>
        </w:tc>
      </w:tr>
      <w:tr w:rsidR="00203DFD" w:rsidRPr="008874B8" w:rsidTr="00DA7BC2">
        <w:trPr>
          <w:trHeight w:hRule="exact" w:val="937"/>
        </w:trPr>
        <w:tc>
          <w:tcPr>
            <w:tcW w:w="247" w:type="pct"/>
            <w:tcBorders>
              <w:top w:val="single" w:sz="4" w:space="0" w:color="auto"/>
              <w:left w:val="single" w:sz="4" w:space="0" w:color="auto"/>
              <w:bottom w:val="single" w:sz="4" w:space="0" w:color="auto"/>
              <w:right w:val="single" w:sz="4" w:space="0" w:color="auto"/>
            </w:tcBorders>
            <w:vAlign w:val="center"/>
          </w:tcPr>
          <w:p w:rsidR="00203DFD" w:rsidRPr="008874B8" w:rsidRDefault="00203DFD" w:rsidP="00DA7BC2">
            <w:pPr>
              <w:pStyle w:val="tabelatekst"/>
              <w:spacing w:line="240" w:lineRule="auto"/>
              <w:rPr>
                <w:rFonts w:ascii="Times New Roman" w:hAnsi="Times New Roman" w:cs="Times New Roman"/>
                <w:snapToGrid w:val="0"/>
                <w:sz w:val="24"/>
                <w:szCs w:val="24"/>
              </w:rPr>
            </w:pPr>
            <w:r w:rsidRPr="008874B8">
              <w:rPr>
                <w:rFonts w:ascii="Times New Roman" w:hAnsi="Times New Roman" w:cs="Times New Roman"/>
                <w:snapToGrid w:val="0"/>
                <w:sz w:val="24"/>
                <w:szCs w:val="24"/>
              </w:rPr>
              <w:t>1</w:t>
            </w:r>
          </w:p>
        </w:tc>
        <w:tc>
          <w:tcPr>
            <w:tcW w:w="3381" w:type="pct"/>
            <w:tcBorders>
              <w:top w:val="single" w:sz="4" w:space="0" w:color="auto"/>
              <w:left w:val="single" w:sz="4" w:space="0" w:color="auto"/>
              <w:bottom w:val="single" w:sz="4" w:space="0" w:color="auto"/>
              <w:right w:val="single" w:sz="4" w:space="0" w:color="auto"/>
            </w:tcBorders>
            <w:vAlign w:val="center"/>
          </w:tcPr>
          <w:p w:rsidR="00203DFD" w:rsidRPr="008874B8" w:rsidRDefault="00203DFD" w:rsidP="00DA7BC2">
            <w:pPr>
              <w:pStyle w:val="tabelawyjustowany"/>
              <w:spacing w:line="240" w:lineRule="auto"/>
              <w:jc w:val="both"/>
              <w:rPr>
                <w:rFonts w:ascii="Times New Roman" w:hAnsi="Times New Roman" w:cs="Times New Roman"/>
                <w:snapToGrid w:val="0"/>
                <w:sz w:val="24"/>
                <w:szCs w:val="24"/>
              </w:rPr>
            </w:pPr>
            <w:r w:rsidRPr="008874B8">
              <w:rPr>
                <w:rFonts w:ascii="Times New Roman" w:hAnsi="Times New Roman" w:cs="Times New Roman"/>
                <w:sz w:val="24"/>
                <w:szCs w:val="24"/>
              </w:rPr>
              <w:t xml:space="preserve">Opłata za przeniesienie numeru do </w:t>
            </w:r>
            <w:r>
              <w:rPr>
                <w:rFonts w:ascii="Times New Roman" w:hAnsi="Times New Roman" w:cs="Times New Roman"/>
                <w:sz w:val="24"/>
                <w:szCs w:val="24"/>
              </w:rPr>
              <w:t>OPL</w:t>
            </w:r>
            <w:r w:rsidRPr="008874B8">
              <w:rPr>
                <w:rFonts w:ascii="Times New Roman" w:hAnsi="Times New Roman" w:cs="Times New Roman"/>
                <w:sz w:val="24"/>
                <w:szCs w:val="24"/>
              </w:rPr>
              <w:t xml:space="preserve"> </w:t>
            </w:r>
            <w:r>
              <w:rPr>
                <w:rFonts w:ascii="Times New Roman" w:hAnsi="Times New Roman" w:cs="Times New Roman"/>
                <w:sz w:val="24"/>
                <w:szCs w:val="24"/>
              </w:rPr>
              <w:t>(</w:t>
            </w:r>
            <w:r w:rsidRPr="008874B8">
              <w:rPr>
                <w:rFonts w:ascii="Times New Roman" w:hAnsi="Times New Roman" w:cs="Times New Roman"/>
                <w:snapToGrid w:val="0"/>
                <w:sz w:val="24"/>
                <w:szCs w:val="24"/>
              </w:rPr>
              <w:t>Opłata z tytułu Przeniesienia Numeru do sieci Biorcy</w:t>
            </w:r>
            <w:r>
              <w:rPr>
                <w:rFonts w:ascii="Times New Roman" w:hAnsi="Times New Roman" w:cs="Times New Roman"/>
                <w:snapToGrid w:val="0"/>
                <w:sz w:val="24"/>
                <w:szCs w:val="24"/>
              </w:rPr>
              <w:t>)</w:t>
            </w:r>
          </w:p>
        </w:tc>
        <w:tc>
          <w:tcPr>
            <w:tcW w:w="1372" w:type="pct"/>
            <w:tcBorders>
              <w:top w:val="single" w:sz="4" w:space="0" w:color="auto"/>
              <w:left w:val="single" w:sz="4" w:space="0" w:color="auto"/>
              <w:bottom w:val="single" w:sz="4" w:space="0" w:color="auto"/>
            </w:tcBorders>
            <w:vAlign w:val="center"/>
          </w:tcPr>
          <w:p w:rsidR="00203DFD" w:rsidRPr="008874B8" w:rsidRDefault="00203DFD" w:rsidP="00DA7BC2">
            <w:pPr>
              <w:pStyle w:val="tabelatekst"/>
              <w:spacing w:line="240" w:lineRule="auto"/>
              <w:ind w:right="849"/>
              <w:jc w:val="right"/>
              <w:rPr>
                <w:rFonts w:ascii="Times New Roman" w:hAnsi="Times New Roman" w:cs="Times New Roman"/>
                <w:snapToGrid w:val="0"/>
                <w:sz w:val="24"/>
                <w:szCs w:val="24"/>
              </w:rPr>
            </w:pPr>
            <w:r w:rsidRPr="008874B8">
              <w:rPr>
                <w:rFonts w:ascii="Times New Roman" w:hAnsi="Times New Roman" w:cs="Times New Roman"/>
                <w:snapToGrid w:val="0"/>
                <w:sz w:val="24"/>
                <w:szCs w:val="24"/>
              </w:rPr>
              <w:t>25,39</w:t>
            </w:r>
          </w:p>
        </w:tc>
      </w:tr>
    </w:tbl>
    <w:p w:rsidR="00203DFD" w:rsidRPr="00DA7BC2" w:rsidRDefault="00203DFD" w:rsidP="004D5C6B">
      <w:pPr>
        <w:pStyle w:val="Akapitzlist"/>
        <w:spacing w:after="120"/>
        <w:ind w:left="0"/>
        <w:jc w:val="both"/>
        <w:rPr>
          <w:rFonts w:ascii="Times New Roman" w:hAnsi="Times New Roman"/>
          <w:sz w:val="24"/>
        </w:rPr>
      </w:pPr>
      <w:r>
        <w:rPr>
          <w:rFonts w:ascii="Times New Roman" w:hAnsi="Times New Roman"/>
          <w:sz w:val="24"/>
        </w:rPr>
        <w:t>„</w:t>
      </w:r>
    </w:p>
    <w:p w:rsidR="00203DFD" w:rsidRDefault="00203DFD" w:rsidP="00146C5D">
      <w:pPr>
        <w:tabs>
          <w:tab w:val="left" w:pos="360"/>
        </w:tabs>
        <w:spacing w:after="120"/>
        <w:jc w:val="both"/>
        <w:rPr>
          <w:b/>
          <w:bCs/>
        </w:rPr>
      </w:pPr>
      <w:r>
        <w:rPr>
          <w:b/>
          <w:bCs/>
        </w:rPr>
        <w:t>III. Na podstawie art. 105 § 1 kpa umarzam postępowanie w części dotyczącej</w:t>
      </w:r>
      <w:r w:rsidRPr="00C60FCD">
        <w:t xml:space="preserve"> </w:t>
      </w:r>
      <w:r w:rsidRPr="006921D1">
        <w:rPr>
          <w:b/>
        </w:rPr>
        <w:t xml:space="preserve">ustalenia warunków świadczenia usług przez </w:t>
      </w:r>
      <w:r>
        <w:rPr>
          <w:b/>
        </w:rPr>
        <w:t>OPL na rzecz Netii.</w:t>
      </w:r>
      <w:r w:rsidDel="00CE5C56">
        <w:rPr>
          <w:b/>
          <w:bCs/>
        </w:rPr>
        <w:t xml:space="preserve"> </w:t>
      </w:r>
    </w:p>
    <w:p w:rsidR="00203DFD" w:rsidRDefault="00203DFD" w:rsidP="00146C5D">
      <w:pPr>
        <w:tabs>
          <w:tab w:val="left" w:pos="360"/>
        </w:tabs>
        <w:spacing w:after="120"/>
        <w:jc w:val="both"/>
        <w:rPr>
          <w:b/>
          <w:bCs/>
        </w:rPr>
      </w:pPr>
      <w:r>
        <w:rPr>
          <w:b/>
          <w:bCs/>
        </w:rPr>
        <w:t>I</w:t>
      </w:r>
      <w:r w:rsidRPr="004774DD">
        <w:rPr>
          <w:b/>
          <w:bCs/>
        </w:rPr>
        <w:t>V. Na podstawie art. 206 ust. 2a w związku z art. 206 ust. 2 pkt 5 Pt, Decyzja podlega natychmiastowemu wykonaniu.</w:t>
      </w:r>
    </w:p>
    <w:p w:rsidR="00203DFD" w:rsidRDefault="00203DFD" w:rsidP="007F2AFA">
      <w:pPr>
        <w:pStyle w:val="Nagwek2"/>
        <w:spacing w:after="240"/>
        <w:jc w:val="center"/>
      </w:pPr>
      <w:r w:rsidRPr="00FC553B">
        <w:t>UZASADNIENIE</w:t>
      </w:r>
    </w:p>
    <w:p w:rsidR="00203DFD" w:rsidRDefault="00203DFD" w:rsidP="00815977">
      <w:pPr>
        <w:autoSpaceDE w:val="0"/>
        <w:autoSpaceDN w:val="0"/>
        <w:adjustRightInd w:val="0"/>
        <w:spacing w:after="120"/>
        <w:jc w:val="both"/>
      </w:pPr>
      <w:r>
        <w:rPr>
          <w:bCs/>
        </w:rPr>
        <w:t xml:space="preserve">W dniu </w:t>
      </w:r>
      <w:r>
        <w:t>26 kwietnia 2007 r.</w:t>
      </w:r>
      <w:r w:rsidRPr="00146C5D">
        <w:t xml:space="preserve"> </w:t>
      </w:r>
      <w:r>
        <w:rPr>
          <w:bCs/>
        </w:rPr>
        <w:t>Prezes UKE wydał decyzję</w:t>
      </w:r>
      <w:r w:rsidRPr="00146C5D">
        <w:t xml:space="preserve"> nr DRTD-SMP-6043-10/06(20) (zwaną</w:t>
      </w:r>
      <w:r>
        <w:t xml:space="preserve"> dalej „D</w:t>
      </w:r>
      <w:r w:rsidRPr="00146C5D">
        <w:t>ecyzją</w:t>
      </w:r>
      <w:r>
        <w:t xml:space="preserve"> SMP Netia</w:t>
      </w:r>
      <w:r w:rsidRPr="00146C5D">
        <w:t>”)</w:t>
      </w:r>
      <w:r>
        <w:rPr>
          <w:bCs/>
        </w:rPr>
        <w:t>, wyznaczającą Netię jako przedsiębiorcę telekomunikacyjnego zajmującego znaczącą pozycję na rynku świadczenia usługi zakańczania połączeń w stacjonarnej publicznej sieci telefonicznej Netii, zgodnym z obszarem sieci, w której następuje zakończenie połączenia, oraz nakładającą na Netię obowiązki regulacyjne, o których mowa</w:t>
      </w:r>
      <w:r>
        <w:rPr>
          <w:bCs/>
        </w:rPr>
        <w:br/>
        <w:t>w art. 34 Pt, w  art. 36 Pt i w art. 37 Pt.</w:t>
      </w:r>
    </w:p>
    <w:p w:rsidR="00203DFD" w:rsidRPr="00350B90" w:rsidRDefault="00203DFD" w:rsidP="00213D7B">
      <w:pPr>
        <w:autoSpaceDE w:val="0"/>
        <w:autoSpaceDN w:val="0"/>
        <w:adjustRightInd w:val="0"/>
        <w:spacing w:after="120"/>
        <w:jc w:val="both"/>
      </w:pPr>
      <w:r w:rsidRPr="002D0E63">
        <w:t xml:space="preserve">W dniu </w:t>
      </w:r>
      <w:r>
        <w:t>31 grudnia 2008</w:t>
      </w:r>
      <w:r w:rsidRPr="002D0E63">
        <w:t xml:space="preserve"> r. nastąpiło połączenie </w:t>
      </w:r>
      <w:r>
        <w:t>Premium Internet S.A.</w:t>
      </w:r>
      <w:r w:rsidRPr="002D0E63">
        <w:t xml:space="preserve"> i </w:t>
      </w:r>
      <w:r>
        <w:t>Tele2 Polska sp. z o.o.</w:t>
      </w:r>
      <w:r w:rsidRPr="002D0E63">
        <w:t xml:space="preserve"> w drodze przeniesienia całego majątku </w:t>
      </w:r>
      <w:r>
        <w:t>Premium Internet S.A.</w:t>
      </w:r>
      <w:r w:rsidRPr="002D0E63">
        <w:t xml:space="preserve"> </w:t>
      </w:r>
      <w:r>
        <w:br/>
      </w:r>
      <w:r w:rsidRPr="002D0E63">
        <w:t xml:space="preserve">na </w:t>
      </w:r>
      <w:r>
        <w:t>Tele2 Polska sp. z o.o.</w:t>
      </w:r>
      <w:r w:rsidRPr="002D0E63">
        <w:t xml:space="preserve"> w trybie art. 492 § 1 pkt 1 ustawy z dnia 15 września </w:t>
      </w:r>
      <w:r>
        <w:br/>
      </w:r>
      <w:r w:rsidRPr="002D0E63">
        <w:t>20</w:t>
      </w:r>
      <w:r>
        <w:t xml:space="preserve">00 r. Kodeks spółek handlowych </w:t>
      </w:r>
      <w:r w:rsidRPr="002D0E63">
        <w:t>(</w:t>
      </w:r>
      <w:r>
        <w:t xml:space="preserve">t.j. </w:t>
      </w:r>
      <w:r w:rsidRPr="002D0E63">
        <w:t>Dz.</w:t>
      </w:r>
      <w:r>
        <w:t xml:space="preserve"> </w:t>
      </w:r>
      <w:r w:rsidRPr="002D0E63">
        <w:t>U. z 2013 r., poz. 1030, zwanej dalej „ksh”).</w:t>
      </w:r>
    </w:p>
    <w:p w:rsidR="00203DFD" w:rsidRPr="00350B90" w:rsidRDefault="00203DFD" w:rsidP="00324D06">
      <w:pPr>
        <w:autoSpaceDE w:val="0"/>
        <w:autoSpaceDN w:val="0"/>
        <w:adjustRightInd w:val="0"/>
        <w:spacing w:after="120"/>
        <w:jc w:val="both"/>
      </w:pPr>
      <w:r w:rsidRPr="002D0E63">
        <w:t xml:space="preserve">W dniu </w:t>
      </w:r>
      <w:r>
        <w:t>20 lutego 2009</w:t>
      </w:r>
      <w:r w:rsidRPr="002D0E63">
        <w:t xml:space="preserve"> r. nastąpiło połączenie </w:t>
      </w:r>
      <w:r>
        <w:t>Tele2 Polska sp. z o.o.</w:t>
      </w:r>
      <w:r w:rsidRPr="002D0E63">
        <w:t xml:space="preserve"> </w:t>
      </w:r>
      <w:r>
        <w:t xml:space="preserve">i Netia </w:t>
      </w:r>
      <w:r>
        <w:br/>
      </w:r>
      <w:r w:rsidRPr="002D0E63">
        <w:t xml:space="preserve">w drodze przeniesienia całego majątku </w:t>
      </w:r>
      <w:r>
        <w:t>Tele2 Polska sp. z o.o.</w:t>
      </w:r>
      <w:r w:rsidRPr="002D0E63">
        <w:t xml:space="preserve"> na </w:t>
      </w:r>
      <w:r>
        <w:t>Netię</w:t>
      </w:r>
      <w:r w:rsidRPr="002D0E63">
        <w:t xml:space="preserve"> w trybie </w:t>
      </w:r>
      <w:r>
        <w:br/>
      </w:r>
      <w:r w:rsidRPr="002D0E63">
        <w:t xml:space="preserve">art. 492 § 1 pkt 1 </w:t>
      </w:r>
      <w:r>
        <w:t>ksh</w:t>
      </w:r>
      <w:r w:rsidRPr="002D0E63">
        <w:t>.</w:t>
      </w:r>
    </w:p>
    <w:p w:rsidR="00203DFD" w:rsidRDefault="00203DFD" w:rsidP="009A0E44">
      <w:pPr>
        <w:autoSpaceDE w:val="0"/>
        <w:autoSpaceDN w:val="0"/>
        <w:adjustRightInd w:val="0"/>
        <w:spacing w:after="120"/>
        <w:jc w:val="both"/>
      </w:pPr>
      <w:r>
        <w:t>W dniu 22 września 2009 r. Prezes UKE wydał decyzję nr DART-SMP-6040-5/09(22) (zwaną dalej „Decyzją SMP OPL na rynku 9”), wyznaczającą OPL jako przedsiębiorcę telekomunikacyjnego zajmującego znaczącą pozycję na rynku świadczenia usługi zakańczania połączeń w stacjonarnej publicznej sieci telefonicznej OPL, zgodnym z obszarem sieci, w której następuje zakończenie połączenia, oraz nakładającą na OPL obowiązek regulacyjny, o którym mowa</w:t>
      </w:r>
      <w:r>
        <w:br/>
        <w:t>w art. 40 Pt, znoszącą obowiązek o którym mowa w art. 39 Pt, utrzymującą uprzednio nałożone na OPL obowiązki, o których mowa w art. 36 Pt i art. 38 Pt,</w:t>
      </w:r>
      <w:r>
        <w:br/>
        <w:t>a także zmieniającą treść uprzednio nałożonych na OPL obowiązków regulacyjnych, o których mowa w art. 34 Pt i w art. 42 Pt.</w:t>
      </w:r>
    </w:p>
    <w:p w:rsidR="00203DFD" w:rsidRDefault="00203DFD" w:rsidP="009A0E44">
      <w:pPr>
        <w:autoSpaceDE w:val="0"/>
        <w:autoSpaceDN w:val="0"/>
        <w:adjustRightInd w:val="0"/>
        <w:spacing w:after="120"/>
        <w:jc w:val="both"/>
      </w:pPr>
      <w:r>
        <w:lastRenderedPageBreak/>
        <w:t>W dniu 30 grudnia 2010 r. Prezes UKE wydał decyzję nr DART-SMP-6040-2/10(52) (zwaną dalej „Decyzją SMP OPL na rynku 4”), wyznaczającą OPL jako przedsiębiorcę telekomunikacyjnego o znaczącej pozycji rynkowej na krajowym rynku świadczenia usług hurtowego (fizycznego) dostępu do infrastruktury sieciowej (w tym dostępu dzielonego lub w pełni uwolnionego) w stałej lokalizacji oraz nakładającą na OPL obowiązki regulacyjne, o których mowa w art. 34 ust. 1</w:t>
      </w:r>
      <w:r>
        <w:br/>
        <w:t>i ust. 2 Pt, w art. 36 Pt, w art. 37 ust. 1 i ust. 2 Pt, w art. 38 ust. 1 Pt, w art. 40</w:t>
      </w:r>
      <w:r>
        <w:br/>
        <w:t>ust. 1 Pt, oraz w art. 42 ust. 1 Pt.</w:t>
      </w:r>
    </w:p>
    <w:p w:rsidR="00203DFD" w:rsidRDefault="00203DFD" w:rsidP="009A0E44">
      <w:pPr>
        <w:autoSpaceDE w:val="0"/>
        <w:autoSpaceDN w:val="0"/>
        <w:adjustRightInd w:val="0"/>
        <w:spacing w:after="120"/>
        <w:jc w:val="both"/>
      </w:pPr>
      <w:r>
        <w:t>W dniu 28 kwietnia 2011 r. Prezes UKE wydał decyzję nr DART-SMP-6040-1/10(47) (zwaną dalej „Decyzją SMP OPL na rynku 5”), wyznaczającą OPL jako przedsiębiorcę telekomunikacyjnego o znaczącej pozycji rynkowej na krajowym rynku świadczenia hurtowych usług dostępu szerokopasmowego, z wyłączeniem części obszarów gminnych określonych tą decyzją, oraz nakładającą na OPL</w:t>
      </w:r>
      <w:r>
        <w:br/>
        <w:t>na części obszarów gminnych określonych tą decyzją obowiązki regulacyjne,</w:t>
      </w:r>
      <w:r>
        <w:br/>
        <w:t>o których mowa w art. 34 ust. 1 i ust. 2 Pt, w art. 36 Pt, w art. 37 ust. 1 i ust. 2 Pt,</w:t>
      </w:r>
      <w:r>
        <w:br/>
        <w:t>w art. 38 ust. 1 Pt, w art. 40 ust. 1 Pt oraz w art. 42 ust. 1 Pt.</w:t>
      </w:r>
    </w:p>
    <w:p w:rsidR="00203DFD" w:rsidRDefault="00203DFD" w:rsidP="009A0E44">
      <w:pPr>
        <w:autoSpaceDE w:val="0"/>
        <w:autoSpaceDN w:val="0"/>
        <w:adjustRightInd w:val="0"/>
        <w:spacing w:after="120"/>
        <w:jc w:val="both"/>
      </w:pPr>
      <w:r>
        <w:t>W dniu 5 sierpnia 2011 r. Prezes UKE wydał decyzję nr DART-SMP-6040-5/10(42) (zwaną dalej „Decyzją SMP OPL na rynku 8”), wyznaczającą OPL jako przedsiębiorcę telekomunikacyjnego o znaczącej pozycji rynkowej na krajowym rynku świadczenia usługi rozpoczynania połączeń w stacjonarnej publicznej sieci telefonicznej (sieci telefonicznej w stałej lokalizacji) i nakładającą na OPL obowiązek regulacyjny, o którym mowa w art. 37 ust. 1 i ust. 2 Pt, utrzymującą uprzednio nałożony na OPL obowiązek, o którym mowa w art. 38 ust. 1 Pt, a także zmieniającą treść uprzednio nałożonego na OPL obowiązku regulacyjnego, o którym mowa w art. 34 ust. 1 i ust. 2 Pt, w art. 36 Pt, w art. 39 ust. 1 Pt, w art. 40 ust. 1 Pt oraz w art. 42 ust. 1 Pt.</w:t>
      </w:r>
    </w:p>
    <w:p w:rsidR="00203DFD" w:rsidRDefault="00203DFD" w:rsidP="007F2AFA">
      <w:pPr>
        <w:jc w:val="both"/>
        <w:rPr>
          <w:bCs/>
        </w:rPr>
      </w:pPr>
      <w:r w:rsidRPr="000919C2">
        <w:t>W dniu 4 października 2011 r. Prezes UKE wydał decyzję DHRT-WORK-6082-2/11(</w:t>
      </w:r>
      <w:r>
        <w:t>70)</w:t>
      </w:r>
      <w:r w:rsidRPr="000919C2">
        <w:t>, w któr</w:t>
      </w:r>
      <w:r>
        <w:t>ej częściowo zmienił Ofertę SOR</w:t>
      </w:r>
      <w:r w:rsidRPr="00350764">
        <w:t xml:space="preserve"> </w:t>
      </w:r>
      <w:r>
        <w:t>w zakresie wprowadzenia możliwości</w:t>
      </w:r>
      <w:r w:rsidRPr="00350764">
        <w:t xml:space="preserve"> świadczenia usługi dostępu szerokopasmowego w technologii VDSL.</w:t>
      </w:r>
    </w:p>
    <w:p w:rsidR="00203DFD" w:rsidRDefault="00203DFD" w:rsidP="00E363BF">
      <w:pPr>
        <w:spacing w:before="120"/>
        <w:jc w:val="both"/>
      </w:pPr>
      <w:r>
        <w:t>Pismem z dnia 23 marca 2012 r. OPL wystąpiła do Netii z wnioskiem o zawarcie jednolitej umowy o dostępie telekomunikacyjnym, w oparciu o Ofertę SOR, zastępującej dotychczasowe umowy, porozumienia i decyzje regulujące współpracę stron.</w:t>
      </w:r>
    </w:p>
    <w:p w:rsidR="00203DFD" w:rsidRDefault="00203DFD" w:rsidP="007F2AFA">
      <w:pPr>
        <w:spacing w:before="120" w:after="120"/>
        <w:jc w:val="both"/>
      </w:pPr>
      <w:r>
        <w:t xml:space="preserve">W odpowiedzi na powyższe pismo OPL, Netia pismem z dnia 6 kwietnia </w:t>
      </w:r>
      <w:r>
        <w:br/>
        <w:t xml:space="preserve">2012 r. przedstawiła uwagi i zastrzeżenia do projektu umowy przedstawionego </w:t>
      </w:r>
      <w:r w:rsidR="00096375">
        <w:br/>
      </w:r>
      <w:r>
        <w:t>przez OPL.</w:t>
      </w:r>
    </w:p>
    <w:p w:rsidR="00203DFD" w:rsidRDefault="00203DFD" w:rsidP="001F0956">
      <w:pPr>
        <w:autoSpaceDE w:val="0"/>
        <w:autoSpaceDN w:val="0"/>
        <w:adjustRightInd w:val="0"/>
        <w:spacing w:after="120"/>
        <w:jc w:val="both"/>
      </w:pPr>
      <w:r w:rsidRPr="002D0E63">
        <w:t xml:space="preserve">W dniu </w:t>
      </w:r>
      <w:r>
        <w:t xml:space="preserve">2 kwietnia 2012 r. dokonano zmiany nazwy firmy Crowley Data </w:t>
      </w:r>
      <w:r>
        <w:br/>
        <w:t>Poland sp. z o.o. na CDP Netia sp. z o.o.</w:t>
      </w:r>
    </w:p>
    <w:p w:rsidR="00203DFD" w:rsidRDefault="00203DFD" w:rsidP="001F0956">
      <w:pPr>
        <w:autoSpaceDE w:val="0"/>
        <w:autoSpaceDN w:val="0"/>
        <w:adjustRightInd w:val="0"/>
        <w:spacing w:after="120"/>
        <w:jc w:val="both"/>
      </w:pPr>
      <w:r w:rsidRPr="002D0E63">
        <w:t xml:space="preserve">W dniu </w:t>
      </w:r>
      <w:r>
        <w:t>28 sierpnia 2012</w:t>
      </w:r>
      <w:r w:rsidRPr="002D0E63">
        <w:t xml:space="preserve"> r. nastąpiło połączenie </w:t>
      </w:r>
      <w:r>
        <w:t>CDP Netia sp. z o.o.</w:t>
      </w:r>
      <w:r w:rsidRPr="002D0E63">
        <w:t xml:space="preserve"> </w:t>
      </w:r>
      <w:r>
        <w:t xml:space="preserve">i Netia </w:t>
      </w:r>
      <w:r>
        <w:br/>
      </w:r>
      <w:r w:rsidRPr="002D0E63">
        <w:t xml:space="preserve">w drodze przeniesienia całego majątku </w:t>
      </w:r>
      <w:r>
        <w:t xml:space="preserve">CDP Netia sp. z o.o. </w:t>
      </w:r>
      <w:r w:rsidRPr="002D0E63">
        <w:t xml:space="preserve">na </w:t>
      </w:r>
      <w:r>
        <w:t>Netię</w:t>
      </w:r>
      <w:r w:rsidRPr="002D0E63">
        <w:t xml:space="preserve"> w trybie </w:t>
      </w:r>
      <w:r>
        <w:br/>
      </w:r>
      <w:r w:rsidRPr="002D0E63">
        <w:t xml:space="preserve">art. 492 § 1 pkt 1 </w:t>
      </w:r>
      <w:r>
        <w:t>ksh.</w:t>
      </w:r>
    </w:p>
    <w:p w:rsidR="00203DFD" w:rsidRDefault="00203DFD" w:rsidP="007F2AFA">
      <w:pPr>
        <w:pStyle w:val="Tekstpodstawowy"/>
        <w:spacing w:after="120" w:line="240" w:lineRule="auto"/>
        <w:rPr>
          <w:rFonts w:ascii="Times New Roman" w:hAnsi="Times New Roman" w:cs="Times New Roman"/>
          <w:bCs/>
          <w:sz w:val="24"/>
        </w:rPr>
      </w:pPr>
      <w:r>
        <w:rPr>
          <w:rFonts w:ascii="Times New Roman" w:hAnsi="Times New Roman" w:cs="Times New Roman"/>
          <w:bCs/>
          <w:sz w:val="24"/>
        </w:rPr>
        <w:t>W piśmie z dnia 27 kwietnia 2013 r. OPL odniosła się do uwag i zastrzeżeń Netii, wyjaśniając, że intencją OPL jest uregulowanie wzajemnych relacji we współpracy stron, a więc również kwestii dotyczących świadczenia usług przez Netię na rzecz OPL. OPL przedstawiła propozycję symetrycznych warunków współpracy stron.</w:t>
      </w:r>
    </w:p>
    <w:p w:rsidR="00203DFD" w:rsidRPr="00781455" w:rsidRDefault="00203DFD" w:rsidP="007F2AFA">
      <w:pPr>
        <w:pStyle w:val="Tekstpodstawowy"/>
        <w:spacing w:after="120" w:line="240" w:lineRule="auto"/>
        <w:rPr>
          <w:rFonts w:ascii="Times New Roman" w:hAnsi="Times New Roman" w:cs="Times New Roman"/>
          <w:bCs/>
          <w:sz w:val="24"/>
        </w:rPr>
      </w:pPr>
      <w:r>
        <w:rPr>
          <w:rFonts w:ascii="Times New Roman" w:hAnsi="Times New Roman" w:cs="Times New Roman"/>
          <w:bCs/>
          <w:sz w:val="24"/>
        </w:rPr>
        <w:t>OPL</w:t>
      </w:r>
      <w:r w:rsidRPr="00781455">
        <w:rPr>
          <w:rFonts w:ascii="Times New Roman" w:hAnsi="Times New Roman" w:cs="Times New Roman"/>
          <w:bCs/>
          <w:sz w:val="24"/>
        </w:rPr>
        <w:t xml:space="preserve"> pismem z dnia </w:t>
      </w:r>
      <w:r>
        <w:rPr>
          <w:rFonts w:ascii="Times New Roman" w:hAnsi="Times New Roman" w:cs="Times New Roman"/>
          <w:bCs/>
          <w:sz w:val="24"/>
        </w:rPr>
        <w:t>4 grudnia</w:t>
      </w:r>
      <w:r w:rsidRPr="00781455">
        <w:rPr>
          <w:rFonts w:ascii="Times New Roman" w:hAnsi="Times New Roman" w:cs="Times New Roman"/>
          <w:bCs/>
          <w:sz w:val="24"/>
        </w:rPr>
        <w:t xml:space="preserve"> 2012 r. (data wpływu do Urzędu Komunikacji Elektronicznej dnia </w:t>
      </w:r>
      <w:r>
        <w:rPr>
          <w:rFonts w:ascii="Times New Roman" w:hAnsi="Times New Roman" w:cs="Times New Roman"/>
          <w:bCs/>
          <w:sz w:val="24"/>
        </w:rPr>
        <w:t>6 grudnia</w:t>
      </w:r>
      <w:r w:rsidRPr="00781455">
        <w:rPr>
          <w:rFonts w:ascii="Times New Roman" w:hAnsi="Times New Roman" w:cs="Times New Roman"/>
          <w:bCs/>
          <w:sz w:val="24"/>
        </w:rPr>
        <w:t xml:space="preserve"> 2012 r.) zwróciła się do Prezesa UKE </w:t>
      </w:r>
      <w:r>
        <w:rPr>
          <w:rFonts w:ascii="Times New Roman" w:hAnsi="Times New Roman" w:cs="Times New Roman"/>
          <w:bCs/>
          <w:sz w:val="24"/>
        </w:rPr>
        <w:t>z wnioskiem</w:t>
      </w:r>
      <w:r>
        <w:rPr>
          <w:rFonts w:ascii="Times New Roman" w:hAnsi="Times New Roman" w:cs="Times New Roman"/>
          <w:bCs/>
          <w:sz w:val="24"/>
        </w:rPr>
        <w:br/>
      </w:r>
      <w:r w:rsidRPr="00781455">
        <w:rPr>
          <w:rFonts w:ascii="Times New Roman" w:hAnsi="Times New Roman" w:cs="Times New Roman"/>
          <w:bCs/>
          <w:sz w:val="24"/>
        </w:rPr>
        <w:lastRenderedPageBreak/>
        <w:t>o wydanie decyzji w zakresie dostępu telekomunikacyjnego w oparciu o Ofertę SOR</w:t>
      </w:r>
      <w:r>
        <w:rPr>
          <w:rFonts w:ascii="Times New Roman" w:hAnsi="Times New Roman" w:cs="Times New Roman"/>
          <w:bCs/>
          <w:sz w:val="24"/>
        </w:rPr>
        <w:t xml:space="preserve"> (zwanym dalej „Wnioskiem”)</w:t>
      </w:r>
      <w:r w:rsidRPr="00781455">
        <w:rPr>
          <w:rFonts w:ascii="Times New Roman" w:hAnsi="Times New Roman" w:cs="Times New Roman"/>
          <w:bCs/>
          <w:sz w:val="24"/>
        </w:rPr>
        <w:t>, która zastąpi je</w:t>
      </w:r>
      <w:r>
        <w:rPr>
          <w:rFonts w:ascii="Times New Roman" w:hAnsi="Times New Roman" w:cs="Times New Roman"/>
          <w:bCs/>
          <w:sz w:val="24"/>
        </w:rPr>
        <w:t>dnolitym tekstem umowy, zgodnym</w:t>
      </w:r>
      <w:r>
        <w:rPr>
          <w:rFonts w:ascii="Times New Roman" w:hAnsi="Times New Roman" w:cs="Times New Roman"/>
          <w:bCs/>
          <w:sz w:val="24"/>
        </w:rPr>
        <w:br/>
      </w:r>
      <w:r w:rsidRPr="00781455">
        <w:rPr>
          <w:rFonts w:ascii="Times New Roman" w:hAnsi="Times New Roman" w:cs="Times New Roman"/>
          <w:bCs/>
          <w:sz w:val="24"/>
        </w:rPr>
        <w:t>z Ofertą SOR, umowy</w:t>
      </w:r>
      <w:r>
        <w:rPr>
          <w:rFonts w:ascii="Times New Roman" w:hAnsi="Times New Roman" w:cs="Times New Roman"/>
          <w:bCs/>
          <w:sz w:val="24"/>
        </w:rPr>
        <w:t>,</w:t>
      </w:r>
      <w:r w:rsidRPr="00781455">
        <w:rPr>
          <w:rFonts w:ascii="Times New Roman" w:hAnsi="Times New Roman" w:cs="Times New Roman"/>
          <w:bCs/>
          <w:sz w:val="24"/>
        </w:rPr>
        <w:t xml:space="preserve"> porozumienia</w:t>
      </w:r>
      <w:r>
        <w:rPr>
          <w:rFonts w:ascii="Times New Roman" w:hAnsi="Times New Roman" w:cs="Times New Roman"/>
          <w:bCs/>
          <w:sz w:val="24"/>
        </w:rPr>
        <w:t xml:space="preserve"> i decyzje</w:t>
      </w:r>
      <w:r w:rsidRPr="00781455">
        <w:rPr>
          <w:rFonts w:ascii="Times New Roman" w:hAnsi="Times New Roman" w:cs="Times New Roman"/>
          <w:bCs/>
          <w:sz w:val="24"/>
        </w:rPr>
        <w:t xml:space="preserve"> </w:t>
      </w:r>
      <w:r>
        <w:rPr>
          <w:rFonts w:ascii="Times New Roman" w:hAnsi="Times New Roman" w:cs="Times New Roman"/>
          <w:bCs/>
          <w:sz w:val="24"/>
        </w:rPr>
        <w:t>regulujące współpracę</w:t>
      </w:r>
      <w:r w:rsidRPr="00781455">
        <w:rPr>
          <w:rFonts w:ascii="Times New Roman" w:hAnsi="Times New Roman" w:cs="Times New Roman"/>
          <w:bCs/>
          <w:sz w:val="24"/>
        </w:rPr>
        <w:t xml:space="preserve"> między </w:t>
      </w:r>
      <w:r>
        <w:rPr>
          <w:rFonts w:ascii="Times New Roman" w:hAnsi="Times New Roman" w:cs="Times New Roman"/>
          <w:bCs/>
          <w:sz w:val="24"/>
        </w:rPr>
        <w:t>OPL</w:t>
      </w:r>
      <w:r>
        <w:rPr>
          <w:rFonts w:ascii="Times New Roman" w:hAnsi="Times New Roman" w:cs="Times New Roman"/>
          <w:bCs/>
          <w:sz w:val="24"/>
        </w:rPr>
        <w:br/>
      </w:r>
      <w:r w:rsidRPr="00781455">
        <w:rPr>
          <w:rFonts w:ascii="Times New Roman" w:hAnsi="Times New Roman" w:cs="Times New Roman"/>
          <w:bCs/>
          <w:sz w:val="24"/>
        </w:rPr>
        <w:t xml:space="preserve">i </w:t>
      </w:r>
      <w:r>
        <w:rPr>
          <w:rFonts w:ascii="Times New Roman" w:hAnsi="Times New Roman" w:cs="Times New Roman"/>
          <w:bCs/>
          <w:sz w:val="24"/>
        </w:rPr>
        <w:t>Netią</w:t>
      </w:r>
      <w:r w:rsidRPr="00781455">
        <w:rPr>
          <w:rFonts w:ascii="Times New Roman" w:hAnsi="Times New Roman" w:cs="Times New Roman"/>
          <w:bCs/>
          <w:sz w:val="24"/>
        </w:rPr>
        <w:t xml:space="preserve"> tj.:</w:t>
      </w:r>
    </w:p>
    <w:p w:rsidR="00203DFD" w:rsidRDefault="00203DFD" w:rsidP="003565CD">
      <w:pPr>
        <w:numPr>
          <w:ilvl w:val="5"/>
          <w:numId w:val="11"/>
        </w:numPr>
        <w:tabs>
          <w:tab w:val="clear" w:pos="1152"/>
          <w:tab w:val="num" w:pos="709"/>
        </w:tabs>
        <w:overflowPunct w:val="0"/>
        <w:autoSpaceDE w:val="0"/>
        <w:autoSpaceDN w:val="0"/>
        <w:adjustRightInd w:val="0"/>
        <w:spacing w:after="120"/>
        <w:ind w:left="709"/>
        <w:jc w:val="both"/>
        <w:textAlignment w:val="baseline"/>
      </w:pPr>
      <w:r w:rsidRPr="00770D71">
        <w:t>Umowę o Połączeniu Sieci</w:t>
      </w:r>
      <w:r>
        <w:t>;</w:t>
      </w:r>
    </w:p>
    <w:p w:rsidR="00203DFD" w:rsidRDefault="00203DFD" w:rsidP="003565CD">
      <w:pPr>
        <w:numPr>
          <w:ilvl w:val="5"/>
          <w:numId w:val="11"/>
        </w:numPr>
        <w:tabs>
          <w:tab w:val="clear" w:pos="1152"/>
          <w:tab w:val="num" w:pos="709"/>
        </w:tabs>
        <w:overflowPunct w:val="0"/>
        <w:autoSpaceDE w:val="0"/>
        <w:autoSpaceDN w:val="0"/>
        <w:adjustRightInd w:val="0"/>
        <w:spacing w:after="120"/>
        <w:ind w:left="709"/>
        <w:jc w:val="both"/>
        <w:textAlignment w:val="baseline"/>
      </w:pPr>
      <w:r w:rsidRPr="00770D71">
        <w:t xml:space="preserve">Umowę o </w:t>
      </w:r>
      <w:r w:rsidR="00C47FED">
        <w:t>p</w:t>
      </w:r>
      <w:r w:rsidRPr="00770D71">
        <w:t xml:space="preserve">ołączeniu </w:t>
      </w:r>
      <w:r w:rsidR="00C47FED">
        <w:t>s</w:t>
      </w:r>
      <w:r w:rsidRPr="00770D71">
        <w:t>ieci z dnia 19 grudnia 2002 r</w:t>
      </w:r>
      <w:r>
        <w:t>.</w:t>
      </w:r>
      <w:r w:rsidRPr="00770D71">
        <w:t>;</w:t>
      </w:r>
    </w:p>
    <w:p w:rsidR="00203DFD" w:rsidRDefault="00203DFD" w:rsidP="003565CD">
      <w:pPr>
        <w:numPr>
          <w:ilvl w:val="5"/>
          <w:numId w:val="11"/>
        </w:numPr>
        <w:tabs>
          <w:tab w:val="clear" w:pos="1152"/>
          <w:tab w:val="num" w:pos="709"/>
        </w:tabs>
        <w:overflowPunct w:val="0"/>
        <w:autoSpaceDE w:val="0"/>
        <w:autoSpaceDN w:val="0"/>
        <w:adjustRightInd w:val="0"/>
        <w:spacing w:after="120"/>
        <w:ind w:left="709"/>
        <w:jc w:val="both"/>
        <w:textAlignment w:val="baseline"/>
      </w:pPr>
      <w:r w:rsidRPr="00770D71">
        <w:t xml:space="preserve">Umowę o </w:t>
      </w:r>
      <w:r w:rsidR="00C47FED">
        <w:t>p</w:t>
      </w:r>
      <w:r w:rsidRPr="00770D71">
        <w:t xml:space="preserve">ołączeniu </w:t>
      </w:r>
      <w:r w:rsidR="00C47FED">
        <w:t>s</w:t>
      </w:r>
      <w:r w:rsidRPr="00770D71">
        <w:t xml:space="preserve">ieci z dnia 15 lipca 2005 </w:t>
      </w:r>
      <w:r>
        <w:t>r.</w:t>
      </w:r>
      <w:r w:rsidRPr="00770D71">
        <w:t xml:space="preserve">; </w:t>
      </w:r>
    </w:p>
    <w:p w:rsidR="00203DFD" w:rsidRDefault="00203DFD" w:rsidP="003565CD">
      <w:pPr>
        <w:numPr>
          <w:ilvl w:val="5"/>
          <w:numId w:val="11"/>
        </w:numPr>
        <w:tabs>
          <w:tab w:val="clear" w:pos="1152"/>
          <w:tab w:val="num" w:pos="709"/>
        </w:tabs>
        <w:overflowPunct w:val="0"/>
        <w:autoSpaceDE w:val="0"/>
        <w:autoSpaceDN w:val="0"/>
        <w:adjustRightInd w:val="0"/>
        <w:spacing w:after="120"/>
        <w:ind w:left="709"/>
        <w:jc w:val="both"/>
        <w:textAlignment w:val="baseline"/>
      </w:pPr>
      <w:r w:rsidRPr="00770D71">
        <w:t xml:space="preserve">Umowę </w:t>
      </w:r>
      <w:r w:rsidRPr="00770D71">
        <w:rPr>
          <w:bCs/>
        </w:rPr>
        <w:t>o dostępie telekomunikacy</w:t>
      </w:r>
      <w:r>
        <w:rPr>
          <w:bCs/>
        </w:rPr>
        <w:t>jnym w zakresie dostępu pełnego</w:t>
      </w:r>
      <w:r>
        <w:rPr>
          <w:bCs/>
        </w:rPr>
        <w:br/>
      </w:r>
      <w:r w:rsidRPr="00770D71">
        <w:rPr>
          <w:bCs/>
        </w:rPr>
        <w:t>i współdzielonego do lokalnej pętli abonenckiej</w:t>
      </w:r>
      <w:r>
        <w:t xml:space="preserve"> o Nr POS/K-1476 z dnia</w:t>
      </w:r>
      <w:r>
        <w:br/>
      </w:r>
      <w:r w:rsidRPr="00770D71">
        <w:t>26 kwietnia 2007 r</w:t>
      </w:r>
      <w:r>
        <w:t>.;</w:t>
      </w:r>
    </w:p>
    <w:p w:rsidR="00203DFD" w:rsidRDefault="00203DFD" w:rsidP="003565CD">
      <w:pPr>
        <w:numPr>
          <w:ilvl w:val="5"/>
          <w:numId w:val="11"/>
        </w:numPr>
        <w:tabs>
          <w:tab w:val="clear" w:pos="1152"/>
          <w:tab w:val="num" w:pos="709"/>
        </w:tabs>
        <w:overflowPunct w:val="0"/>
        <w:autoSpaceDE w:val="0"/>
        <w:autoSpaceDN w:val="0"/>
        <w:adjustRightInd w:val="0"/>
        <w:spacing w:after="120"/>
        <w:ind w:left="709"/>
        <w:jc w:val="both"/>
        <w:textAlignment w:val="baseline"/>
      </w:pPr>
      <w:r w:rsidRPr="00770D71">
        <w:t>Decyzję Prezesa UKE Nr DR</w:t>
      </w:r>
      <w:r>
        <w:t>TH-WWM-60600-107/06 (31) z dnia</w:t>
      </w:r>
      <w:r>
        <w:br/>
      </w:r>
      <w:r w:rsidRPr="00770D71">
        <w:t>12 października 2007 r</w:t>
      </w:r>
      <w:r>
        <w:t>.</w:t>
      </w:r>
      <w:r w:rsidRPr="00770D71">
        <w:t xml:space="preserve">; </w:t>
      </w:r>
    </w:p>
    <w:p w:rsidR="00203DFD" w:rsidRDefault="00203DFD" w:rsidP="003565CD">
      <w:pPr>
        <w:numPr>
          <w:ilvl w:val="5"/>
          <w:numId w:val="11"/>
        </w:numPr>
        <w:tabs>
          <w:tab w:val="clear" w:pos="1152"/>
          <w:tab w:val="num" w:pos="709"/>
        </w:tabs>
        <w:overflowPunct w:val="0"/>
        <w:autoSpaceDE w:val="0"/>
        <w:autoSpaceDN w:val="0"/>
        <w:adjustRightInd w:val="0"/>
        <w:spacing w:after="120"/>
        <w:ind w:left="709"/>
        <w:jc w:val="both"/>
        <w:textAlignment w:val="baseline"/>
      </w:pPr>
      <w:r w:rsidRPr="00770D71">
        <w:rPr>
          <w:bCs/>
        </w:rPr>
        <w:t xml:space="preserve">Porozumienie o </w:t>
      </w:r>
      <w:r w:rsidRPr="00770D71">
        <w:t>warunkach przeprowadzenia asysty w ramach usługi dostępu telekomunikacyjnego w zakresie dostępu pełnego i współdzielonego do łącza abonenckiego (LLU) o Nr POS/K-696</w:t>
      </w:r>
      <w:r>
        <w:t>4 z dnia 5 listopada 2010 r.;</w:t>
      </w:r>
    </w:p>
    <w:p w:rsidR="00203DFD" w:rsidRDefault="00203DFD" w:rsidP="003565CD">
      <w:pPr>
        <w:numPr>
          <w:ilvl w:val="5"/>
          <w:numId w:val="11"/>
        </w:numPr>
        <w:tabs>
          <w:tab w:val="clear" w:pos="1152"/>
          <w:tab w:val="num" w:pos="709"/>
        </w:tabs>
        <w:overflowPunct w:val="0"/>
        <w:autoSpaceDE w:val="0"/>
        <w:autoSpaceDN w:val="0"/>
        <w:adjustRightInd w:val="0"/>
        <w:spacing w:after="120"/>
        <w:ind w:left="709"/>
        <w:jc w:val="both"/>
        <w:textAlignment w:val="baseline"/>
      </w:pPr>
      <w:r w:rsidRPr="00770D71">
        <w:t>Ramową</w:t>
      </w:r>
      <w:r w:rsidRPr="00770D71">
        <w:rPr>
          <w:noProof/>
        </w:rPr>
        <w:t xml:space="preserve"> Umowę Kolokacji</w:t>
      </w:r>
      <w:r w:rsidRPr="00770D71">
        <w:t xml:space="preserve"> o Nr POS/K-14</w:t>
      </w:r>
      <w:r>
        <w:t>38/07 z dnia 29 maja 2007 r.;</w:t>
      </w:r>
    </w:p>
    <w:p w:rsidR="00203DFD" w:rsidRDefault="00203DFD" w:rsidP="003565CD">
      <w:pPr>
        <w:numPr>
          <w:ilvl w:val="5"/>
          <w:numId w:val="11"/>
        </w:numPr>
        <w:tabs>
          <w:tab w:val="clear" w:pos="1152"/>
          <w:tab w:val="num" w:pos="709"/>
        </w:tabs>
        <w:overflowPunct w:val="0"/>
        <w:autoSpaceDE w:val="0"/>
        <w:autoSpaceDN w:val="0"/>
        <w:adjustRightInd w:val="0"/>
        <w:spacing w:after="120"/>
        <w:ind w:left="709"/>
        <w:jc w:val="both"/>
        <w:textAlignment w:val="baseline"/>
      </w:pPr>
      <w:r w:rsidRPr="00770D71">
        <w:t xml:space="preserve">Decyzję Prezesa UKE Nr DRTH-WWM-60600-42/07 </w:t>
      </w:r>
      <w:r>
        <w:t>(24) z dnia</w:t>
      </w:r>
      <w:r w:rsidR="003153B7">
        <w:t xml:space="preserve"> </w:t>
      </w:r>
      <w:r w:rsidR="003153B7">
        <w:br/>
      </w:r>
      <w:r>
        <w:t>28 listopada 2007 r</w:t>
      </w:r>
      <w:r w:rsidRPr="00770D71">
        <w:t>.;</w:t>
      </w:r>
    </w:p>
    <w:p w:rsidR="00203DFD" w:rsidRDefault="00203DFD" w:rsidP="003565CD">
      <w:pPr>
        <w:numPr>
          <w:ilvl w:val="5"/>
          <w:numId w:val="11"/>
        </w:numPr>
        <w:tabs>
          <w:tab w:val="clear" w:pos="1152"/>
          <w:tab w:val="num" w:pos="709"/>
        </w:tabs>
        <w:overflowPunct w:val="0"/>
        <w:autoSpaceDE w:val="0"/>
        <w:autoSpaceDN w:val="0"/>
        <w:adjustRightInd w:val="0"/>
        <w:spacing w:after="120"/>
        <w:ind w:left="709"/>
        <w:jc w:val="both"/>
        <w:textAlignment w:val="baseline"/>
      </w:pPr>
      <w:r w:rsidRPr="00770D71">
        <w:t>Umowę o dostępie telekomunikacyjnym w zakresie usługi dostępu szerokopasmowego, w tym usługi szerokopasmowej transmisji dany</w:t>
      </w:r>
      <w:r>
        <w:t>ch</w:t>
      </w:r>
      <w:r>
        <w:br/>
      </w:r>
      <w:r w:rsidRPr="00770D71">
        <w:t xml:space="preserve">o Nr POS/K-7062 z dnia 22 października 2010 </w:t>
      </w:r>
      <w:r>
        <w:t>r.;</w:t>
      </w:r>
    </w:p>
    <w:p w:rsidR="00203DFD" w:rsidRDefault="00203DFD" w:rsidP="003565CD">
      <w:pPr>
        <w:numPr>
          <w:ilvl w:val="5"/>
          <w:numId w:val="11"/>
        </w:numPr>
        <w:tabs>
          <w:tab w:val="clear" w:pos="1152"/>
          <w:tab w:val="num" w:pos="709"/>
        </w:tabs>
        <w:overflowPunct w:val="0"/>
        <w:autoSpaceDE w:val="0"/>
        <w:autoSpaceDN w:val="0"/>
        <w:adjustRightInd w:val="0"/>
        <w:spacing w:after="120"/>
        <w:ind w:left="709"/>
        <w:jc w:val="both"/>
        <w:textAlignment w:val="baseline"/>
      </w:pPr>
      <w:r w:rsidRPr="00770D71">
        <w:t xml:space="preserve">Umowę o dostępie do lokalnej pętli abonenckiej poprzez dostęp do węzłów sieci telekomunikacyjnej na potrzeby sprzedaży usług szerokopasmowej transmisji danych o Nr </w:t>
      </w:r>
      <w:r w:rsidRPr="00770D71">
        <w:rPr>
          <w:bCs/>
        </w:rPr>
        <w:t xml:space="preserve">POS/K-1286/06 </w:t>
      </w:r>
      <w:r w:rsidRPr="00770D71">
        <w:t>z dnia 4 stycznia 2007 r</w:t>
      </w:r>
      <w:r>
        <w:t>.</w:t>
      </w:r>
      <w:r w:rsidRPr="00770D71">
        <w:t>;</w:t>
      </w:r>
    </w:p>
    <w:p w:rsidR="00203DFD" w:rsidRDefault="00203DFD" w:rsidP="003565CD">
      <w:pPr>
        <w:numPr>
          <w:ilvl w:val="5"/>
          <w:numId w:val="11"/>
        </w:numPr>
        <w:tabs>
          <w:tab w:val="clear" w:pos="1152"/>
          <w:tab w:val="num" w:pos="709"/>
        </w:tabs>
        <w:overflowPunct w:val="0"/>
        <w:autoSpaceDE w:val="0"/>
        <w:autoSpaceDN w:val="0"/>
        <w:adjustRightInd w:val="0"/>
        <w:spacing w:after="120"/>
        <w:ind w:left="709"/>
        <w:jc w:val="both"/>
        <w:textAlignment w:val="baseline"/>
      </w:pPr>
      <w:r w:rsidRPr="00770D71">
        <w:t xml:space="preserve">Porozumienie w sprawie świadczenia przez </w:t>
      </w:r>
      <w:r>
        <w:t>OPL</w:t>
      </w:r>
      <w:r w:rsidRPr="00770D71">
        <w:t xml:space="preserve"> usługi dostępu szerokopasmowego, w tym usługi szerokopasmowej transmisji dany</w:t>
      </w:r>
      <w:r>
        <w:t>ch</w:t>
      </w:r>
      <w:r>
        <w:br/>
      </w:r>
      <w:r w:rsidRPr="00770D71">
        <w:t>w technologii VDSL o Nr POS/</w:t>
      </w:r>
      <w:r>
        <w:t>K-8234 z dnia 21 czerwca 2011 r.;</w:t>
      </w:r>
    </w:p>
    <w:p w:rsidR="00203DFD" w:rsidRDefault="00203DFD" w:rsidP="003565CD">
      <w:pPr>
        <w:numPr>
          <w:ilvl w:val="5"/>
          <w:numId w:val="11"/>
        </w:numPr>
        <w:tabs>
          <w:tab w:val="clear" w:pos="1152"/>
          <w:tab w:val="num" w:pos="709"/>
        </w:tabs>
        <w:overflowPunct w:val="0"/>
        <w:autoSpaceDE w:val="0"/>
        <w:autoSpaceDN w:val="0"/>
        <w:adjustRightInd w:val="0"/>
        <w:spacing w:after="120"/>
        <w:ind w:left="709"/>
        <w:jc w:val="both"/>
        <w:textAlignment w:val="baseline"/>
      </w:pPr>
      <w:r w:rsidRPr="00770D71">
        <w:t>Decyzję Prezesa UKE Nr DH</w:t>
      </w:r>
      <w:r>
        <w:t>RT-WWM-60600-111/08 (42) z dnia</w:t>
      </w:r>
      <w:r>
        <w:br/>
        <w:t>14 października 2008 r.;</w:t>
      </w:r>
      <w:r w:rsidRPr="00770D71">
        <w:t xml:space="preserve"> </w:t>
      </w:r>
    </w:p>
    <w:p w:rsidR="00203DFD" w:rsidRDefault="00203DFD" w:rsidP="003565CD">
      <w:pPr>
        <w:numPr>
          <w:ilvl w:val="5"/>
          <w:numId w:val="11"/>
        </w:numPr>
        <w:tabs>
          <w:tab w:val="clear" w:pos="1152"/>
          <w:tab w:val="num" w:pos="709"/>
        </w:tabs>
        <w:overflowPunct w:val="0"/>
        <w:autoSpaceDE w:val="0"/>
        <w:autoSpaceDN w:val="0"/>
        <w:adjustRightInd w:val="0"/>
        <w:spacing w:after="120"/>
        <w:ind w:left="709"/>
        <w:jc w:val="both"/>
        <w:textAlignment w:val="baseline"/>
      </w:pPr>
      <w:r w:rsidRPr="00770D71">
        <w:t xml:space="preserve">Porozumienie w zakresie usługi hurtowego dostępu do sieci </w:t>
      </w:r>
      <w:r>
        <w:t>OPL</w:t>
      </w:r>
      <w:r>
        <w:br/>
      </w:r>
      <w:r w:rsidRPr="00770D71">
        <w:t>o Nr POS/K-71</w:t>
      </w:r>
      <w:r>
        <w:t>95 z dnia 13 grudnia 2011 r.;</w:t>
      </w:r>
    </w:p>
    <w:p w:rsidR="00203DFD" w:rsidRDefault="00203DFD" w:rsidP="003565CD">
      <w:pPr>
        <w:pStyle w:val="NormalnyWeb"/>
        <w:numPr>
          <w:ilvl w:val="5"/>
          <w:numId w:val="11"/>
        </w:numPr>
        <w:shd w:val="clear" w:color="auto" w:fill="FFFFFF"/>
        <w:tabs>
          <w:tab w:val="clear" w:pos="1152"/>
          <w:tab w:val="num" w:pos="709"/>
        </w:tabs>
        <w:ind w:left="709"/>
        <w:jc w:val="both"/>
        <w:rPr>
          <w:color w:val="000000"/>
        </w:rPr>
      </w:pPr>
      <w:r w:rsidRPr="00770D71">
        <w:t>Decyzję Prezesa UKE Nr DHRT-WWM-60600-94</w:t>
      </w:r>
      <w:r>
        <w:t>/08 (15) z dnia 24 lipca 2008 r.</w:t>
      </w:r>
      <w:r w:rsidRPr="00770D71">
        <w:t>;</w:t>
      </w:r>
    </w:p>
    <w:p w:rsidR="00203DFD" w:rsidRDefault="00203DFD" w:rsidP="003565CD">
      <w:pPr>
        <w:numPr>
          <w:ilvl w:val="5"/>
          <w:numId w:val="11"/>
        </w:numPr>
        <w:tabs>
          <w:tab w:val="clear" w:pos="1152"/>
          <w:tab w:val="num" w:pos="709"/>
        </w:tabs>
        <w:overflowPunct w:val="0"/>
        <w:autoSpaceDE w:val="0"/>
        <w:autoSpaceDN w:val="0"/>
        <w:adjustRightInd w:val="0"/>
        <w:spacing w:after="120"/>
        <w:ind w:left="709"/>
        <w:jc w:val="both"/>
        <w:textAlignment w:val="baseline"/>
      </w:pPr>
      <w:r w:rsidRPr="00770D71">
        <w:t xml:space="preserve">Porozumienie w zakresie usługi hurtowego dostępu do sieci </w:t>
      </w:r>
      <w:r>
        <w:t>OPL</w:t>
      </w:r>
      <w:r>
        <w:br/>
      </w:r>
      <w:r w:rsidRPr="00770D71">
        <w:t>o Nr POS/K-7196 z dnia 13 grudnia 2011 roku; (Netia)</w:t>
      </w:r>
    </w:p>
    <w:p w:rsidR="00203DFD" w:rsidRDefault="00203DFD" w:rsidP="003565CD">
      <w:pPr>
        <w:numPr>
          <w:ilvl w:val="5"/>
          <w:numId w:val="11"/>
        </w:numPr>
        <w:tabs>
          <w:tab w:val="clear" w:pos="1152"/>
          <w:tab w:val="num" w:pos="709"/>
        </w:tabs>
        <w:overflowPunct w:val="0"/>
        <w:autoSpaceDE w:val="0"/>
        <w:autoSpaceDN w:val="0"/>
        <w:adjustRightInd w:val="0"/>
        <w:spacing w:after="120"/>
        <w:ind w:left="709"/>
        <w:jc w:val="both"/>
        <w:textAlignment w:val="baseline"/>
      </w:pPr>
      <w:r w:rsidRPr="00770D71">
        <w:t xml:space="preserve">Decyzję Prezesa UKE Nr DRT-WWM-60600-47/06(39) z dnia 26 stycznia 2007 </w:t>
      </w:r>
      <w:r>
        <w:t>r.</w:t>
      </w:r>
      <w:r w:rsidRPr="00770D71">
        <w:t xml:space="preserve">; </w:t>
      </w:r>
    </w:p>
    <w:p w:rsidR="00203DFD" w:rsidRDefault="00203DFD" w:rsidP="003565CD">
      <w:pPr>
        <w:numPr>
          <w:ilvl w:val="5"/>
          <w:numId w:val="11"/>
        </w:numPr>
        <w:tabs>
          <w:tab w:val="clear" w:pos="1152"/>
          <w:tab w:val="num" w:pos="709"/>
        </w:tabs>
        <w:overflowPunct w:val="0"/>
        <w:autoSpaceDE w:val="0"/>
        <w:autoSpaceDN w:val="0"/>
        <w:adjustRightInd w:val="0"/>
        <w:spacing w:after="120"/>
        <w:ind w:left="709"/>
        <w:jc w:val="both"/>
        <w:textAlignment w:val="baseline"/>
      </w:pPr>
      <w:r w:rsidRPr="00770D71">
        <w:t xml:space="preserve">Porozumienie w zakresie usługi hurtowego dostępu do sieci </w:t>
      </w:r>
      <w:r>
        <w:t>OPL</w:t>
      </w:r>
      <w:r>
        <w:br/>
      </w:r>
      <w:r w:rsidRPr="00770D71">
        <w:t>o Nr POS/K-7197 z dnia 13 grudnia 2011 r</w:t>
      </w:r>
      <w:r>
        <w:t>.;</w:t>
      </w:r>
    </w:p>
    <w:p w:rsidR="00203DFD" w:rsidRDefault="00203DFD" w:rsidP="003565CD">
      <w:pPr>
        <w:numPr>
          <w:ilvl w:val="5"/>
          <w:numId w:val="11"/>
        </w:numPr>
        <w:tabs>
          <w:tab w:val="clear" w:pos="1152"/>
          <w:tab w:val="num" w:pos="709"/>
        </w:tabs>
        <w:overflowPunct w:val="0"/>
        <w:autoSpaceDE w:val="0"/>
        <w:autoSpaceDN w:val="0"/>
        <w:adjustRightInd w:val="0"/>
        <w:spacing w:after="120"/>
        <w:ind w:left="709"/>
        <w:jc w:val="both"/>
        <w:textAlignment w:val="baseline"/>
      </w:pPr>
      <w:r w:rsidRPr="00770D71">
        <w:t xml:space="preserve">Umowę </w:t>
      </w:r>
      <w:r w:rsidRPr="00770D71">
        <w:rPr>
          <w:bCs/>
        </w:rPr>
        <w:t>dzierżawy urządzeń NT o</w:t>
      </w:r>
      <w:r w:rsidRPr="00770D71">
        <w:t xml:space="preserve"> N</w:t>
      </w:r>
      <w:r>
        <w:t>r POS/K-3431 z dnia 24 kwietnia</w:t>
      </w:r>
      <w:r>
        <w:br/>
        <w:t xml:space="preserve">2009 </w:t>
      </w:r>
      <w:r w:rsidRPr="00770D71">
        <w:t>r</w:t>
      </w:r>
      <w:r>
        <w:t>.;</w:t>
      </w:r>
    </w:p>
    <w:p w:rsidR="00203DFD" w:rsidRDefault="00203DFD" w:rsidP="003565CD">
      <w:pPr>
        <w:numPr>
          <w:ilvl w:val="5"/>
          <w:numId w:val="11"/>
        </w:numPr>
        <w:tabs>
          <w:tab w:val="clear" w:pos="1152"/>
          <w:tab w:val="num" w:pos="709"/>
        </w:tabs>
        <w:overflowPunct w:val="0"/>
        <w:autoSpaceDE w:val="0"/>
        <w:autoSpaceDN w:val="0"/>
        <w:adjustRightInd w:val="0"/>
        <w:spacing w:after="120"/>
        <w:ind w:left="709"/>
        <w:jc w:val="both"/>
        <w:textAlignment w:val="baseline"/>
      </w:pPr>
      <w:r w:rsidRPr="00770D71">
        <w:t xml:space="preserve">Umowę dzierżawy urządzeń NT </w:t>
      </w:r>
      <w:r w:rsidRPr="00770D71">
        <w:rPr>
          <w:bCs/>
        </w:rPr>
        <w:t>o</w:t>
      </w:r>
      <w:r w:rsidRPr="00770D71">
        <w:t xml:space="preserve"> Nr </w:t>
      </w:r>
      <w:r w:rsidRPr="00770D71">
        <w:rPr>
          <w:color w:val="000000"/>
        </w:rPr>
        <w:t>POS/K-1817</w:t>
      </w:r>
      <w:r w:rsidRPr="00770D71">
        <w:t xml:space="preserve"> z dnia 15 maja 2008 r</w:t>
      </w:r>
      <w:r>
        <w:t>.</w:t>
      </w:r>
      <w:r w:rsidRPr="00770D71">
        <w:t>;</w:t>
      </w:r>
    </w:p>
    <w:p w:rsidR="00203DFD" w:rsidRDefault="00203DFD" w:rsidP="003565CD">
      <w:pPr>
        <w:numPr>
          <w:ilvl w:val="5"/>
          <w:numId w:val="11"/>
        </w:numPr>
        <w:tabs>
          <w:tab w:val="clear" w:pos="1152"/>
          <w:tab w:val="num" w:pos="709"/>
        </w:tabs>
        <w:overflowPunct w:val="0"/>
        <w:autoSpaceDE w:val="0"/>
        <w:autoSpaceDN w:val="0"/>
        <w:adjustRightInd w:val="0"/>
        <w:spacing w:after="120"/>
        <w:ind w:left="709"/>
        <w:jc w:val="both"/>
        <w:textAlignment w:val="baseline"/>
      </w:pPr>
      <w:r w:rsidRPr="00770D71">
        <w:lastRenderedPageBreak/>
        <w:t xml:space="preserve">Porozumienie </w:t>
      </w:r>
      <w:r w:rsidRPr="00770D71">
        <w:rPr>
          <w:bCs/>
        </w:rPr>
        <w:t xml:space="preserve">dotyczące współpracy przy realizacji usługi hurtowego dostępu do sieci </w:t>
      </w:r>
      <w:r>
        <w:rPr>
          <w:bCs/>
        </w:rPr>
        <w:t>OPL</w:t>
      </w:r>
      <w:r w:rsidRPr="00770D71">
        <w:t xml:space="preserve"> o Nr POS/K-5999 z dnia 10 czerwca 2010 r</w:t>
      </w:r>
      <w:r>
        <w:t>.</w:t>
      </w:r>
      <w:r w:rsidRPr="00770D71">
        <w:t>;</w:t>
      </w:r>
    </w:p>
    <w:p w:rsidR="00203DFD" w:rsidRDefault="00203DFD" w:rsidP="003565CD">
      <w:pPr>
        <w:numPr>
          <w:ilvl w:val="5"/>
          <w:numId w:val="11"/>
        </w:numPr>
        <w:tabs>
          <w:tab w:val="clear" w:pos="1152"/>
          <w:tab w:val="num" w:pos="709"/>
        </w:tabs>
        <w:overflowPunct w:val="0"/>
        <w:autoSpaceDE w:val="0"/>
        <w:autoSpaceDN w:val="0"/>
        <w:adjustRightInd w:val="0"/>
        <w:spacing w:after="120"/>
        <w:ind w:left="709"/>
        <w:jc w:val="both"/>
        <w:textAlignment w:val="baseline"/>
      </w:pPr>
      <w:r w:rsidRPr="00770D71">
        <w:rPr>
          <w:bCs/>
        </w:rPr>
        <w:t>Porozumienie w zakresie realizacji prze</w:t>
      </w:r>
      <w:r>
        <w:rPr>
          <w:bCs/>
        </w:rPr>
        <w:t>kierowań połączeń dla uszkodzeń</w:t>
      </w:r>
      <w:r>
        <w:rPr>
          <w:bCs/>
        </w:rPr>
        <w:br/>
      </w:r>
      <w:r w:rsidRPr="00770D71">
        <w:rPr>
          <w:bCs/>
        </w:rPr>
        <w:t xml:space="preserve">w ramach Usługi WLR </w:t>
      </w:r>
      <w:r w:rsidRPr="00770D71">
        <w:t>o Nr POS/K-9619 z dnia 10 lutego 2012 r</w:t>
      </w:r>
      <w:r>
        <w:t>.;</w:t>
      </w:r>
    </w:p>
    <w:p w:rsidR="00203DFD" w:rsidRDefault="00203DFD" w:rsidP="003565CD">
      <w:pPr>
        <w:numPr>
          <w:ilvl w:val="5"/>
          <w:numId w:val="11"/>
        </w:numPr>
        <w:tabs>
          <w:tab w:val="clear" w:pos="1152"/>
          <w:tab w:val="num" w:pos="709"/>
        </w:tabs>
        <w:overflowPunct w:val="0"/>
        <w:autoSpaceDE w:val="0"/>
        <w:autoSpaceDN w:val="0"/>
        <w:adjustRightInd w:val="0"/>
        <w:spacing w:after="120"/>
        <w:ind w:left="709"/>
        <w:jc w:val="both"/>
        <w:textAlignment w:val="baseline"/>
      </w:pPr>
      <w:r w:rsidRPr="00770D71">
        <w:t>Porozumienie w sprawie uregulowania zasad współpracy międzyoperatorskiej wynikającej z obowiązku realizacji uprawnień Abonentów do zachowania nume</w:t>
      </w:r>
      <w:r>
        <w:t>ru w przypadku zmiany operatora</w:t>
      </w:r>
      <w:r>
        <w:br/>
      </w:r>
      <w:r w:rsidRPr="00770D71">
        <w:t xml:space="preserve">o Nr POS/K-1757 z dnia 31 października 2007 </w:t>
      </w:r>
      <w:r>
        <w:t>r.;</w:t>
      </w:r>
    </w:p>
    <w:p w:rsidR="00203DFD" w:rsidRDefault="00203DFD" w:rsidP="003565CD">
      <w:pPr>
        <w:numPr>
          <w:ilvl w:val="5"/>
          <w:numId w:val="11"/>
        </w:numPr>
        <w:tabs>
          <w:tab w:val="clear" w:pos="1152"/>
          <w:tab w:val="num" w:pos="709"/>
        </w:tabs>
        <w:overflowPunct w:val="0"/>
        <w:autoSpaceDE w:val="0"/>
        <w:autoSpaceDN w:val="0"/>
        <w:adjustRightInd w:val="0"/>
        <w:spacing w:after="120"/>
        <w:ind w:left="709"/>
        <w:jc w:val="both"/>
        <w:textAlignment w:val="baseline"/>
      </w:pPr>
      <w:r w:rsidRPr="00770D71">
        <w:t xml:space="preserve">Porozumienie </w:t>
      </w:r>
      <w:r w:rsidRPr="00770D71">
        <w:rPr>
          <w:bCs/>
        </w:rPr>
        <w:t xml:space="preserve">w zakresie wprowadzenia Modelu Wymiany Danych </w:t>
      </w:r>
      <w:r w:rsidR="00B72B64">
        <w:rPr>
          <w:bCs/>
        </w:rPr>
        <w:br/>
      </w:r>
      <w:r w:rsidRPr="00770D71">
        <w:rPr>
          <w:bCs/>
        </w:rPr>
        <w:t>dla migracji usług hurtowych w ramach dostępu telekomunikacyjnego</w:t>
      </w:r>
      <w:r>
        <w:br/>
      </w:r>
      <w:r w:rsidRPr="00770D71">
        <w:t xml:space="preserve">o Nr POS/K-3590 z dnia 20 maja 2009 </w:t>
      </w:r>
      <w:r>
        <w:t>r.;</w:t>
      </w:r>
    </w:p>
    <w:p w:rsidR="00203DFD" w:rsidRDefault="00203DFD" w:rsidP="003565CD">
      <w:pPr>
        <w:numPr>
          <w:ilvl w:val="5"/>
          <w:numId w:val="11"/>
        </w:numPr>
        <w:tabs>
          <w:tab w:val="clear" w:pos="1152"/>
          <w:tab w:val="num" w:pos="709"/>
        </w:tabs>
        <w:overflowPunct w:val="0"/>
        <w:autoSpaceDE w:val="0"/>
        <w:autoSpaceDN w:val="0"/>
        <w:adjustRightInd w:val="0"/>
        <w:spacing w:after="120"/>
        <w:ind w:left="709"/>
        <w:jc w:val="both"/>
        <w:textAlignment w:val="baseline"/>
      </w:pPr>
      <w:r w:rsidRPr="00770D71">
        <w:t>Porozumienie w zakresie wprowadzenia</w:t>
      </w:r>
      <w:r>
        <w:t xml:space="preserve"> Modelu Realizacji Procesów </w:t>
      </w:r>
      <w:r w:rsidR="00B72B64">
        <w:br/>
      </w:r>
      <w:r>
        <w:t xml:space="preserve">dla </w:t>
      </w:r>
      <w:r w:rsidRPr="00770D71">
        <w:t xml:space="preserve">cesji o Nr POS/K-6290 z dnia 20 lipca 2010 </w:t>
      </w:r>
      <w:r>
        <w:t>r.;</w:t>
      </w:r>
    </w:p>
    <w:p w:rsidR="00203DFD" w:rsidRDefault="00203DFD" w:rsidP="003565CD">
      <w:pPr>
        <w:numPr>
          <w:ilvl w:val="5"/>
          <w:numId w:val="11"/>
        </w:numPr>
        <w:tabs>
          <w:tab w:val="clear" w:pos="1152"/>
          <w:tab w:val="num" w:pos="709"/>
        </w:tabs>
        <w:overflowPunct w:val="0"/>
        <w:autoSpaceDE w:val="0"/>
        <w:autoSpaceDN w:val="0"/>
        <w:adjustRightInd w:val="0"/>
        <w:spacing w:after="120"/>
        <w:ind w:left="709"/>
        <w:jc w:val="both"/>
        <w:textAlignment w:val="baseline"/>
      </w:pPr>
      <w:r w:rsidRPr="00770D71">
        <w:t xml:space="preserve">Umowę o połączeniu sieci Nr POS/K-3557 z dnia 6 maja 2009 </w:t>
      </w:r>
      <w:r>
        <w:t>r.;</w:t>
      </w:r>
    </w:p>
    <w:p w:rsidR="00203DFD" w:rsidRDefault="00203DFD" w:rsidP="003565CD">
      <w:pPr>
        <w:numPr>
          <w:ilvl w:val="5"/>
          <w:numId w:val="11"/>
        </w:numPr>
        <w:tabs>
          <w:tab w:val="clear" w:pos="1152"/>
          <w:tab w:val="num" w:pos="709"/>
        </w:tabs>
        <w:overflowPunct w:val="0"/>
        <w:autoSpaceDE w:val="0"/>
        <w:autoSpaceDN w:val="0"/>
        <w:adjustRightInd w:val="0"/>
        <w:spacing w:after="120"/>
        <w:ind w:left="709"/>
        <w:jc w:val="both"/>
        <w:textAlignment w:val="baseline"/>
      </w:pPr>
      <w:r w:rsidRPr="00770D71">
        <w:rPr>
          <w:color w:val="000000"/>
        </w:rPr>
        <w:t xml:space="preserve">Umowę hurtowego dostępu do sieci </w:t>
      </w:r>
      <w:r>
        <w:rPr>
          <w:color w:val="000000"/>
        </w:rPr>
        <w:t>OPL</w:t>
      </w:r>
      <w:r w:rsidRPr="00770D71">
        <w:rPr>
          <w:color w:val="000000"/>
        </w:rPr>
        <w:t xml:space="preserve"> </w:t>
      </w:r>
      <w:r>
        <w:rPr>
          <w:color w:val="000000"/>
        </w:rPr>
        <w:t>Nr POS/K-3446 z dnia 6 maja</w:t>
      </w:r>
      <w:r>
        <w:rPr>
          <w:color w:val="000000"/>
        </w:rPr>
        <w:br/>
      </w:r>
      <w:r w:rsidRPr="00770D71">
        <w:rPr>
          <w:color w:val="000000"/>
        </w:rPr>
        <w:t xml:space="preserve">2009 </w:t>
      </w:r>
      <w:r>
        <w:rPr>
          <w:color w:val="000000"/>
        </w:rPr>
        <w:t>r.;</w:t>
      </w:r>
    </w:p>
    <w:p w:rsidR="00203DFD" w:rsidRDefault="00203DFD" w:rsidP="003565CD">
      <w:pPr>
        <w:numPr>
          <w:ilvl w:val="5"/>
          <w:numId w:val="11"/>
        </w:numPr>
        <w:tabs>
          <w:tab w:val="clear" w:pos="1152"/>
          <w:tab w:val="num" w:pos="709"/>
        </w:tabs>
        <w:overflowPunct w:val="0"/>
        <w:autoSpaceDE w:val="0"/>
        <w:autoSpaceDN w:val="0"/>
        <w:adjustRightInd w:val="0"/>
        <w:spacing w:after="120"/>
        <w:ind w:left="709"/>
        <w:jc w:val="both"/>
        <w:textAlignment w:val="baseline"/>
      </w:pPr>
      <w:r w:rsidRPr="00770D71">
        <w:t>Umowę dzierżawy urządzeń NT N</w:t>
      </w:r>
      <w:r>
        <w:t>r POS/K-4564 z dnia 9 listopada</w:t>
      </w:r>
      <w:r>
        <w:br/>
        <w:t>2008 r.;</w:t>
      </w:r>
    </w:p>
    <w:p w:rsidR="00203DFD" w:rsidRDefault="00203DFD" w:rsidP="003565CD">
      <w:pPr>
        <w:numPr>
          <w:ilvl w:val="5"/>
          <w:numId w:val="11"/>
        </w:numPr>
        <w:tabs>
          <w:tab w:val="clear" w:pos="1152"/>
          <w:tab w:val="num" w:pos="709"/>
        </w:tabs>
        <w:overflowPunct w:val="0"/>
        <w:autoSpaceDE w:val="0"/>
        <w:autoSpaceDN w:val="0"/>
        <w:adjustRightInd w:val="0"/>
        <w:spacing w:after="120"/>
        <w:ind w:left="709"/>
        <w:jc w:val="both"/>
        <w:textAlignment w:val="baseline"/>
      </w:pPr>
      <w:r w:rsidRPr="00770D71">
        <w:t>Porozumienie określające wysokość opłaty z tytułu u</w:t>
      </w:r>
      <w:r>
        <w:t xml:space="preserve">dostępnienia przez OPL na rzecz </w:t>
      </w:r>
      <w:r w:rsidRPr="00770D71">
        <w:t>Crowley Data Poland (na potrzeby realizacji Usługi WLR w zakresie dostępu ISDN) bezpośrednich numerów wewnętrznych (DDI) Nr POS/K-4333 z dnia 15 września 2009 r</w:t>
      </w:r>
      <w:r>
        <w:t>.;</w:t>
      </w:r>
    </w:p>
    <w:p w:rsidR="00203DFD" w:rsidRDefault="00203DFD" w:rsidP="003565CD">
      <w:pPr>
        <w:numPr>
          <w:ilvl w:val="5"/>
          <w:numId w:val="11"/>
        </w:numPr>
        <w:tabs>
          <w:tab w:val="clear" w:pos="1152"/>
          <w:tab w:val="num" w:pos="709"/>
        </w:tabs>
        <w:overflowPunct w:val="0"/>
        <w:autoSpaceDE w:val="0"/>
        <w:autoSpaceDN w:val="0"/>
        <w:adjustRightInd w:val="0"/>
        <w:spacing w:after="120"/>
        <w:ind w:left="709"/>
        <w:jc w:val="both"/>
        <w:textAlignment w:val="baseline"/>
      </w:pPr>
      <w:r w:rsidRPr="00770D71">
        <w:t>Porozumienie wprowadzające Model Realizacji Procesów dla realizacji cesji abonenckiej, Nr POS/K-8689 z dnia 14 września 2011 r</w:t>
      </w:r>
      <w:r>
        <w:t>.</w:t>
      </w:r>
      <w:r w:rsidRPr="00770D71">
        <w:rPr>
          <w:color w:val="000000"/>
        </w:rPr>
        <w:t xml:space="preserve"> </w:t>
      </w:r>
    </w:p>
    <w:p w:rsidR="00203DFD" w:rsidRPr="00781455" w:rsidRDefault="00203DFD" w:rsidP="007F2AFA">
      <w:pPr>
        <w:pStyle w:val="Tekstpodstawowy"/>
        <w:spacing w:after="120" w:line="240" w:lineRule="auto"/>
        <w:rPr>
          <w:rFonts w:ascii="Times New Roman" w:hAnsi="Times New Roman" w:cs="Times New Roman"/>
          <w:bCs/>
          <w:sz w:val="24"/>
        </w:rPr>
      </w:pPr>
      <w:r>
        <w:rPr>
          <w:rFonts w:ascii="Times New Roman" w:hAnsi="Times New Roman" w:cs="Times New Roman"/>
          <w:bCs/>
          <w:sz w:val="24"/>
        </w:rPr>
        <w:t>We Wniosku OPL wyjaśniła, że z chwilą wejścia w życie nowych warunków współpracy uregulowanych decyzją, o wydanie której OPL zwróciła się</w:t>
      </w:r>
      <w:r>
        <w:rPr>
          <w:rFonts w:ascii="Times New Roman" w:hAnsi="Times New Roman" w:cs="Times New Roman"/>
          <w:bCs/>
          <w:sz w:val="24"/>
        </w:rPr>
        <w:br/>
        <w:t>we Wniosku, postanowienia tej decyzji powinny znaleźć zastosowanie</w:t>
      </w:r>
      <w:r>
        <w:rPr>
          <w:rFonts w:ascii="Times New Roman" w:hAnsi="Times New Roman" w:cs="Times New Roman"/>
          <w:bCs/>
          <w:sz w:val="24"/>
        </w:rPr>
        <w:br/>
        <w:t xml:space="preserve">do szczegółowych umów kolokacji zawartych pomiędzy OPL a Netią, które do tej pory podlegały ramowym warunkom współpracy określonym </w:t>
      </w:r>
      <w:r w:rsidRPr="00CF1C61">
        <w:rPr>
          <w:rFonts w:ascii="Times New Roman" w:hAnsi="Times New Roman" w:cs="Times New Roman"/>
          <w:bCs/>
          <w:sz w:val="24"/>
        </w:rPr>
        <w:t xml:space="preserve">w </w:t>
      </w:r>
      <w:r w:rsidRPr="00CF1C61">
        <w:rPr>
          <w:rFonts w:ascii="Times New Roman" w:hAnsi="Times New Roman"/>
          <w:sz w:val="24"/>
        </w:rPr>
        <w:t>Ramowej</w:t>
      </w:r>
      <w:r w:rsidRPr="00CF1C61">
        <w:rPr>
          <w:rFonts w:ascii="Times New Roman" w:hAnsi="Times New Roman"/>
          <w:noProof/>
          <w:sz w:val="24"/>
        </w:rPr>
        <w:t xml:space="preserve"> Umowie Kolokacji</w:t>
      </w:r>
      <w:r w:rsidRPr="00CF1C61">
        <w:rPr>
          <w:rFonts w:ascii="Times New Roman" w:hAnsi="Times New Roman"/>
          <w:sz w:val="24"/>
        </w:rPr>
        <w:t xml:space="preserve"> o Nr POS/K-1438/07 z dnia 29 maja 2007 r.</w:t>
      </w:r>
      <w:r>
        <w:rPr>
          <w:rFonts w:ascii="Times New Roman" w:hAnsi="Times New Roman"/>
          <w:sz w:val="24"/>
        </w:rPr>
        <w:t xml:space="preserve"> </w:t>
      </w:r>
      <w:r>
        <w:rPr>
          <w:rFonts w:ascii="Times New Roman" w:hAnsi="Times New Roman" w:cs="Times New Roman"/>
          <w:bCs/>
          <w:sz w:val="24"/>
        </w:rPr>
        <w:t>OPL wniosła jednocześnie</w:t>
      </w:r>
      <w:r>
        <w:rPr>
          <w:rFonts w:ascii="Times New Roman" w:hAnsi="Times New Roman" w:cs="Times New Roman"/>
          <w:bCs/>
          <w:sz w:val="24"/>
        </w:rPr>
        <w:br/>
        <w:t>o ustalenie wzajemnych, analogicznych i symetrycznych jak dla usług OPL warunków współpracy w zakresie usług świadczonych przez Netię na rzecz OPL.</w:t>
      </w:r>
      <w:r>
        <w:rPr>
          <w:rFonts w:ascii="Times New Roman" w:hAnsi="Times New Roman" w:cs="Times New Roman"/>
          <w:bCs/>
          <w:sz w:val="24"/>
        </w:rPr>
        <w:br/>
        <w:t>Do Wniosku OPL załączyła katalog rozbieżności pomiędzy stronami oraz wskazała dodatkowe zapisy dotyczące wdrożenia nowych warunków współpracy, świadczenia usługi tranzytu oraz świadczenia przez Netię na rzecz OPL usługi kolokacji, które zdaniem OPL powinny znaleźć się w niniejszej decyzji. OPL</w:t>
      </w:r>
      <w:r w:rsidRPr="00781455">
        <w:rPr>
          <w:rFonts w:ascii="Times New Roman" w:hAnsi="Times New Roman" w:cs="Times New Roman"/>
          <w:bCs/>
          <w:sz w:val="24"/>
        </w:rPr>
        <w:t xml:space="preserve"> </w:t>
      </w:r>
      <w:r>
        <w:rPr>
          <w:rFonts w:ascii="Times New Roman" w:hAnsi="Times New Roman" w:cs="Times New Roman"/>
          <w:bCs/>
          <w:sz w:val="24"/>
        </w:rPr>
        <w:t xml:space="preserve">we Wniosku </w:t>
      </w:r>
      <w:r w:rsidRPr="00781455">
        <w:rPr>
          <w:rFonts w:ascii="Times New Roman" w:hAnsi="Times New Roman" w:cs="Times New Roman"/>
          <w:bCs/>
          <w:sz w:val="24"/>
        </w:rPr>
        <w:t>wskazała, iż jej propozycja jest zgodna ze stanowiskiem Prezesa UKE</w:t>
      </w:r>
      <w:r>
        <w:rPr>
          <w:rFonts w:ascii="Times New Roman" w:hAnsi="Times New Roman" w:cs="Times New Roman"/>
          <w:bCs/>
          <w:sz w:val="24"/>
        </w:rPr>
        <w:t xml:space="preserve"> z dnia 13 czerwca</w:t>
      </w:r>
      <w:r>
        <w:rPr>
          <w:rFonts w:ascii="Times New Roman" w:hAnsi="Times New Roman" w:cs="Times New Roman"/>
          <w:bCs/>
          <w:sz w:val="24"/>
        </w:rPr>
        <w:br/>
        <w:t>2011 r. dotyczącym implementacji Oferty SOR</w:t>
      </w:r>
      <w:r w:rsidRPr="00C40272">
        <w:rPr>
          <w:rStyle w:val="Odwoanieprzypisudolnego"/>
          <w:rFonts w:ascii="Times New Roman" w:hAnsi="Times New Roman"/>
          <w:bCs/>
          <w:sz w:val="20"/>
          <w:szCs w:val="20"/>
        </w:rPr>
        <w:footnoteReference w:id="3"/>
      </w:r>
      <w:r w:rsidRPr="00781455">
        <w:rPr>
          <w:rFonts w:ascii="Times New Roman" w:hAnsi="Times New Roman" w:cs="Times New Roman"/>
          <w:bCs/>
          <w:sz w:val="24"/>
        </w:rPr>
        <w:t xml:space="preserve"> </w:t>
      </w:r>
      <w:r>
        <w:rPr>
          <w:rFonts w:ascii="Times New Roman" w:hAnsi="Times New Roman" w:cs="Times New Roman"/>
          <w:bCs/>
          <w:sz w:val="24"/>
        </w:rPr>
        <w:t xml:space="preserve">(zwanym dalej „Stanowiskiem Prezesa UKE z dnia 13 czerwca 2011 r.”). </w:t>
      </w:r>
    </w:p>
    <w:p w:rsidR="00203DFD" w:rsidRPr="00E53BE2" w:rsidRDefault="00203DFD" w:rsidP="00B8512A">
      <w:pPr>
        <w:overflowPunct w:val="0"/>
        <w:autoSpaceDE w:val="0"/>
        <w:autoSpaceDN w:val="0"/>
        <w:adjustRightInd w:val="0"/>
        <w:spacing w:after="120"/>
        <w:jc w:val="both"/>
        <w:textAlignment w:val="baseline"/>
      </w:pPr>
      <w:r w:rsidRPr="00E53BE2">
        <w:t xml:space="preserve">Prezes UKE pismem z dnia </w:t>
      </w:r>
      <w:r>
        <w:t xml:space="preserve">10 grudnia </w:t>
      </w:r>
      <w:r w:rsidRPr="00E53BE2">
        <w:t>2012 r.</w:t>
      </w:r>
      <w:r>
        <w:t>,</w:t>
      </w:r>
      <w:r w:rsidRPr="00E53BE2">
        <w:t xml:space="preserve"> </w:t>
      </w:r>
      <w:r>
        <w:t xml:space="preserve">na podstawie art. 64 § 2 kpa, </w:t>
      </w:r>
      <w:r w:rsidRPr="00E53BE2">
        <w:t xml:space="preserve">wezwał </w:t>
      </w:r>
      <w:r>
        <w:t>OPL</w:t>
      </w:r>
      <w:r w:rsidRPr="00E53BE2">
        <w:t xml:space="preserve"> </w:t>
      </w:r>
      <w:r>
        <w:t xml:space="preserve">(data doręczenia OPL </w:t>
      </w:r>
      <w:r w:rsidR="0010667B">
        <w:t>dnia</w:t>
      </w:r>
      <w:r>
        <w:t xml:space="preserve"> 19 grudnia 2012 r.) </w:t>
      </w:r>
      <w:r w:rsidRPr="00E53BE2">
        <w:t>do uzupełnienia braków formalnych Wnio</w:t>
      </w:r>
      <w:r>
        <w:t>sku, poprzez przekazanie tekstu</w:t>
      </w:r>
      <w:r w:rsidRPr="00E53BE2">
        <w:t xml:space="preserve"> jednolit</w:t>
      </w:r>
      <w:r>
        <w:t>ego Umowy</w:t>
      </w:r>
      <w:r w:rsidRPr="00770D71">
        <w:t xml:space="preserve"> o Połączeniu Sieci z dnia 15 lipca 2005 </w:t>
      </w:r>
      <w:r>
        <w:t>r. zawierającego</w:t>
      </w:r>
      <w:r w:rsidRPr="00E53BE2">
        <w:t xml:space="preserve"> wszel</w:t>
      </w:r>
      <w:r>
        <w:t>kie dokonane zmiany, w terminie</w:t>
      </w:r>
      <w:r>
        <w:br/>
      </w:r>
      <w:r w:rsidRPr="00E53BE2">
        <w:t xml:space="preserve">7 dni od dnia otrzymania </w:t>
      </w:r>
      <w:r>
        <w:t>przedmiotowego</w:t>
      </w:r>
      <w:r w:rsidRPr="00E53BE2">
        <w:t xml:space="preserve"> wezwania.</w:t>
      </w:r>
    </w:p>
    <w:p w:rsidR="00203DFD" w:rsidRDefault="00203DFD" w:rsidP="00B8512A">
      <w:pPr>
        <w:spacing w:after="120"/>
        <w:jc w:val="both"/>
      </w:pPr>
      <w:r>
        <w:lastRenderedPageBreak/>
        <w:t>Pismem z dnia 20</w:t>
      </w:r>
      <w:r w:rsidRPr="00E53BE2">
        <w:t xml:space="preserve"> grudnia 2012 r. (data wpływu do Urzędu Komuni</w:t>
      </w:r>
      <w:r>
        <w:t>kacji Elektronicznej dnia 20</w:t>
      </w:r>
      <w:r w:rsidRPr="00E53BE2">
        <w:t xml:space="preserve"> grudnia 2012 r.) </w:t>
      </w:r>
      <w:r>
        <w:t>OPL</w:t>
      </w:r>
      <w:r w:rsidRPr="00E53BE2">
        <w:t xml:space="preserve"> uzupełniła braki formalne Wniosku zgodnie z wezwaniem Prezesa UKE z dnia </w:t>
      </w:r>
      <w:r>
        <w:t>10 grudnia</w:t>
      </w:r>
      <w:r w:rsidRPr="00E53BE2">
        <w:t xml:space="preserve"> 2012 r.</w:t>
      </w:r>
      <w:r>
        <w:t xml:space="preserve"> </w:t>
      </w:r>
    </w:p>
    <w:p w:rsidR="00203DFD" w:rsidRDefault="00203DFD" w:rsidP="007F2AFA">
      <w:pPr>
        <w:pStyle w:val="Tekstpodstawowy"/>
        <w:spacing w:after="120" w:line="240" w:lineRule="auto"/>
        <w:rPr>
          <w:rFonts w:ascii="Times New Roman" w:hAnsi="Times New Roman" w:cs="Times New Roman"/>
          <w:sz w:val="24"/>
        </w:rPr>
      </w:pPr>
      <w:r w:rsidRPr="00290462">
        <w:rPr>
          <w:rFonts w:ascii="Times New Roman" w:hAnsi="Times New Roman" w:cs="Times New Roman"/>
          <w:sz w:val="24"/>
        </w:rPr>
        <w:t>Prezes UKE, wypełniając dyspozycję art. 61 § 4 kpa</w:t>
      </w:r>
      <w:r>
        <w:rPr>
          <w:rFonts w:ascii="Times New Roman" w:hAnsi="Times New Roman" w:cs="Times New Roman"/>
          <w:sz w:val="24"/>
        </w:rPr>
        <w:t>, pi</w:t>
      </w:r>
      <w:r w:rsidRPr="00290462">
        <w:rPr>
          <w:rFonts w:ascii="Times New Roman" w:hAnsi="Times New Roman" w:cs="Times New Roman"/>
          <w:sz w:val="24"/>
        </w:rPr>
        <w:t xml:space="preserve">smem z dnia </w:t>
      </w:r>
      <w:r>
        <w:rPr>
          <w:rFonts w:ascii="Times New Roman" w:hAnsi="Times New Roman" w:cs="Times New Roman"/>
          <w:sz w:val="24"/>
        </w:rPr>
        <w:t>28 grudnia</w:t>
      </w:r>
      <w:r w:rsidRPr="00290462">
        <w:rPr>
          <w:rFonts w:ascii="Times New Roman" w:hAnsi="Times New Roman" w:cs="Times New Roman"/>
          <w:sz w:val="24"/>
        </w:rPr>
        <w:t xml:space="preserve"> </w:t>
      </w:r>
      <w:r>
        <w:rPr>
          <w:rFonts w:ascii="Times New Roman" w:hAnsi="Times New Roman" w:cs="Times New Roman"/>
          <w:sz w:val="24"/>
        </w:rPr>
        <w:br/>
        <w:t>2012 r. zawiadomił s</w:t>
      </w:r>
      <w:r w:rsidRPr="00290462">
        <w:rPr>
          <w:rFonts w:ascii="Times New Roman" w:hAnsi="Times New Roman" w:cs="Times New Roman"/>
          <w:sz w:val="24"/>
        </w:rPr>
        <w:t xml:space="preserve">trony o wszczęciu w dniu </w:t>
      </w:r>
      <w:r>
        <w:rPr>
          <w:rFonts w:ascii="Times New Roman" w:hAnsi="Times New Roman" w:cs="Times New Roman"/>
          <w:sz w:val="24"/>
        </w:rPr>
        <w:t>6 grudnia 2012</w:t>
      </w:r>
      <w:r w:rsidRPr="00290462">
        <w:rPr>
          <w:rFonts w:ascii="Times New Roman" w:hAnsi="Times New Roman" w:cs="Times New Roman"/>
          <w:sz w:val="24"/>
        </w:rPr>
        <w:t xml:space="preserve"> r. postępowania administracyjnego </w:t>
      </w:r>
      <w:r>
        <w:rPr>
          <w:rFonts w:ascii="Times New Roman" w:hAnsi="Times New Roman" w:cs="Times New Roman"/>
          <w:bCs/>
          <w:sz w:val="24"/>
        </w:rPr>
        <w:t>o wydanie decyzji w zakresie dostępu telekomunikacyjnego</w:t>
      </w:r>
      <w:r>
        <w:rPr>
          <w:rFonts w:ascii="Times New Roman" w:hAnsi="Times New Roman" w:cs="Times New Roman"/>
          <w:bCs/>
          <w:sz w:val="24"/>
        </w:rPr>
        <w:br/>
        <w:t>w oparciu o Ofertę SOR zastępującej dotychczasowe umowy, porozumienia</w:t>
      </w:r>
      <w:r>
        <w:rPr>
          <w:rFonts w:ascii="Times New Roman" w:hAnsi="Times New Roman" w:cs="Times New Roman"/>
          <w:bCs/>
          <w:sz w:val="24"/>
        </w:rPr>
        <w:br/>
        <w:t>i decyzje regulujące wsp</w:t>
      </w:r>
      <w:r w:rsidR="0010667B">
        <w:rPr>
          <w:rFonts w:ascii="Times New Roman" w:hAnsi="Times New Roman" w:cs="Times New Roman"/>
          <w:bCs/>
          <w:sz w:val="24"/>
        </w:rPr>
        <w:t>ółpracę</w:t>
      </w:r>
      <w:r>
        <w:rPr>
          <w:rFonts w:ascii="Times New Roman" w:hAnsi="Times New Roman" w:cs="Times New Roman"/>
          <w:bCs/>
          <w:sz w:val="24"/>
        </w:rPr>
        <w:t xml:space="preserve"> między OPL a Netią wskazane we Wniosku </w:t>
      </w:r>
      <w:r>
        <w:rPr>
          <w:rFonts w:ascii="Times New Roman" w:hAnsi="Times New Roman" w:cs="Times New Roman"/>
          <w:sz w:val="24"/>
        </w:rPr>
        <w:t xml:space="preserve">oraz zwrócił się do Netii </w:t>
      </w:r>
      <w:r w:rsidRPr="00290462">
        <w:rPr>
          <w:rFonts w:ascii="Times New Roman" w:hAnsi="Times New Roman" w:cs="Times New Roman"/>
          <w:sz w:val="24"/>
        </w:rPr>
        <w:t xml:space="preserve">na podstawie art. 27 ust. 4 Pt </w:t>
      </w:r>
      <w:r>
        <w:rPr>
          <w:rFonts w:ascii="Times New Roman" w:hAnsi="Times New Roman" w:cs="Times New Roman"/>
          <w:sz w:val="24"/>
        </w:rPr>
        <w:t xml:space="preserve">o przedstawienie stanowiska </w:t>
      </w:r>
      <w:r>
        <w:rPr>
          <w:rFonts w:ascii="Times New Roman" w:hAnsi="Times New Roman" w:cs="Times New Roman"/>
          <w:sz w:val="24"/>
        </w:rPr>
        <w:br/>
        <w:t xml:space="preserve">w w/w sprawie w terminie 14 dni </w:t>
      </w:r>
      <w:r w:rsidRPr="00290462">
        <w:rPr>
          <w:rFonts w:ascii="Times New Roman" w:hAnsi="Times New Roman" w:cs="Times New Roman"/>
          <w:sz w:val="24"/>
        </w:rPr>
        <w:t>od dnia otrzymania zawiadomienia o wszczęciu postępowania.</w:t>
      </w:r>
    </w:p>
    <w:p w:rsidR="00203DFD" w:rsidRDefault="00203DFD" w:rsidP="007F2AFA">
      <w:pPr>
        <w:spacing w:after="120"/>
        <w:jc w:val="both"/>
      </w:pPr>
      <w:r>
        <w:t>Prezes UKE pismem z dnia 8 stycznia 2013 r., na podstawie art. 50 kpa, wezwał strony do złożenia wyjaśnień w przedmiotowej sprawie, poprzez przedstawienie stanowisk zawierających:</w:t>
      </w:r>
    </w:p>
    <w:p w:rsidR="00203DFD" w:rsidRDefault="00203DFD" w:rsidP="003565CD">
      <w:pPr>
        <w:pStyle w:val="Akapitzlist"/>
        <w:numPr>
          <w:ilvl w:val="0"/>
          <w:numId w:val="7"/>
        </w:numPr>
        <w:spacing w:after="120" w:line="240" w:lineRule="auto"/>
        <w:jc w:val="both"/>
        <w:rPr>
          <w:rFonts w:ascii="Times New Roman" w:hAnsi="Times New Roman"/>
          <w:sz w:val="24"/>
        </w:rPr>
      </w:pPr>
      <w:r w:rsidRPr="008D24A2">
        <w:rPr>
          <w:rFonts w:ascii="Times New Roman" w:hAnsi="Times New Roman"/>
          <w:sz w:val="24"/>
        </w:rPr>
        <w:t xml:space="preserve">odniesienie się do kwestii stosowania zasad zabezpieczeń określonych </w:t>
      </w:r>
      <w:r>
        <w:rPr>
          <w:rFonts w:ascii="Times New Roman" w:hAnsi="Times New Roman"/>
          <w:sz w:val="24"/>
        </w:rPr>
        <w:br/>
      </w:r>
      <w:r w:rsidRPr="008D24A2">
        <w:rPr>
          <w:rFonts w:ascii="Times New Roman" w:hAnsi="Times New Roman"/>
          <w:sz w:val="24"/>
        </w:rPr>
        <w:t xml:space="preserve">w pkt 1.10 projektu umowy załączonego do Wniosku, w szczególności </w:t>
      </w:r>
      <w:r>
        <w:rPr>
          <w:rFonts w:ascii="Times New Roman" w:hAnsi="Times New Roman"/>
          <w:sz w:val="24"/>
        </w:rPr>
        <w:br/>
      </w:r>
      <w:r w:rsidRPr="008D24A2">
        <w:rPr>
          <w:rFonts w:ascii="Times New Roman" w:hAnsi="Times New Roman"/>
          <w:sz w:val="24"/>
        </w:rPr>
        <w:t xml:space="preserve">w zakresie utrzymania dotychczas ustanowionych zabezpieczeń </w:t>
      </w:r>
      <w:r w:rsidR="0010667B">
        <w:rPr>
          <w:rFonts w:ascii="Times New Roman" w:hAnsi="Times New Roman"/>
          <w:sz w:val="24"/>
        </w:rPr>
        <w:br/>
      </w:r>
      <w:r w:rsidRPr="008D24A2">
        <w:rPr>
          <w:rFonts w:ascii="Times New Roman" w:hAnsi="Times New Roman"/>
          <w:sz w:val="24"/>
        </w:rPr>
        <w:t>lub ustanowienia nowych oraz uwzględnienia dotychczasowego okresu współpracy stron przy obliczaniu terminów odnoszących się do zabezpieczeń na podstawie wnioskowanej umowy,</w:t>
      </w:r>
    </w:p>
    <w:p w:rsidR="00203DFD" w:rsidRDefault="00203DFD" w:rsidP="003565CD">
      <w:pPr>
        <w:pStyle w:val="Akapitzlist"/>
        <w:numPr>
          <w:ilvl w:val="0"/>
          <w:numId w:val="7"/>
        </w:numPr>
        <w:spacing w:after="120" w:line="240" w:lineRule="auto"/>
        <w:jc w:val="both"/>
        <w:rPr>
          <w:rFonts w:ascii="Times New Roman" w:hAnsi="Times New Roman"/>
          <w:sz w:val="24"/>
        </w:rPr>
      </w:pPr>
      <w:r>
        <w:rPr>
          <w:rFonts w:ascii="Times New Roman" w:hAnsi="Times New Roman"/>
          <w:sz w:val="24"/>
        </w:rPr>
        <w:t>odniesienie się do kwestii udostępnienia przez Netię do wykorzystania przez OPL systemu komunikacji ISI, a w przypadku nieudostępnienia ISI przez Netię, wskazanie alternatywnego sposobu komunikacji, z którego będzie korzystała OPL w celu przesłania do Netii stosowanych wniosków, zamówień zgłoszeń i innych informacji wskazanych w projekcie umowy,</w:t>
      </w:r>
    </w:p>
    <w:p w:rsidR="00203DFD" w:rsidRDefault="00203DFD" w:rsidP="003565CD">
      <w:pPr>
        <w:pStyle w:val="Akapitzlist"/>
        <w:numPr>
          <w:ilvl w:val="0"/>
          <w:numId w:val="7"/>
        </w:numPr>
        <w:spacing w:after="120" w:line="240" w:lineRule="auto"/>
        <w:jc w:val="both"/>
        <w:rPr>
          <w:rFonts w:ascii="Times New Roman" w:hAnsi="Times New Roman"/>
          <w:sz w:val="24"/>
        </w:rPr>
      </w:pPr>
      <w:r>
        <w:rPr>
          <w:rFonts w:ascii="Times New Roman" w:hAnsi="Times New Roman"/>
          <w:sz w:val="24"/>
        </w:rPr>
        <w:t xml:space="preserve">odniesienia się do kwestii zapisów zaproponowanych przez OPL w projekcie umowy, które nie wynikają wprost z postanowień Oferty SOR (m.in. zapisy dotyczące symetryczności </w:t>
      </w:r>
      <w:r w:rsidR="00221F97">
        <w:rPr>
          <w:rFonts w:ascii="Times New Roman" w:hAnsi="Times New Roman"/>
          <w:sz w:val="24"/>
        </w:rPr>
        <w:t>warunków świadczenia przez Netię</w:t>
      </w:r>
      <w:r>
        <w:rPr>
          <w:rFonts w:ascii="Times New Roman" w:hAnsi="Times New Roman"/>
          <w:sz w:val="24"/>
        </w:rPr>
        <w:t xml:space="preserve"> niektórych usług na rzecz OPL),</w:t>
      </w:r>
    </w:p>
    <w:p w:rsidR="00203DFD" w:rsidRPr="008D24A2" w:rsidRDefault="00203DFD" w:rsidP="007F2AFA">
      <w:pPr>
        <w:spacing w:after="120"/>
        <w:jc w:val="both"/>
      </w:pPr>
      <w:r>
        <w:t xml:space="preserve">oraz wezwał OPL do wyjaśnienia wątpliwości związanych ze statutem funkcjonalności ID Łącza, w związku ze wskazaniem w pkt 1.1. projektu umowy </w:t>
      </w:r>
      <w:r>
        <w:br/>
        <w:t>w definicji ID Łącza następującego zastrzeżenia „</w:t>
      </w:r>
      <w:r w:rsidRPr="00F86BD2">
        <w:rPr>
          <w:i/>
        </w:rPr>
        <w:t xml:space="preserve">Do momentu wdrożenia przez </w:t>
      </w:r>
      <w:r>
        <w:rPr>
          <w:i/>
        </w:rPr>
        <w:t>OPL</w:t>
      </w:r>
      <w:r w:rsidRPr="00F86BD2">
        <w:rPr>
          <w:i/>
        </w:rPr>
        <w:t xml:space="preserve"> numeru ID Łącza, spełniającego łącznie po</w:t>
      </w:r>
      <w:r>
        <w:rPr>
          <w:i/>
        </w:rPr>
        <w:t>wyższe funkcjonalności (do dnia</w:t>
      </w:r>
      <w:r>
        <w:rPr>
          <w:i/>
        </w:rPr>
        <w:br/>
      </w:r>
      <w:r w:rsidRPr="00F86BD2">
        <w:rPr>
          <w:i/>
        </w:rPr>
        <w:t>31 marca 2012 r.) PT będzie miał możliwość posługiwania się numerem ID usługi bądź numerem KNA przy jednoczesnych zachowaniu wszystkich wskazanych powyżej funkcjonalności</w:t>
      </w:r>
      <w:r>
        <w:t>”, zawierającego datę przyszłą, poprzez wskazanie, czy intencją OPL jest modyfikacja powyższego zapisu, czy jego usunięcie, w terminie 7 dni od dnia doręczeni</w:t>
      </w:r>
      <w:r w:rsidR="00221F97">
        <w:t>a</w:t>
      </w:r>
      <w:r>
        <w:t xml:space="preserve"> przedmiotowego wezwania.</w:t>
      </w:r>
    </w:p>
    <w:p w:rsidR="00203DFD" w:rsidRDefault="00203DFD" w:rsidP="007F2AFA">
      <w:pPr>
        <w:spacing w:after="120"/>
        <w:jc w:val="both"/>
      </w:pPr>
      <w:r>
        <w:t>W odpowiedzi na wezwanie z dnia 8 stycznia 2013 r. OPL, pismem z dnia</w:t>
      </w:r>
      <w:r>
        <w:br/>
        <w:t>21 stycznia 2013 r. (data wpływu do Urzędu Komunikacji Elektronicznej dnia</w:t>
      </w:r>
      <w:r>
        <w:br/>
        <w:t>21 stycznia 2013 r.), przedstawiła wyjaśnienia. OPL wniosła o utrzymanie uprawnienia do żądania zabezpieczeń finansowych według dotychczasowych zasad oraz o wprowadzenie możliwości ustanowienia nowych zabezpieczeń finansowych zgodnie z zapisami projektu umowy. W odniesieniu do kwestii udostępnienia systemu komunikacji ISI OPL wskazała, iż propozycja, aby OPL z każdym OA miała interfejs dla usług OA w celu składania zamówień do OA, jest niemożliwa</w:t>
      </w:r>
      <w:r>
        <w:br/>
        <w:t xml:space="preserve">do zrealizowania przez OPL, ponieważ OPL musiałaby się dostosować do każdego przypadku indywidualnie. Zdaniem OPL, generowałoby to duże koszty i utrudniało </w:t>
      </w:r>
      <w:r>
        <w:lastRenderedPageBreak/>
        <w:t xml:space="preserve">pracę. Zgodnie z powyższym, OPL pozostawiła miejsce do uzupełnienia przez OA, które będzie zbieżne z obecnym procesem składania zamówień przez OPL do OA. OPL wskazała ponadto, że ilość zamówień składanych w ramach usługi RIO jest niewielka, a tylko w zakresie usługi RIO OPL wnosi o symetrię zapisów. OPL wskazała ponadto, że możliwe jest, aby obsługa zamówień była obsługiwana </w:t>
      </w:r>
      <w:r w:rsidR="004E7C17">
        <w:br/>
      </w:r>
      <w:r>
        <w:t>jak dotychczas przez kanał (SPP-OA). W odniesieniu do kwestii zapisów zaproponowanych przez OPL w projekcie umowy, które nie wynikają wprost</w:t>
      </w:r>
      <w:r>
        <w:br/>
        <w:t xml:space="preserve">z postanowień Oferty SOR, OPL wskazała, iż jej intencją jest ustalenie symetrycznych warunków współpracy. Ponadto OPL wskazała, że propozycje zapisów symetrycznych zostały przesłane do Netii, wobec faktu nie przedstawienia przez Netię zapisów odnoszących się do świadczonych przez Netię usług. Proponując rozwiązania symetryczne, zwłaszcza w zakresie stawek za zakańczanie połączeń, OPL powołała się na wydane w dniu 7 maja 2009 r. przez Komisję Europejską „Zalecenie w sprawie uregulowań dotyczących stawek za zakańczanie połączeń w sieciach stacjonarnych i ruchomych” (Dz.Urz. UE z dnia 20 maja </w:t>
      </w:r>
      <w:r>
        <w:br/>
        <w:t xml:space="preserve">2009 r., L 124, str. 64-74, zwane dalej „Zaleceniem KE”). W ocenie OPL, Zalecenie KE zakazuje stosowania asymetrii szczególnie w sieciach stacjonarnych, </w:t>
      </w:r>
      <w:r w:rsidR="00715C07">
        <w:br/>
      </w:r>
      <w:r>
        <w:t>gdzie nie występują obiektywne różnice kosztów, które uzasadniałby ewentualne odstępstwo od zasady symetrii.</w:t>
      </w:r>
    </w:p>
    <w:p w:rsidR="00203DFD" w:rsidRDefault="00203DFD" w:rsidP="007F2AFA">
      <w:pPr>
        <w:spacing w:after="120"/>
        <w:jc w:val="both"/>
      </w:pPr>
      <w:r>
        <w:t xml:space="preserve">OPL wyjaśniając wątpliwości związane ze statusem zapisu dotyczącego ID Łącza, wniosła o jego usunięcie z uwagi na to, że termin przejściowy określony </w:t>
      </w:r>
      <w:r w:rsidR="006A6C47">
        <w:br/>
      </w:r>
      <w:r>
        <w:t xml:space="preserve">w tym zapisie nie jest już aktualny, a OPL wdrożyła i już stosuje ID Łącza. </w:t>
      </w:r>
    </w:p>
    <w:p w:rsidR="00203DFD" w:rsidRDefault="00203DFD" w:rsidP="007F2AFA">
      <w:pPr>
        <w:spacing w:after="120"/>
        <w:jc w:val="both"/>
      </w:pPr>
      <w:r>
        <w:t xml:space="preserve">Pismem z dnia 18 stycznia 2013 r. (data wpływu do Urzędu Komunikacji Elektronicznej dnia 22 stycznia 2013 r.) Netia przedstawiła stanowisko </w:t>
      </w:r>
      <w:r>
        <w:br/>
        <w:t xml:space="preserve">w sprawie. Netia wniosła o wezwanie OPL do przedstawienia projektu umowy odzwierciedlającego negocjacje stron oraz ich stanowiska przedstawione w toku tych negocjacji. Netia wniosła o odmowę wydania decyzji wnioskowanej przez OPL </w:t>
      </w:r>
      <w:r w:rsidR="00271A85">
        <w:br/>
      </w:r>
      <w:r>
        <w:t>lub umorzenie postępowania ze względu na niedopuszczalność drogi administracyjnej. Netia wskazała na brak spełnienia przesłanek uzasadniających zmianę decyzji administracyjnych wydanych przez Prezesa UKE oraz brak kompetencji Prezesa UKE w zakresie rozstrzygania sporu administracyjnego odnoszącego się do usług nieregulowanych (np. tranzyt). W przypadku nieuwzględnienia wniosku Netii</w:t>
      </w:r>
      <w:r w:rsidR="00271A85">
        <w:t xml:space="preserve"> </w:t>
      </w:r>
      <w:r>
        <w:t>o wydanie decyzji odmownej lub umorzenie postępowania, Netia wniosła o wydanie decyzji w kształcie zgodnym z projektem umowy załączonym przez Netię</w:t>
      </w:r>
      <w:r w:rsidR="00271A85">
        <w:t xml:space="preserve"> </w:t>
      </w:r>
      <w:r>
        <w:t>do przedmiotowego stanowiska. Ponadto Netia wniosła o przeprowadzenie rozprawy administracyjnej w celu omówienia rozbieżności w stanowiskach stron. Netia podniosła, że przedstawiony przez OPL projekt umowy nie odzwierciedla stanowisk stron prezentowanych w toku negocjacji, na dowód czego Netia przedstawiła pisma sporządzone w toku negocjacji oraz wniosła o przesłuchanie świadków</w:t>
      </w:r>
      <w:r w:rsidR="00271A85">
        <w:t xml:space="preserve"> </w:t>
      </w:r>
      <w:r>
        <w:t xml:space="preserve">na okoliczność faktycznego zakresu rozbieżności wynikłych w toku negocjacji jak również przeprowadzenie rozprawy administracyjnej celem omówienia tych rozbieżności. Netia wniosła o zobowiązanie OPL do wykazania kiedy projekt umowy w kształcie przedstawionym przez OPL Prezesowi UKE był przedmiotem negocjacji stron. Zdaniem Netii, Wniosek zawiera braki formalne tzn. brak projektu umowy zawierającego stanowiska stron </w:t>
      </w:r>
      <w:r w:rsidR="00271A85">
        <w:br/>
      </w:r>
      <w:r>
        <w:t xml:space="preserve">z zaznaczeniem kwestii spornych. Netia wniosła o zobowiązanie OPL do usunięcia ww. braków formalnych Wniosku. Zdaniem Netii OPL prowadziła negocjacje w złej wierze. Netia wskazała, że OPL nie poinformowała Netii o złożeniu Wniosku </w:t>
      </w:r>
      <w:r w:rsidR="00271A85">
        <w:br/>
      </w:r>
      <w:r>
        <w:t>do Prezesa UKE pomimo niezakończonych negocjacji oraz nie podjęła przed wystąpieniem z Wnioskiem próby zorganizowania spotkań zarządów OPL i Netii.</w:t>
      </w:r>
    </w:p>
    <w:p w:rsidR="00203DFD" w:rsidRDefault="00203DFD" w:rsidP="007F2AFA">
      <w:pPr>
        <w:spacing w:after="120"/>
        <w:jc w:val="both"/>
      </w:pPr>
      <w:r>
        <w:lastRenderedPageBreak/>
        <w:t xml:space="preserve">Uzasadniając umorzenie niniejszego postępowania z uwagi na niedopuszczalność drogi administracyjnej w przedmiotowej sprawie Netia wskazała, że Prezes UKE </w:t>
      </w:r>
      <w:r w:rsidR="00424FFD">
        <w:br/>
      </w:r>
      <w:r>
        <w:t>nie ma kompetencji pozwalających na wydanie decyzji</w:t>
      </w:r>
      <w:r w:rsidR="00424FFD">
        <w:t xml:space="preserve"> mocą</w:t>
      </w:r>
      <w:r>
        <w:t xml:space="preserve"> której rozwiąże </w:t>
      </w:r>
      <w:r w:rsidR="00424FFD">
        <w:br/>
      </w:r>
      <w:r>
        <w:t>lub wygasi dotychczasowy stosunek prawny istniejący pomiędzy stronami, a jedynie kompetencje do wykreowania nowego stosunku prawnego w przypadku braku umowy i decyzji w tym zakresie lub zmiany dotychczasowych aktów regulujących dany stosunek prawny. Zdaniem Netii z pisma OPL z dnia 23 marca 2012 r. oraz</w:t>
      </w:r>
      <w:r>
        <w:br/>
        <w:t xml:space="preserve">z Wniosku jasno wynika, że intencją OPL nie jest wydanie decyzji zmieniającej dotychczasowe umowy, porozumienia i decyzje, lecz wydanie decyzji zastępującej istniejące już, dotychczasowe umowy, porozumienia i decyzje, co zgodnie </w:t>
      </w:r>
      <w:r>
        <w:br/>
        <w:t xml:space="preserve">z projektem umowy zaproponowanym przez OPL miałoby spowodować </w:t>
      </w:r>
      <w:r w:rsidR="00424FFD">
        <w:br/>
      </w:r>
      <w:r>
        <w:t xml:space="preserve">ich rozwiązanie. Na potwierdzenie swoich twierdzeń Netia załączyła do materiału dowodowego w przedmiotowej sprawie wyrok Sądu Ochrony Konkurencji </w:t>
      </w:r>
      <w:r>
        <w:br/>
        <w:t xml:space="preserve">i Konsumentów z dnia 12 lipca 2006 r. (sygn. akt XVII AmT 41/04). Netia wskazała, że Wniosek odnosi się również do decyzji Prezesa UKE, jednak OPL nie wykazała spełnienia przesłanek, o których mowa w art. 28 ust. 6 Pt, a od których zależy wydanie decyzji zmieniającej inną decyzję. Ponadto, Netia zwróciła uwagę, </w:t>
      </w:r>
      <w:r>
        <w:br/>
        <w:t>że Wniosek dotyczy kwestii, które nie podlegają regulacji (np. usługa tranzytu połączeń, usługi zakańczania połączeń międzynarodowych) i nie mogą zostać uregulowane w niniejszej decyzji zgodnie z Wnioskiem ze względu na brak kompetencji Prezesa UKE w tym zakresie. Netia wskazała, że podobne stanowisko Prezes UKE prezentował w decyzji z dnia 2 lutego 2009 r. nr DHRT-WWM-60600-21/06(153) oraz w decyzji z dnia 17 marca 2009 r. nr DHRT-WWM-60600-25/07(46). Netia wskazała, że treść ww. decyzji jest znana Prezesowi UKE z urzędu</w:t>
      </w:r>
      <w:r>
        <w:br/>
        <w:t xml:space="preserve">i wniosła o załączenie ich do akt przedmiotowej sprawy. </w:t>
      </w:r>
    </w:p>
    <w:p w:rsidR="00203DFD" w:rsidRDefault="00203DFD" w:rsidP="007F2AFA">
      <w:pPr>
        <w:spacing w:after="120"/>
        <w:jc w:val="both"/>
      </w:pPr>
      <w:r>
        <w:t>Netia wskazała, że status negocjacji pomiędzy OPL a Netią, w chwili złożenia Wniosku przez OPL nie dawał podstaw do wskazania wszystkich kwestii spornych oraz odnoszących się do tych kwestii stanowisk stron. Ponadto, w odniesieniu</w:t>
      </w:r>
      <w:r>
        <w:br/>
        <w:t>do postanowień umownych przeniesionych przez OPL do projektu umowy z projektu porozumienia wdrożeniowego, Netia wskazała, że porozumienie wdrożeniowe</w:t>
      </w:r>
      <w:r>
        <w:br/>
        <w:t>na etapie negocjacji stanowiło odrębny dokument, a co za tym idzie odrębny przedmiot negocjacji. Zdaniem Netii kwestie uregulowane w porozumieniu wdrożeniowym powinny być przedmiotem odrębnego postępowania przed Prezesem UKE. Netia załączyła do stanowiska szczegółową listę rozbieżności wskazując,</w:t>
      </w:r>
      <w:r>
        <w:br/>
        <w:t>że nie obejmuje ona uwag do załączników do umowy oraz postanowień porozumienia wdrożeniowego, które nie były przez strony omawiane w toku negocjacji. Netia zastrzegła prawo zgłaszania uwag do załączników na dalszym etapie postępowania oraz stwierdziła, że postanowienia porozumienia wdrożeniowego nie powinny być przedmiotem niniejszego rozstrzygnięcia. Następnie Netia przedstawiła swoje stanowisko wraz z uzasadnieniem w odniesieniu do kluczowych zdaniem Netii kwestii spornych, tj:</w:t>
      </w:r>
    </w:p>
    <w:p w:rsidR="00203DFD" w:rsidRDefault="00203DFD" w:rsidP="003565CD">
      <w:pPr>
        <w:numPr>
          <w:ilvl w:val="0"/>
          <w:numId w:val="18"/>
        </w:numPr>
        <w:tabs>
          <w:tab w:val="clear" w:pos="1440"/>
          <w:tab w:val="num" w:pos="540"/>
        </w:tabs>
        <w:spacing w:before="120" w:after="120"/>
        <w:ind w:left="540" w:hanging="540"/>
        <w:jc w:val="both"/>
      </w:pPr>
      <w:r>
        <w:t>obowiązku OPL uwzględniania uzasadnionych wniosków o dostęp telekomunikacyjny w zakresie poziomu IP DSLAM, OLT i Ethernet dla usługi BSA oraz w zakresie technologii FTTx dla usługi LLU,</w:t>
      </w:r>
    </w:p>
    <w:p w:rsidR="00203DFD" w:rsidRDefault="00203DFD" w:rsidP="003565CD">
      <w:pPr>
        <w:numPr>
          <w:ilvl w:val="0"/>
          <w:numId w:val="18"/>
        </w:numPr>
        <w:tabs>
          <w:tab w:val="clear" w:pos="1440"/>
          <w:tab w:val="num" w:pos="540"/>
        </w:tabs>
        <w:spacing w:before="120" w:after="120"/>
        <w:ind w:left="540" w:hanging="540"/>
        <w:jc w:val="both"/>
      </w:pPr>
      <w:r>
        <w:t>wdrożenia usługi VULA</w:t>
      </w:r>
      <w:r w:rsidRPr="006935E0">
        <w:t xml:space="preserve"> (ang. </w:t>
      </w:r>
      <w:r w:rsidRPr="006935E0">
        <w:rPr>
          <w:i/>
          <w:iCs/>
        </w:rPr>
        <w:t>virtual unbudling local loop</w:t>
      </w:r>
      <w:r w:rsidRPr="006935E0">
        <w:t xml:space="preserve"> </w:t>
      </w:r>
      <w:r>
        <w:t>- hurtowa usługa</w:t>
      </w:r>
      <w:r w:rsidRPr="006935E0">
        <w:t xml:space="preserve"> </w:t>
      </w:r>
      <w:r>
        <w:t xml:space="preserve">dostępu do </w:t>
      </w:r>
      <w:r w:rsidRPr="006935E0">
        <w:t>wirtualnej pętli abonenckiej)</w:t>
      </w:r>
      <w:r>
        <w:t>,</w:t>
      </w:r>
    </w:p>
    <w:p w:rsidR="00203DFD" w:rsidRDefault="00203DFD" w:rsidP="003565CD">
      <w:pPr>
        <w:numPr>
          <w:ilvl w:val="0"/>
          <w:numId w:val="18"/>
        </w:numPr>
        <w:tabs>
          <w:tab w:val="clear" w:pos="1440"/>
          <w:tab w:val="num" w:pos="540"/>
        </w:tabs>
        <w:spacing w:before="120" w:after="120"/>
        <w:ind w:left="540" w:hanging="540"/>
        <w:jc w:val="both"/>
      </w:pPr>
      <w:r>
        <w:t>usługi zakańczania połączeń w sieci Netii,</w:t>
      </w:r>
    </w:p>
    <w:p w:rsidR="00203DFD" w:rsidRDefault="00203DFD" w:rsidP="003565CD">
      <w:pPr>
        <w:numPr>
          <w:ilvl w:val="0"/>
          <w:numId w:val="18"/>
        </w:numPr>
        <w:tabs>
          <w:tab w:val="clear" w:pos="1440"/>
          <w:tab w:val="num" w:pos="540"/>
        </w:tabs>
        <w:spacing w:before="120" w:after="120"/>
        <w:ind w:left="540" w:hanging="540"/>
        <w:jc w:val="both"/>
      </w:pPr>
      <w:r>
        <w:t>zabezpieczenia roszczeń OPL,</w:t>
      </w:r>
    </w:p>
    <w:p w:rsidR="00203DFD" w:rsidRDefault="00203DFD" w:rsidP="003565CD">
      <w:pPr>
        <w:numPr>
          <w:ilvl w:val="0"/>
          <w:numId w:val="18"/>
        </w:numPr>
        <w:tabs>
          <w:tab w:val="clear" w:pos="1440"/>
          <w:tab w:val="num" w:pos="540"/>
        </w:tabs>
        <w:spacing w:before="120" w:after="120"/>
        <w:ind w:left="540" w:hanging="540"/>
        <w:jc w:val="both"/>
      </w:pPr>
      <w:r>
        <w:lastRenderedPageBreak/>
        <w:t>utrzymania wypracowanych rozwiązań nie podlegających regulacji.</w:t>
      </w:r>
    </w:p>
    <w:p w:rsidR="00203DFD" w:rsidRDefault="00203DFD" w:rsidP="00A87241">
      <w:pPr>
        <w:spacing w:after="120"/>
        <w:jc w:val="both"/>
      </w:pPr>
      <w:r>
        <w:t>Na poparcie przytoczonej argumentacji Netia przedstawiła dowody w postaci załączonych do stanowiska dokumentów oraz powołała się na liczne dokumenty</w:t>
      </w:r>
      <w:r>
        <w:br/>
        <w:t>znane Prezesowi UKE z urzędu i wniosła o ich załączenie do akt postępowania.</w:t>
      </w:r>
    </w:p>
    <w:p w:rsidR="00203DFD" w:rsidRDefault="00203DFD" w:rsidP="007F2AFA">
      <w:pPr>
        <w:spacing w:after="120"/>
        <w:jc w:val="both"/>
      </w:pPr>
      <w:r>
        <w:t>W odpowiedzi na wezwanie Prezesa UKE z dnia 8 stycznia 2013 r., Netia pismem</w:t>
      </w:r>
      <w:r>
        <w:br/>
        <w:t>z dnia 22 stycznia 2013 r. (data wpływu do Urzędu Komunikacji Elektronicznej</w:t>
      </w:r>
      <w:r>
        <w:br/>
        <w:t>w dniu 24 stycznia 2013 r.) przedstawiła stanowisko w zakresie zaproponowanych przez OPL postanowień umownych dotyczących zabezpieczeń finansowych, udostępnienia przez Netię systemu komunikacji ISI oraz innych postanowień zaproponowanych przez OPL w projekcie umowy, nie wynikających wprost</w:t>
      </w:r>
      <w:r>
        <w:br/>
        <w:t xml:space="preserve">z postanowień Oferty SOR. Ponadto Netia wskazała, że zakreślony przez Prezesa UKE 7 dniowy termin na udzielenie odpowiedzi na przedmiotowe wezwanie </w:t>
      </w:r>
      <w:r w:rsidR="00B3761C">
        <w:br/>
      </w:r>
      <w:r>
        <w:t>był zbyt krótki, zwłaszcza, że pokrywał się on z 14 dniowym terminem na zajęcie przez Netię stanowiska wobec Wniosku, co znacząco ograniczyło prawo Netii do czynnego udziału w postępowaniu. Zdaniem Netii termin wskazany przez Prezesa UKE</w:t>
      </w:r>
      <w:r w:rsidR="00B3761C">
        <w:t xml:space="preserve"> </w:t>
      </w:r>
      <w:r>
        <w:t xml:space="preserve">w przedmiotowym wezwaniu, zgodnie z art. 27 ust. 4 Pt powinien wynosić </w:t>
      </w:r>
      <w:r w:rsidR="00B3761C">
        <w:br/>
      </w:r>
      <w:r>
        <w:t xml:space="preserve">14 dni. Odnosząc się do kwestii zabezpieczeń finansowych Netia wskazała, </w:t>
      </w:r>
      <w:r w:rsidR="00B3761C">
        <w:br/>
      </w:r>
      <w:r>
        <w:t>że w relacjach</w:t>
      </w:r>
      <w:r w:rsidR="00B3761C">
        <w:t xml:space="preserve"> </w:t>
      </w:r>
      <w:r>
        <w:t>z OPL dotychczas Netia była zwalniana z obowiązku przedstawienia takich zabezpieczeń. Ponadto zdaniem Netii brak jest przesłanek do ustanowienia takiego obowiązku. Netia wniosła o wskazanie przez Prezesa UKE, że Netia nie jest zobowiązana do przedkładania zabezpieczeń finansowych na rzecz OPL. W zakresie obowiązku stosowania systemu komunikacji ISI Netia wskazała, że obowiązek taki spoczywa na OPL i nie ma żadnych podstaw do nałożenia na Netię analogicznego obowiązku. Ponadto, Netia zwróciła uwagę na występujące po stronie OPL problemy z wdrożeniem systemu komunikacji ISI. Odnosząc się do innych postanowień zaproponowanych przez OPL w projekcie umowy, Netia wskazała, że jej pozycja rynkowa znacząco różni się od pozycji rynkowej OPL co znajduje odzwierciedlenie również w nałożonych na strony obowiązkach regulacyjnych. Dlatego też, zdaniem Netii niezasadne jest nałożenie na Netię symetrycznych warunków współpracy. Netia wskazała, że warunki współpracy zaproponowane OPL przez Netię są zgodne</w:t>
      </w:r>
      <w:r>
        <w:br/>
        <w:t xml:space="preserve">z ofertą opublikowaną przez Netię. Na poparcie przytoczonej argumentacji Netia powołała się na konkretne dokumenty znane Prezesowi UKE z urzędu i wniosła </w:t>
      </w:r>
      <w:r w:rsidR="00B3761C">
        <w:br/>
      </w:r>
      <w:r>
        <w:t>o ich załączenie do akt postępowania.</w:t>
      </w:r>
    </w:p>
    <w:p w:rsidR="00203DFD" w:rsidRDefault="00203DFD" w:rsidP="007F2AFA">
      <w:pPr>
        <w:spacing w:after="120"/>
        <w:jc w:val="both"/>
      </w:pPr>
      <w:r>
        <w:t>Pismem z dnia 12 lutego 2013 r. Prezes UKE wezwał OPL do złożenia wyjaśnień poprzez:</w:t>
      </w:r>
    </w:p>
    <w:p w:rsidR="00203DFD" w:rsidRDefault="00203DFD" w:rsidP="003565CD">
      <w:pPr>
        <w:pStyle w:val="Tekstpodstawowywcity"/>
        <w:numPr>
          <w:ilvl w:val="0"/>
          <w:numId w:val="19"/>
        </w:numPr>
        <w:tabs>
          <w:tab w:val="clear" w:pos="1440"/>
          <w:tab w:val="num" w:pos="540"/>
          <w:tab w:val="left" w:pos="1080"/>
        </w:tabs>
        <w:spacing w:line="240" w:lineRule="auto"/>
        <w:ind w:left="540" w:hanging="540"/>
        <w:jc w:val="both"/>
      </w:pPr>
      <w:r w:rsidRPr="007D5E40">
        <w:t xml:space="preserve">przedstawienie stanowiska </w:t>
      </w:r>
      <w:r>
        <w:t>OPL</w:t>
      </w:r>
      <w:r w:rsidRPr="007D5E40">
        <w:t xml:space="preserve"> w zakresie </w:t>
      </w:r>
      <w:r>
        <w:t xml:space="preserve">uzgodnień poczynionych przez Strony w toku negocjacji, na które powołuje się Netia w piśmie z dnia </w:t>
      </w:r>
      <w:r>
        <w:br/>
        <w:t>18 stycznia 2013 r. oraz w piśmie z dnia 22 stycznia 2013 r. oraz postanowień u</w:t>
      </w:r>
      <w:r w:rsidRPr="007D5E40">
        <w:t>mow</w:t>
      </w:r>
      <w:r>
        <w:t>n</w:t>
      </w:r>
      <w:r w:rsidRPr="007D5E40">
        <w:t>y</w:t>
      </w:r>
      <w:r>
        <w:t>ch</w:t>
      </w:r>
      <w:r w:rsidRPr="007D5E40">
        <w:t xml:space="preserve"> wskazanych przez N</w:t>
      </w:r>
      <w:r>
        <w:t xml:space="preserve">etię w tych pismach, uznanych przez Netię </w:t>
      </w:r>
      <w:r>
        <w:br/>
        <w:t xml:space="preserve">za uzgodnione </w:t>
      </w:r>
      <w:r w:rsidRPr="007D5E40">
        <w:t xml:space="preserve">z </w:t>
      </w:r>
      <w:r>
        <w:t>OPL,</w:t>
      </w:r>
    </w:p>
    <w:p w:rsidR="00203DFD" w:rsidRDefault="00203DFD" w:rsidP="003565CD">
      <w:pPr>
        <w:pStyle w:val="Tekstpodstawowywcity"/>
        <w:numPr>
          <w:ilvl w:val="0"/>
          <w:numId w:val="19"/>
        </w:numPr>
        <w:tabs>
          <w:tab w:val="clear" w:pos="1440"/>
          <w:tab w:val="num" w:pos="540"/>
          <w:tab w:val="left" w:pos="1080"/>
        </w:tabs>
        <w:spacing w:line="240" w:lineRule="auto"/>
        <w:ind w:left="540" w:hanging="540"/>
        <w:jc w:val="both"/>
      </w:pPr>
      <w:r>
        <w:t>odniesienie się do podniesionego przez Netię zarzutu w zakresie załączenia przez OPL do Wniosku, projektu umowy z pominięciem stanowiska Netii prezentowanego w toku negocjacji w odniesieniu do poszczególnych kwestii spornych.</w:t>
      </w:r>
    </w:p>
    <w:p w:rsidR="00203DFD" w:rsidRDefault="00203DFD" w:rsidP="008C7DB2">
      <w:pPr>
        <w:pStyle w:val="Tekstpodstawowywcity"/>
        <w:tabs>
          <w:tab w:val="left" w:pos="1080"/>
        </w:tabs>
        <w:spacing w:line="240" w:lineRule="auto"/>
        <w:ind w:left="0"/>
        <w:jc w:val="both"/>
      </w:pPr>
      <w:r>
        <w:t xml:space="preserve">Pismem z dnia 22 lutego 2013 r. (data wpływu do Urzędu komunikacji Elektronicznej w dniu 22 lutego 2013 r.) OPL z uwagi na obszerny zakres przekazanego materiału oraz konieczność pozyskania stanowisk z wielu działów spółki, zwróciła się do Prezesa UKE z wnioskiem o przedłużenie do dnia 7 marca </w:t>
      </w:r>
      <w:r>
        <w:lastRenderedPageBreak/>
        <w:t>2013 r. 7-dniowego terminu zakreślonego w wezwaniu do złożenia wyjaśnień z dnia 12 lutego 2013 r.</w:t>
      </w:r>
    </w:p>
    <w:p w:rsidR="00203DFD" w:rsidRDefault="00203DFD" w:rsidP="007F2AFA">
      <w:pPr>
        <w:spacing w:after="120"/>
        <w:jc w:val="both"/>
      </w:pPr>
      <w:r>
        <w:t>Pismem z dnia 27 lutego 2013 r. Prezes UKE przychylił się do wniosku OPL</w:t>
      </w:r>
      <w:r>
        <w:br/>
        <w:t>o przedłużenie do dnia 7 marca 2013 r. 7-dniowego terminu zakreślonego</w:t>
      </w:r>
      <w:r>
        <w:br/>
        <w:t>w wezwaniu do złożenia wyjaśnień z dnia 12 lutego 2013 r.</w:t>
      </w:r>
    </w:p>
    <w:p w:rsidR="00203DFD" w:rsidRDefault="00203DFD" w:rsidP="00295D7A">
      <w:pPr>
        <w:tabs>
          <w:tab w:val="left" w:pos="408"/>
        </w:tabs>
        <w:jc w:val="both"/>
      </w:pPr>
      <w:r w:rsidRPr="004B19AE">
        <w:t>Pismem z dnia 7 marca 2013 r. (data nadania pisma w polskiej placówce pocztowej operatora wyznaczonego w rozumieniu ustawy z dnia 23 listopada 2012 r. - Prawo pocztow</w:t>
      </w:r>
      <w:r>
        <w:t>e</w:t>
      </w:r>
      <w:r w:rsidRPr="004B19AE">
        <w:t xml:space="preserve"> </w:t>
      </w:r>
      <w:r>
        <w:t xml:space="preserve">(Dz. U. z 2012 r. poz. 1529) </w:t>
      </w:r>
      <w:r w:rsidRPr="004B19AE">
        <w:t>w dni</w:t>
      </w:r>
      <w:r>
        <w:t>u 7 marca 2013 r.) w odpowiedzi</w:t>
      </w:r>
      <w:r>
        <w:br/>
      </w:r>
      <w:r w:rsidRPr="004B19AE">
        <w:t>na wezwanie</w:t>
      </w:r>
      <w:r>
        <w:t xml:space="preserve"> </w:t>
      </w:r>
      <w:r w:rsidRPr="004B19AE">
        <w:t>do przedstawienia wyjaśnień z</w:t>
      </w:r>
      <w:r>
        <w:t xml:space="preserve"> dnia 12 lutego 2013 r. OPL przedstawiła stanowisko. Odnosząc się do zarzutu Netii w zakresie nie przeprowadzenia negocjacji w przedmiocie załączników do projektu umowy OPL wskazała,</w:t>
      </w:r>
      <w:r>
        <w:br/>
        <w:t>że wszelkie załączniki do projektu umowy zostały przesłane do Netii wraz</w:t>
      </w:r>
      <w:r>
        <w:br/>
        <w:t xml:space="preserve">z wnioskiem z dnia 23 marca 2012 r. oraz projektem umowy. OPL wyjaśniła również, że porozumienie wdrożeniowe nie powinno być traktowane jako odrębny dokument, lecz jako integralna część projektu umowy, gdyż jego celem jest określenie szczegółowych zasad dotyczących wprowadzenia nowych warunków współpracy. W odniesieniu do zgłoszonej przez Netię propozycji uregulowania kolokacji w sieci Netii, OPL stwierdziła, że Netia w toku negocjacji </w:t>
      </w:r>
      <w:r w:rsidR="005D67E5">
        <w:br/>
      </w:r>
      <w:r>
        <w:t>nie komunikowała OPL chęci uregulowania tej kwestii i nie przedstawiła OPL propozycji zapisów w tym zakresie. OPL odniosła się również do zarzutu stosowania przez OPL asymetrii niektórych opłat na niekorzyść Netii. OPL wyjaśniła,</w:t>
      </w:r>
      <w:r>
        <w:br/>
        <w:t>że początkowo w projekcie umowy opłaty za wszystkie usługi były symetryczne, jednak w toku negocjacji opłaty te zostały zmienione i zaakceptowane przez Netię. OPL wskazała, że nigdy nie miało miejsca generalne zwolnienie Netii z obowiązku ustanawiania zabezpieczeń finansowych na rzecz OPL tzn. na cały okres obowiązywania umowy, a jedynie na dzień zawarcia umowy z możliwością ustanowienia zabezpieczeń finansowych w późniejszym terminie. Zdaniem OPL, postanowienia dotyczące zabezpieczeń finansowych są zgodne z Ofertą SOR oraz nie wykluczają możliwości zwolnienia Netii z obowiązku ustanawiania zabezpi</w:t>
      </w:r>
      <w:r w:rsidR="005D67E5">
        <w:t>eczeń finansowych na rzecz OPL.</w:t>
      </w:r>
      <w:r>
        <w:t xml:space="preserve"> OPL załączyła do stanowiska aktualny zakres rozbieżności zaznaczając, że nie obejmuje on stanowiska OPL względem propozycji Netii zgłoszonych w dniu 5 marca 2013 r. Jednocześnie OPL poinformowała,</w:t>
      </w:r>
      <w:r>
        <w:br/>
        <w:t>że Netia przedstawiła propozycję podpisania jednostronnej umowy w oparciu</w:t>
      </w:r>
      <w:r>
        <w:br/>
        <w:t>o Ofertę SOR regulującej wyłącznie usługi świadczone przez OPL na rzecz Netii oraz dodatkowo porozumienia wprowadzającego do współpracy stron usługi świadczone przez OPL na rzecz Netii na podstawie dotychczasowych umów, porozumień i decyzji, które wykraczają poza zakres usług uregulowanych w Ofercie SOR. OPL odnosząc się do zarzutu Netii w zakresie pominięcia stanowiska Netii prezentowanego w toku negocjacji odnośnie niektórych kwestii spornych, wyjaśniła, że projekt umowy załączony do Wniosku nie zawierał wszystkich uwag</w:t>
      </w:r>
      <w:r w:rsidR="005D67E5">
        <w:t xml:space="preserve"> </w:t>
      </w:r>
      <w:r w:rsidR="005D67E5">
        <w:br/>
      </w:r>
      <w:r>
        <w:t xml:space="preserve">i komentarzy zaznaczonych bezpośrednio na tekście projektu, gdyż mogłoby to mieć negatywny wpływ na jego czytelność i przejrzystość. Dlatego też OPL załączyła </w:t>
      </w:r>
      <w:r w:rsidR="005D67E5">
        <w:br/>
      </w:r>
      <w:r>
        <w:t xml:space="preserve">do Wniosku osobny dokument zawierający listę rozbieżności stanowisk stron, obejmującą 66 pozycji. Zdaniem OPL projekt umowy z uwagami i komentarzami stron wraz z listą rozbieżności czyni zadość wymogom wniosku, o których mowa </w:t>
      </w:r>
      <w:r>
        <w:br/>
        <w:t>w art. 27 ust. 3 Pt. OPL odniosła się również do zarzutów podniesionych przez Netię</w:t>
      </w:r>
      <w:r>
        <w:br/>
        <w:t>w zakresie sposobu prowadzenia negocjacji przez OPL. OPL przedstawiła stanowisko w zakresie zarzutów Netii odnoszących się do niedopuszczalności wydania przez Prezesa UKE decyzji w kształcie zaproponowanym przez OPL,</w:t>
      </w:r>
      <w:r>
        <w:br/>
        <w:t>tj. decyzji zmierzającej do ukształtowania nowego stosunku cywilnoprawnego</w:t>
      </w:r>
      <w:r>
        <w:br/>
      </w:r>
      <w:r>
        <w:lastRenderedPageBreak/>
        <w:t>i rozwiązania dotychczasowego stosunku cywilnoprawnego. OPL wskazała, że Netia na poparcie swojej argumentacji powołała nieaktualny wyrok sądu oparty</w:t>
      </w:r>
      <w:r>
        <w:br/>
        <w:t>na nieobowiązujących już przepisach prawa, które uzależniały prawo strony</w:t>
      </w:r>
      <w:r>
        <w:br/>
        <w:t>do wystąpienia do organu z wnioskiem o zmianę umowy od istnienia w tej umowie postanowienia będącego podstawą do wystąpienia z takim wnioskiem. Zdaniem OPL aktualnie obowiązujące przepisy Pt nie zawierają takiego wymogu, zaś z wnioskiem o zmianę umowy może wystąpić każda ze stron tej umowy bez względu</w:t>
      </w:r>
      <w:r>
        <w:br/>
        <w:t>na dodatkowe uprawnienia w tym zakresie zawarte w umowie.</w:t>
      </w:r>
    </w:p>
    <w:p w:rsidR="00203DFD" w:rsidRDefault="00203DFD" w:rsidP="00CE5C56">
      <w:pPr>
        <w:spacing w:before="120" w:after="120"/>
        <w:jc w:val="both"/>
      </w:pPr>
      <w:r>
        <w:t>Pismem z dnia 20 marca 2013 r. (data wpływu do Urzędu Komunikacji Elektronicznej dni</w:t>
      </w:r>
      <w:r w:rsidR="006B3BC3">
        <w:t>a</w:t>
      </w:r>
      <w:r>
        <w:t xml:space="preserve"> 20 marca 2013 r.) Netia poinformowała Prezesa UKE</w:t>
      </w:r>
      <w:r>
        <w:br/>
        <w:t>o złożeniu OPL propozycji zawarcia umowy w oparciu o Ofertę SOR wraz</w:t>
      </w:r>
      <w:r>
        <w:br/>
        <w:t>z porozumieniem wdrożeniowym. Netia wyjaśniła, że podpisany przez Netię egzemplarz umowy został złożony do OPL, zaś zawarte w niej postanowienia</w:t>
      </w:r>
      <w:r>
        <w:br/>
        <w:t>są zgodne z Ofertą SOR co wyczerpuje żądanie OPL wyrażone we wniosku</w:t>
      </w:r>
      <w:r>
        <w:br/>
        <w:t>o wszczęcie negocjacji z dnia 23 marca 2012 r. Netia wskazała, że porozumienie wdrożeniowe przygotowane i przesłane do OPL wraz z umową szczegółowo określa i reguluje zasady implementacji umowy oraz ma na celu zachowanie ciągłości świadczenia usług i obsługi klientów Netii na podstawie obowiązujących pomiędzy stronami dotychczasowych umów, porozumień oraz decyzji.</w:t>
      </w:r>
    </w:p>
    <w:p w:rsidR="00203DFD" w:rsidRDefault="00203DFD" w:rsidP="007F2AFA">
      <w:pPr>
        <w:spacing w:after="120"/>
        <w:jc w:val="both"/>
      </w:pPr>
      <w:r>
        <w:t>Pismem z dnia 26 marca 2013 r. (data wpływu do Urzędu Komunikacji Elektronicznej dni</w:t>
      </w:r>
      <w:r w:rsidR="00AF5D38">
        <w:t>a</w:t>
      </w:r>
      <w:r>
        <w:t xml:space="preserve"> 27 marca 2013 r.) Netia poinformowała Prezesa UKE</w:t>
      </w:r>
      <w:r>
        <w:br/>
        <w:t>o statusie prac nad podpisaniem przez strony umowy w oparciu o Ofertę SOR. Netia poinformowała o przedstawieniu przez OPL w dniu 19 marca 2013 r. projektu umowy, który zdaniem Netii zwierał wiele wątpliwości i był pozbawiony porozumienia wdrożeniowego co uczyniło ww. projekt umowy nieakceptowanym dla Netii. Netia poinformowała, że OPL w dniu 22 marca 2013 r. przesłała</w:t>
      </w:r>
      <w:r>
        <w:br/>
        <w:t>do Netii projekt porozumienia wdrożeniowego, który również wzbudził wątpliwości po stronie Netii. Netia postanowiła nie akceptować przedstawionych przez OPL propozycji umowy oraz porozumienia wdrożeniowego i oczekiwać na stanowisko OPL względem propozycji zawarcia umowy przedstawionej OPL przez Netię. Netia wskazała kwestie, które wzbudzają wątpliwości Netii wobec warunków współpracy proponowanych przez OPL oraz omówiła problemy związane z wdrożeniem</w:t>
      </w:r>
      <w:r>
        <w:br/>
        <w:t xml:space="preserve">do współpracy stron systemu ISI. </w:t>
      </w:r>
    </w:p>
    <w:p w:rsidR="00203DFD" w:rsidRDefault="00203DFD" w:rsidP="007F2AFA">
      <w:pPr>
        <w:spacing w:after="120"/>
        <w:jc w:val="both"/>
      </w:pPr>
      <w:r>
        <w:t>Pismem z dnia 2 kwietnia 2013 r. (data wpływu do Urzędu Komunikacji elektronicznej dni</w:t>
      </w:r>
      <w:r w:rsidR="00D40933">
        <w:t>a</w:t>
      </w:r>
      <w:r>
        <w:t xml:space="preserve"> 4 kwietnia 2013 r.) Netia odniosła się do stanowiska OPL </w:t>
      </w:r>
      <w:r>
        <w:br/>
        <w:t xml:space="preserve">z dnia 7 marca 2013 r. Netia wyjaśniła, że OPL po przesłaniu do Netii wniosku </w:t>
      </w:r>
      <w:r>
        <w:br/>
        <w:t xml:space="preserve">o zawarcie umowy z dnia 23 marca 2012 r. dokonała modyfikacji załączników </w:t>
      </w:r>
      <w:r>
        <w:br/>
        <w:t xml:space="preserve">do projektu umowy. W dniu 28 lutego 2013 r. Netia odniosła się </w:t>
      </w:r>
      <w:r>
        <w:br/>
        <w:t xml:space="preserve">do zmodyfikowanych załączników przesłanych przez OPL do Netii w dniu </w:t>
      </w:r>
      <w:r>
        <w:br/>
        <w:t xml:space="preserve">23 stycznia 2013 r. Na tej podstawie Netia stwierdziła, że zmodyfikowane załączniki nie były przedmiotem negocjacji. Ponadto Netia wskazała, że OPL nie przedstawiła Netii załączników do projektu umowy dotyczących usług Netii, które zostały przesłane do Netii dopiero po złożeniu Wniosku przez OPL. Netia podtrzymała swoje stanowisko, zgodnie z którym porozumienie wdrożeniowe powinno być odrębnym dokumentem, zaś jego postanowienia nie mogą być wprowadzone </w:t>
      </w:r>
      <w:r>
        <w:br/>
        <w:t xml:space="preserve">do niniejszej decyzji. Netia wskazała, że nie ciążą na niej żadne obowiązki kosztowe, zaś wszelkie opłaty zaproponowane przez Netię są zgodne z ofertą Netii na rynku 9. Odnosząc się do spornej kwestii zwolnienia Netii z obowiązku ustanawiania zabezpieczeń finansowych, Netia wyjaśniła, że jej intencją nie jest usunięcie </w:t>
      </w:r>
      <w:r>
        <w:br/>
      </w:r>
      <w:r>
        <w:lastRenderedPageBreak/>
        <w:t xml:space="preserve">z projektu umowy postanowień dotyczących obowiązku ustanowienia zabezpieczeń finansowych, lecz zwolnienie Netii z tego obowiązku. Ponadto, Netia wskazała </w:t>
      </w:r>
      <w:r>
        <w:br/>
        <w:t>w tym zakresie, że OPL na etapie negocjacji odmówiła zwolnienia Netii z tego obowiązku, podczas gdy zwolnienie takie było możliwe w stosunku do innych operatorów oraz było stosowane przez OPL wobec Netii we wcześniejszych negocjacjach.</w:t>
      </w:r>
    </w:p>
    <w:p w:rsidR="00203DFD" w:rsidRDefault="00203DFD" w:rsidP="007F2AFA">
      <w:pPr>
        <w:spacing w:after="120"/>
        <w:jc w:val="both"/>
      </w:pPr>
      <w:r>
        <w:t>Netia podtrzymała stanowisko w kwestii pominięcia w projekcie umowy załączonym do Wniosku uwag oraz stanowiska Netii. Zdaniem Netii kwestie sporne powinny być zaznaczone bezpośrednio w tekście projektu umowy, zaś załączenie przez OPL</w:t>
      </w:r>
      <w:r>
        <w:br/>
        <w:t xml:space="preserve">do Wniosku odrębnej listy rozbieżności nie czyni zadość wymogom przewidzianym w art. 27 ust. 3 Pt. Netia podtrzymała także swoje stanowisko w kwestii braku kompetencji Prezesa UKE do wydania decyzji w kształcie wnioskowanym przez OPL, wskazując, że argumentacja przedstawiona przez OPL w tym zakresie </w:t>
      </w:r>
      <w:r>
        <w:br/>
        <w:t>w piśmie z dnia 7 marca 2013 r. odnosi się do przepisu, który daje organowi kompetencje do zmiany decyzji, a nie umowy i dlatego argumentacja OPL pozostaje bez związku ze stanowiskiem Netii.</w:t>
      </w:r>
    </w:p>
    <w:p w:rsidR="00203DFD" w:rsidRDefault="00203DFD" w:rsidP="000424F0">
      <w:pPr>
        <w:spacing w:before="120"/>
        <w:jc w:val="both"/>
      </w:pPr>
      <w:r>
        <w:t xml:space="preserve">W dniu 10 kwietnia 2013 r. strony podpisały Umowę o dostępie telekomunikacyjnym w zakresie rozpoczynania </w:t>
      </w:r>
      <w:r w:rsidRPr="00CD755F">
        <w:t>i zakańczania połączeń, hurtowe</w:t>
      </w:r>
      <w:r>
        <w:t xml:space="preserve">go dostępu do sieci OPL, dostępu </w:t>
      </w:r>
      <w:r w:rsidRPr="00CD755F">
        <w:t>do łączy abonenckich w sposób zapewniający dostęp p</w:t>
      </w:r>
      <w:r>
        <w:t xml:space="preserve">ełny lub współdzielony, dostępu </w:t>
      </w:r>
      <w:r w:rsidRPr="00CD755F">
        <w:t xml:space="preserve">do łączy abonenckich poprzez </w:t>
      </w:r>
      <w:r>
        <w:t xml:space="preserve">węzły sieci telekomunikacyjnej </w:t>
      </w:r>
      <w:r w:rsidRPr="00CD755F">
        <w:t>na potrzeby sprzedaży usług szerokopasmowej transmisji danych</w:t>
      </w:r>
      <w:r>
        <w:t xml:space="preserve">, regulującą usługi świadczone przez OPL (zwaną dalej „Umową SOR”) </w:t>
      </w:r>
      <w:r w:rsidR="001C3A59">
        <w:br/>
      </w:r>
      <w:r>
        <w:t>wraz z porozumieniem wdrożeniowym.</w:t>
      </w:r>
    </w:p>
    <w:p w:rsidR="00203DFD" w:rsidRDefault="00203DFD" w:rsidP="000424F0">
      <w:pPr>
        <w:spacing w:before="120"/>
        <w:jc w:val="both"/>
      </w:pPr>
      <w:r>
        <w:t>W dniu 19 kwietnia 2013 r. Prezes UKE na podstawie art. 75 § 1 i art. 78 § 1 kpa oraz na podstawie  art. 89 § 1 i § 2 kpa w związku z art. 123 § 1 i art. 124 § 1 kpa oraz art. 206 Pt wydał postanowienie, w którym odmówił przeprowadzenia</w:t>
      </w:r>
      <w:r>
        <w:br/>
        <w:t>na wniosek Netii rozprawy administracyjnej celem omówienia rozbieżności</w:t>
      </w:r>
      <w:r>
        <w:br/>
        <w:t xml:space="preserve">w stanowiskach Stron oraz odmówił przeprowadzenia dowodu </w:t>
      </w:r>
      <w:r w:rsidRPr="00286D97">
        <w:t xml:space="preserve">na okoliczność prowadzenia przez Strony negocjacji </w:t>
      </w:r>
      <w:r>
        <w:t xml:space="preserve">- </w:t>
      </w:r>
      <w:r w:rsidRPr="00286D97">
        <w:t>w przedmiocie projektu umowy</w:t>
      </w:r>
      <w:r>
        <w:t xml:space="preserve"> - co do treści,</w:t>
      </w:r>
      <w:r w:rsidRPr="00AD4AF5">
        <w:t xml:space="preserve"> </w:t>
      </w:r>
      <w:r>
        <w:t xml:space="preserve">nieprzystającej do treści projektu umowy, </w:t>
      </w:r>
      <w:r w:rsidRPr="00286D97">
        <w:t>przedstawion</w:t>
      </w:r>
      <w:r>
        <w:t>ego</w:t>
      </w:r>
      <w:r w:rsidRPr="00286D97">
        <w:t xml:space="preserve"> przez </w:t>
      </w:r>
      <w:r>
        <w:t xml:space="preserve">OPL </w:t>
      </w:r>
      <w:r w:rsidRPr="00286D97">
        <w:t>w</w:t>
      </w:r>
      <w:r>
        <w:t>e Wniosku</w:t>
      </w:r>
      <w:r w:rsidRPr="00286D97">
        <w:t xml:space="preserve">, poprzez wezwanie </w:t>
      </w:r>
      <w:r>
        <w:t>OPL do wykazania takiego faktu oraz</w:t>
      </w:r>
      <w:r w:rsidRPr="008E0F38">
        <w:t xml:space="preserve"> dowodu na okoliczność </w:t>
      </w:r>
      <w:r>
        <w:t xml:space="preserve">faktycznego zakresu rozbieżności stanowisk Stron w toku negocjacji, poprzez wezwanie OPL do przedstawienia projektu umowy odzwierciedlającego negocjacje oraz przedstawienie stanowisk stron przedstawianych w tych negocjacjach, </w:t>
      </w:r>
      <w:r w:rsidR="007956DA">
        <w:br/>
      </w:r>
      <w:r>
        <w:t>jak również poprzez przesłuchanie świadków (osób biorących udział w negocjacjach,</w:t>
      </w:r>
      <w:r>
        <w:br/>
        <w:t xml:space="preserve">tj. Pana Grzegorza Mazanego, Pana Andrzeja Golonki, Pana Piotra Ermela oraz Pana Krzysztofa Milewskiego). </w:t>
      </w:r>
    </w:p>
    <w:p w:rsidR="00203DFD" w:rsidRDefault="00203DFD" w:rsidP="000424F0">
      <w:pPr>
        <w:spacing w:before="120"/>
        <w:jc w:val="both"/>
      </w:pPr>
      <w:r>
        <w:t>W związku z podpisaniem Umowy SOR, Prezes UKE pismem z dnia 23 kwietnia 2013 r. wezwał OPL, na podstawie art. 50 kpa w zw. z art. 206 ust. 1 Pt,</w:t>
      </w:r>
      <w:r>
        <w:br/>
        <w:t xml:space="preserve">do przedstawienia wyjaśnień poprzez wskazanie czy OPL podtrzymuje Wniosek, względnie wskazanie w jakim zakresie OPL podtrzymuje lub modyfikuje Wniosek, zaś w przypadku podtrzymania Wniosku w całości lub w części, wskazanie, </w:t>
      </w:r>
      <w:r w:rsidR="007956DA">
        <w:br/>
      </w:r>
      <w:r>
        <w:t>czy intencją Wniosku jest wydanie przez Prezesa UKE decyzji zastępującej jednolitą umowę o dostępie telekomunikacyjnym zawartą we Wniosku, która ma zastąpić dotychczasowe umowy (porozumienia, decyzje Prezesa UKE) wskazane</w:t>
      </w:r>
      <w:r>
        <w:br/>
        <w:t>we Wniosku, czy też intencją żądania OPL jest zmiana poszczególnych umów (porozumień, decyzji Prezesa UKE) wskazanych we Wniosku, poprzez dostosowanie ich treści do Oferty SOR.</w:t>
      </w:r>
    </w:p>
    <w:p w:rsidR="00203DFD" w:rsidRDefault="00203DFD" w:rsidP="000424F0">
      <w:pPr>
        <w:spacing w:before="120"/>
        <w:jc w:val="both"/>
      </w:pPr>
      <w:r>
        <w:lastRenderedPageBreak/>
        <w:t xml:space="preserve">Pismem z dnia 24 kwietnia 2013 r. (data wpływu do Urzędu Komunikacji Elektronicznej </w:t>
      </w:r>
      <w:r w:rsidR="007956DA">
        <w:t>dnia</w:t>
      </w:r>
      <w:r>
        <w:t xml:space="preserve"> 24 kwietnia 2013 r.) Netia powołując się na treść art. 105</w:t>
      </w:r>
      <w:r>
        <w:br/>
        <w:t xml:space="preserve">§ 1 </w:t>
      </w:r>
      <w:r w:rsidRPr="00C9467F">
        <w:t>kpa wystąpiła do Prezesa UKE z wnioskiem o umorzenie przedmiotowego postępowania, wskazując, iż w dniu 10 kwietnia 2013 r. strony podpisały Umowę SOR, zgodną z Ofertą</w:t>
      </w:r>
      <w:r>
        <w:t xml:space="preserve"> SOR, co zdaniem Netii wyczerpuje w całości Wniosek</w:t>
      </w:r>
      <w:r>
        <w:br/>
        <w:t>i powoduje konieczność umorzenia przedmiotowego postępowania ze względu</w:t>
      </w:r>
      <w:r>
        <w:br/>
        <w:t>na jego bezprzedmiotowość.</w:t>
      </w:r>
    </w:p>
    <w:p w:rsidR="00203DFD" w:rsidRDefault="00203DFD" w:rsidP="000424F0">
      <w:pPr>
        <w:spacing w:before="120"/>
        <w:jc w:val="both"/>
      </w:pPr>
      <w:r>
        <w:t>Pismem z dnia 10 maja 2013 r. (data wpływu do Urzędu Komunikacji Elektronicznej dni</w:t>
      </w:r>
      <w:r w:rsidR="008E4855">
        <w:t>a</w:t>
      </w:r>
      <w:r>
        <w:t xml:space="preserve"> 13 maja 2013 r.), OPL w odpowiedzi na wezwanie Prezesa UKE z dnia</w:t>
      </w:r>
      <w:r>
        <w:br/>
        <w:t>23 kwietnia 2013 r., poinformowała o zawarciu przez strony w dniu 10 kwietnia 2013 r. Umowy SOR i z tego względu dokonała modyfikacji Wniosku podtrzymując go w zakresie usług świadczonych przez Netię, zaś w pozostałym zakresie OPL wycofała Wniosek. Jednocześnie OPL wyjaśniła, że intencją Wniosku jest zastąpienie wszystkich dotychczasowych umów (porozumień i decyzji Prezesa UKE) jedną umową obejmującą swym zakresem umowy, porozumienia i decyzje wskazane we Wniosku, przy czym dla OPL jest obojętne przy użyciu jakiej konstrukcji prawnej to nastąpi i na jakiej podstawie.</w:t>
      </w:r>
    </w:p>
    <w:p w:rsidR="00203DFD" w:rsidRDefault="00203DFD" w:rsidP="000424F0">
      <w:pPr>
        <w:spacing w:before="120"/>
        <w:jc w:val="both"/>
      </w:pPr>
      <w:r>
        <w:t>Pismem z dnia 20 maja 2013 r. (data wpływu do Urzędu Komunikacji Elektronicznej dni</w:t>
      </w:r>
      <w:r w:rsidR="003A7647">
        <w:t>a</w:t>
      </w:r>
      <w:r>
        <w:t xml:space="preserve"> 21 maja 2013 r.) OPL ponownie wyjaśniła, że intencją Wniosku jest</w:t>
      </w:r>
      <w:r w:rsidRPr="00D115D1">
        <w:t xml:space="preserve"> </w:t>
      </w:r>
      <w:r>
        <w:t>zastąpienie wszystkich dotychczasowych umów (porozumień i decyzji Prezesa UKE) jedną umową obejmującą swym zakresem umowy (porozumienia i decyzje Prezesa UKE) wskazane we Wniosku.</w:t>
      </w:r>
    </w:p>
    <w:p w:rsidR="00203DFD" w:rsidRDefault="00203DFD" w:rsidP="00146C5D">
      <w:pPr>
        <w:spacing w:before="120"/>
        <w:jc w:val="both"/>
      </w:pPr>
      <w:r>
        <w:t>Pismem z dnia 4 czerwca 2013 r. (data wpływu do Urzędu Komunikacji Elektronicznej dni</w:t>
      </w:r>
      <w:r w:rsidR="0063093B">
        <w:t>a</w:t>
      </w:r>
      <w:r>
        <w:t xml:space="preserve"> 13 czerwca 2013 r.) Netia przedstawiła stanowisko, w którym odniosła się do pisma OPL z dnia 10 maja 2013 r. modyfikującego Wniosek. Zdaniem Netii, modyfikacja Wniosku zmierza do zmiany umowy zawartej przez strony w dniu 10 kwietnia 2013 r. Netia wskazała, że warunki współpracy stron</w:t>
      </w:r>
      <w:r>
        <w:br/>
        <w:t xml:space="preserve">w zakresie świadczenia usług przez OPL na rzecz Netii zostały uregulowane bezpośrednio, w treści tej umowy zgodnie z postanowieniami Oferty SOR, </w:t>
      </w:r>
      <w:r w:rsidR="0079456C">
        <w:br/>
      </w:r>
      <w:r>
        <w:t>zaś warunki współpracy stron w zakresie świadczenia usług przez Netię na rzecz OPL zostały uregulowane poprzez odesłanie do warunków współpracy określonych</w:t>
      </w:r>
      <w:r>
        <w:br/>
        <w:t>w dotychczasowych umowach, porozumieniach i decyzjach, które w odpowiedniej części zostały utrzymane w mocy zgodnie z intencją obu stron.</w:t>
      </w:r>
      <w:r w:rsidRPr="00360545">
        <w:t xml:space="preserve"> </w:t>
      </w:r>
      <w:r>
        <w:t>Netia wskazała,</w:t>
      </w:r>
      <w:r>
        <w:br/>
        <w:t>że podpisanie przez strony w dniu 10 kwietnia 2013 r. Umowy SOR oraz porozumienia wyczerpuje zakres przedmiotowy negocjacji i Wniosku oraz stwierdziła, że przedmiotowe postępowanie należy umorzyć z uwagi na jego bezprzedmiotowość. Netia wniosła także o dostosowanie warunków współpracy określonych w Umowie SOR do aktualnych obowiązków regulacyjnych nałożonych przez Prezesa UKE na strony.</w:t>
      </w:r>
    </w:p>
    <w:p w:rsidR="00203DFD" w:rsidRDefault="00203DFD" w:rsidP="000D3148">
      <w:pPr>
        <w:spacing w:before="120" w:after="120"/>
        <w:jc w:val="both"/>
      </w:pPr>
      <w:r>
        <w:rPr>
          <w:bCs/>
        </w:rPr>
        <w:t xml:space="preserve">W dniu 31 grudnia 2013 r. w Krajowym Rejestrze Sądowym pod numerem KRS: </w:t>
      </w:r>
      <w:r w:rsidRPr="009974E9">
        <w:rPr>
          <w:bCs/>
        </w:rPr>
        <w:t>0000010681</w:t>
      </w:r>
      <w:r>
        <w:rPr>
          <w:bCs/>
        </w:rPr>
        <w:t xml:space="preserve"> dokonano wpisu, z którego wynika m.in., że spółka Telekomunikacja Polska S.A. dokonała zmiany nazwy firmy na Orange Polska S.A. </w:t>
      </w:r>
      <w:r>
        <w:t xml:space="preserve">Zmianie uległa również siedziba i adres spółki z: Warszawa (kod pocztowy: 00-105), ul. Twarda </w:t>
      </w:r>
      <w:r>
        <w:br/>
        <w:t>18 na: Warszawa (kod pocztowy: 02-326), Al. Jerozolimskie 160.</w:t>
      </w:r>
    </w:p>
    <w:p w:rsidR="00203DFD" w:rsidRDefault="00203DFD" w:rsidP="004062B8">
      <w:pPr>
        <w:spacing w:after="120"/>
        <w:jc w:val="both"/>
      </w:pPr>
      <w:r w:rsidRPr="00B865D8">
        <w:t>W dniu 3 marca 2014 r. Prezes UKE wydał decyzję DHRT-WORK-6982-1/12(283) zatwierdzającą zmianę Oferty SOR w zakresie usług informacyjno – zleceniowych, udostępnianych w ramach Usługi WLR.</w:t>
      </w:r>
    </w:p>
    <w:p w:rsidR="00203DFD" w:rsidRDefault="00203DFD" w:rsidP="004062B8">
      <w:pPr>
        <w:spacing w:before="120"/>
        <w:jc w:val="both"/>
      </w:pPr>
      <w:r w:rsidRPr="00B865D8">
        <w:lastRenderedPageBreak/>
        <w:t>W dniu 26 maja 2014 r. Prezes UKE wydał decyzję nr DHRT-WORK-6082-1/12(330) zmieniającą Ofertę SOR, w zakresie usług o podwyższonej opłacie, udo</w:t>
      </w:r>
      <w:r>
        <w:t>stępnianych w ramach usługi WLR.</w:t>
      </w:r>
    </w:p>
    <w:p w:rsidR="00203DFD" w:rsidRPr="00B865D8" w:rsidRDefault="00203DFD" w:rsidP="00137A9F">
      <w:pPr>
        <w:spacing w:before="120"/>
        <w:jc w:val="both"/>
      </w:pPr>
      <w:r w:rsidRPr="00B865D8">
        <w:t xml:space="preserve">W dniu 30 maja 2014 r. Prezes UKE wydał decyzję nr DHRT-WORK-6082-7/13(76) </w:t>
      </w:r>
      <w:r w:rsidRPr="00B865D8">
        <w:br/>
        <w:t xml:space="preserve">w przedmiocie zatwierdzenia zmiany Oferty SOR, </w:t>
      </w:r>
      <w:r w:rsidRPr="00B865D8">
        <w:rPr>
          <w:bCs/>
        </w:rPr>
        <w:t>polegającej na wprowadzeniu nowej opcji Usługi BSA „do 80 Mb/s”.</w:t>
      </w:r>
    </w:p>
    <w:p w:rsidR="00203DFD" w:rsidRPr="00B865D8" w:rsidRDefault="00203DFD" w:rsidP="00137A9F">
      <w:pPr>
        <w:spacing w:before="120"/>
        <w:jc w:val="both"/>
      </w:pPr>
      <w:r w:rsidRPr="00B865D8">
        <w:t>W dniu 2 czerwca 2014 r. Prezes UKE wydał decyzję nr DHRT-WORK-6082-3/11(448) zatwierdzającą zmianę Oferty SOR,</w:t>
      </w:r>
      <w:r>
        <w:t xml:space="preserve"> </w:t>
      </w:r>
      <w:r w:rsidRPr="00B865D8">
        <w:t>w zakresie:</w:t>
      </w:r>
    </w:p>
    <w:p w:rsidR="00203DFD" w:rsidRDefault="00203DFD" w:rsidP="003565CD">
      <w:pPr>
        <w:numPr>
          <w:ilvl w:val="0"/>
          <w:numId w:val="15"/>
        </w:numPr>
        <w:spacing w:before="120" w:after="120"/>
        <w:ind w:left="714" w:hanging="357"/>
        <w:jc w:val="both"/>
      </w:pPr>
      <w:r w:rsidRPr="00B865D8">
        <w:t xml:space="preserve">dostępu do infrastruktury światłowodowej, w tym warunkowego dostępu </w:t>
      </w:r>
      <w:r>
        <w:br/>
      </w:r>
      <w:r w:rsidRPr="00B865D8">
        <w:t>do Lokalnej Pętli Światłowodowej OPL,</w:t>
      </w:r>
    </w:p>
    <w:p w:rsidR="00203DFD" w:rsidRPr="00B865D8" w:rsidRDefault="00203DFD" w:rsidP="003565CD">
      <w:pPr>
        <w:numPr>
          <w:ilvl w:val="0"/>
          <w:numId w:val="15"/>
        </w:numPr>
        <w:spacing w:before="120" w:after="120"/>
        <w:jc w:val="both"/>
      </w:pPr>
      <w:r w:rsidRPr="00B865D8">
        <w:t xml:space="preserve">dostępu do hurtowych usług dostępu szerokopasmowego na poziomie MSAN/OLT, Ethernet oraz innych równoważnych poziomach dostępu </w:t>
      </w:r>
      <w:r>
        <w:br/>
      </w:r>
      <w:r w:rsidRPr="00B865D8">
        <w:t>w przypadku usług świadczonych w oparciu o infrastrukturę i technologię światłowodową,</w:t>
      </w:r>
    </w:p>
    <w:p w:rsidR="00203DFD" w:rsidRPr="00B865D8" w:rsidRDefault="00203DFD" w:rsidP="003565CD">
      <w:pPr>
        <w:numPr>
          <w:ilvl w:val="0"/>
          <w:numId w:val="15"/>
        </w:numPr>
        <w:spacing w:before="120" w:after="120"/>
        <w:jc w:val="both"/>
      </w:pPr>
      <w:r w:rsidRPr="00B865D8">
        <w:t>dostępu do usługi typu backhaul,</w:t>
      </w:r>
    </w:p>
    <w:p w:rsidR="00203DFD" w:rsidRPr="00B865D8" w:rsidRDefault="00203DFD" w:rsidP="003565CD">
      <w:pPr>
        <w:numPr>
          <w:ilvl w:val="0"/>
          <w:numId w:val="15"/>
        </w:numPr>
        <w:spacing w:before="120" w:after="120"/>
        <w:jc w:val="both"/>
      </w:pPr>
      <w:r w:rsidRPr="00B865D8">
        <w:t>warunków świadczenia przez OPL usługi BSA w opcji „do 10 Mb/s”,</w:t>
      </w:r>
    </w:p>
    <w:p w:rsidR="00203DFD" w:rsidRPr="00B865D8" w:rsidRDefault="00203DFD" w:rsidP="003565CD">
      <w:pPr>
        <w:numPr>
          <w:ilvl w:val="0"/>
          <w:numId w:val="15"/>
        </w:numPr>
        <w:spacing w:before="120" w:after="120"/>
        <w:jc w:val="both"/>
      </w:pPr>
      <w:r w:rsidRPr="00B865D8">
        <w:t xml:space="preserve">dostępu do infrastruktury technicznej OPL w zakresie słupów, wież, masztów </w:t>
      </w:r>
      <w:r w:rsidRPr="00B865D8">
        <w:br/>
        <w:t>i powierzchni,</w:t>
      </w:r>
    </w:p>
    <w:p w:rsidR="00203DFD" w:rsidRDefault="00203DFD" w:rsidP="003565CD">
      <w:pPr>
        <w:numPr>
          <w:ilvl w:val="0"/>
          <w:numId w:val="15"/>
        </w:numPr>
        <w:spacing w:before="120" w:after="120"/>
        <w:ind w:left="714" w:hanging="357"/>
        <w:jc w:val="both"/>
      </w:pPr>
      <w:r w:rsidRPr="00B865D8">
        <w:t>opłat za nowo wprowadzone usługi:</w:t>
      </w:r>
    </w:p>
    <w:p w:rsidR="00203DFD" w:rsidRDefault="00203DFD" w:rsidP="003565CD">
      <w:pPr>
        <w:numPr>
          <w:ilvl w:val="0"/>
          <w:numId w:val="16"/>
        </w:numPr>
        <w:spacing w:before="120" w:after="120"/>
        <w:jc w:val="both"/>
      </w:pPr>
      <w:r w:rsidRPr="00B865D8">
        <w:t>opłaty za  Lokalną Pętlę Światłowodową,</w:t>
      </w:r>
    </w:p>
    <w:p w:rsidR="00203DFD" w:rsidRDefault="00203DFD" w:rsidP="003565CD">
      <w:pPr>
        <w:numPr>
          <w:ilvl w:val="0"/>
          <w:numId w:val="16"/>
        </w:numPr>
        <w:spacing w:before="120" w:after="120"/>
        <w:jc w:val="both"/>
      </w:pPr>
      <w:r w:rsidRPr="00B865D8">
        <w:t>opłaty za usługę Backhaul (dosył),</w:t>
      </w:r>
    </w:p>
    <w:p w:rsidR="00203DFD" w:rsidRDefault="00203DFD" w:rsidP="003565CD">
      <w:pPr>
        <w:numPr>
          <w:ilvl w:val="0"/>
          <w:numId w:val="16"/>
        </w:numPr>
        <w:spacing w:before="120" w:after="120"/>
        <w:jc w:val="both"/>
      </w:pPr>
      <w:r w:rsidRPr="00B865D8">
        <w:t xml:space="preserve">opłaty za usługi transmisji świadczone w oparciu o poziom dostępu Ethernet; </w:t>
      </w:r>
    </w:p>
    <w:p w:rsidR="00203DFD" w:rsidRDefault="00203DFD" w:rsidP="003565CD">
      <w:pPr>
        <w:numPr>
          <w:ilvl w:val="0"/>
          <w:numId w:val="16"/>
        </w:numPr>
        <w:spacing w:before="120" w:after="120"/>
        <w:jc w:val="both"/>
      </w:pPr>
      <w:r w:rsidRPr="00B865D8">
        <w:t>opłat za usługi transmisji świadczone w oparciu o dotychczasowe poziomy dostępu do sieci szerokopasmowej tj. poziom ATM, IP Zarządzany i IP Niezarządzany;</w:t>
      </w:r>
    </w:p>
    <w:p w:rsidR="002478ED" w:rsidRDefault="002478ED" w:rsidP="003565CD">
      <w:pPr>
        <w:numPr>
          <w:ilvl w:val="0"/>
          <w:numId w:val="16"/>
        </w:numPr>
        <w:spacing w:before="120" w:after="120"/>
        <w:jc w:val="both"/>
      </w:pPr>
      <w:r>
        <w:t>opłat za usługi dostępu do infrastruktury technicznej w zakresie wież, masztów, słupów i powierzchni.</w:t>
      </w:r>
    </w:p>
    <w:p w:rsidR="00203DFD" w:rsidRPr="00350B90" w:rsidRDefault="00203DFD" w:rsidP="00137A9F">
      <w:pPr>
        <w:spacing w:after="120"/>
        <w:jc w:val="both"/>
      </w:pPr>
      <w:r>
        <w:t>W dniu 18 czerwca 2014 r. Prezes UKE wydał decyzję nr DHRT-WORK-6082-1/13(202) zatwierdzającą zmianę Oferty SOR w zakresie</w:t>
      </w:r>
      <w:r w:rsidRPr="003A6A4E">
        <w:t xml:space="preserve"> postanowień dotyczących awarii, zasad odpowiedzialności oraz kar umownych</w:t>
      </w:r>
      <w:r>
        <w:t>.</w:t>
      </w:r>
    </w:p>
    <w:p w:rsidR="00203DFD" w:rsidRDefault="00203DFD" w:rsidP="000D3148">
      <w:pPr>
        <w:tabs>
          <w:tab w:val="left" w:pos="1080"/>
        </w:tabs>
        <w:spacing w:before="100" w:after="100"/>
        <w:jc w:val="both"/>
        <w:rPr>
          <w:szCs w:val="20"/>
        </w:rPr>
      </w:pPr>
      <w:r>
        <w:t xml:space="preserve">Pismem z dnia 18 czerwca 2014 r. Prezes UKE wezwał Netię do </w:t>
      </w:r>
      <w:r w:rsidRPr="00230E82">
        <w:rPr>
          <w:szCs w:val="20"/>
        </w:rPr>
        <w:t xml:space="preserve">uzupełnienia braków formalnych </w:t>
      </w:r>
      <w:r>
        <w:rPr>
          <w:szCs w:val="20"/>
        </w:rPr>
        <w:t>pism</w:t>
      </w:r>
      <w:r w:rsidRPr="00230E82">
        <w:rPr>
          <w:szCs w:val="20"/>
        </w:rPr>
        <w:t xml:space="preserve"> </w:t>
      </w:r>
      <w:r>
        <w:rPr>
          <w:szCs w:val="20"/>
        </w:rPr>
        <w:t xml:space="preserve">Netii </w:t>
      </w:r>
      <w:r w:rsidRPr="00230E82">
        <w:rPr>
          <w:szCs w:val="20"/>
        </w:rPr>
        <w:t>z dnia</w:t>
      </w:r>
      <w:r>
        <w:rPr>
          <w:szCs w:val="20"/>
        </w:rPr>
        <w:t xml:space="preserve"> </w:t>
      </w:r>
      <w:r>
        <w:t>20 marca 2013 r.</w:t>
      </w:r>
      <w:r w:rsidRPr="00AE3B07">
        <w:t xml:space="preserve"> </w:t>
      </w:r>
      <w:r>
        <w:t xml:space="preserve">oraz z dnia 26 marca </w:t>
      </w:r>
      <w:r>
        <w:br/>
        <w:t>2013 r.</w:t>
      </w:r>
      <w:r w:rsidRPr="00230E82">
        <w:rPr>
          <w:szCs w:val="20"/>
        </w:rPr>
        <w:t xml:space="preserve"> </w:t>
      </w:r>
      <w:r>
        <w:rPr>
          <w:szCs w:val="20"/>
        </w:rPr>
        <w:t>poprzez:</w:t>
      </w:r>
    </w:p>
    <w:p w:rsidR="00203DFD" w:rsidRDefault="00203DFD" w:rsidP="003565CD">
      <w:pPr>
        <w:numPr>
          <w:ilvl w:val="0"/>
          <w:numId w:val="20"/>
        </w:numPr>
        <w:tabs>
          <w:tab w:val="clear" w:pos="1724"/>
          <w:tab w:val="left" w:pos="567"/>
        </w:tabs>
        <w:spacing w:before="100" w:after="100"/>
        <w:ind w:left="540" w:hanging="540"/>
        <w:jc w:val="both"/>
        <w:rPr>
          <w:szCs w:val="20"/>
        </w:rPr>
      </w:pPr>
      <w:r>
        <w:rPr>
          <w:szCs w:val="20"/>
        </w:rPr>
        <w:t>przedstawienie tych pism prawidłowo podpisanych przez osoby uprawnione</w:t>
      </w:r>
      <w:r>
        <w:rPr>
          <w:szCs w:val="20"/>
        </w:rPr>
        <w:br/>
        <w:t>do reprezentowania Netii w przedmiotowym postępowaniu,</w:t>
      </w:r>
    </w:p>
    <w:p w:rsidR="00203DFD" w:rsidRDefault="00203DFD" w:rsidP="003565CD">
      <w:pPr>
        <w:numPr>
          <w:ilvl w:val="0"/>
          <w:numId w:val="20"/>
        </w:numPr>
        <w:tabs>
          <w:tab w:val="clear" w:pos="1724"/>
        </w:tabs>
        <w:spacing w:before="120"/>
        <w:ind w:left="540" w:hanging="540"/>
        <w:jc w:val="both"/>
        <w:rPr>
          <w:szCs w:val="20"/>
        </w:rPr>
      </w:pPr>
      <w:r>
        <w:rPr>
          <w:szCs w:val="20"/>
        </w:rPr>
        <w:t>lub w przypadku posiadania stosownego pełnomocnictwa przez osobę podpisaną pod tymi pismami (tj. Pana Pawła Żyteckiego), do przedstawienia takiego pełnomocnictwa.</w:t>
      </w:r>
    </w:p>
    <w:p w:rsidR="00203DFD" w:rsidRDefault="00203DFD" w:rsidP="000D3148">
      <w:pPr>
        <w:spacing w:before="120" w:after="120"/>
        <w:jc w:val="both"/>
      </w:pPr>
      <w:r>
        <w:t xml:space="preserve">W odpowiedzi na powyższe wezwanie, Netia pismem z dnia 30 czerwca </w:t>
      </w:r>
      <w:r>
        <w:br/>
        <w:t>2014 r. potwierdziła czynności procesowe dokonane przez Pana Pawła Żyteckiego (przedstawienie stanowiska w sprawie pismem z dnia 20 marca 2013 r.</w:t>
      </w:r>
      <w:r w:rsidRPr="00AE3B07">
        <w:t xml:space="preserve"> </w:t>
      </w:r>
      <w:r>
        <w:t>oraz z dnia 26 marca 2013 r.) działającego bez wymaganego umocowania.</w:t>
      </w:r>
    </w:p>
    <w:p w:rsidR="00203DFD" w:rsidRDefault="00203DFD" w:rsidP="000D3148">
      <w:pPr>
        <w:spacing w:before="120" w:after="120"/>
        <w:jc w:val="both"/>
      </w:pPr>
      <w:r>
        <w:lastRenderedPageBreak/>
        <w:t xml:space="preserve">Pismem z dnia 30 czerwca 2014 r. </w:t>
      </w:r>
      <w:r w:rsidRPr="00821321">
        <w:t>na podstawie art. 27 ust. 4 Pt oraz art. 50</w:t>
      </w:r>
      <w:r>
        <w:t xml:space="preserve"> §1</w:t>
      </w:r>
      <w:r w:rsidRPr="00821321">
        <w:t xml:space="preserve"> kpa </w:t>
      </w:r>
      <w:r>
        <w:br/>
      </w:r>
      <w:r w:rsidRPr="00821321">
        <w:t>w związku</w:t>
      </w:r>
      <w:r>
        <w:t xml:space="preserve"> </w:t>
      </w:r>
      <w:r w:rsidRPr="00821321">
        <w:t>z art. 206 ust. 1 Pt</w:t>
      </w:r>
      <w:r>
        <w:t>, Prezes UKE wezwał OPL do złożenia wyjaśnień poprzez przedstawienie aktualnego stanowiska w sprawie w związku z dokonanymi przez Prezesa UKE po dacie złożenia Wniosku zmianami Oferty SOR.</w:t>
      </w:r>
    </w:p>
    <w:p w:rsidR="00203DFD" w:rsidRDefault="00203DFD" w:rsidP="000D3148">
      <w:pPr>
        <w:spacing w:before="120" w:after="120"/>
        <w:jc w:val="both"/>
      </w:pPr>
      <w:r>
        <w:t xml:space="preserve">Pismem z dnia 17 lipca 2014 r. (data wpływu do Urzędu Komunikacji Elektronicznej dnia 21 lipca 2014 r.) OPL odpowiedziała na wezwanie Prezesa UKE z dnia </w:t>
      </w:r>
      <w:r>
        <w:br/>
        <w:t xml:space="preserve">30 czerwca 2014 r. OPL podtrzymała Wniosek oraz wskazała, że wnosi </w:t>
      </w:r>
      <w:r>
        <w:br/>
        <w:t>o uwzględnienie we wnioskowanej decyzji zmian wynikających z decyzji Prezesa UKE z dnia 18 czerwca 2014 r. nr DHRT-WORK-6082-1/13(202).</w:t>
      </w:r>
    </w:p>
    <w:p w:rsidR="00203DFD" w:rsidRDefault="00203DFD" w:rsidP="000D3148">
      <w:pPr>
        <w:spacing w:before="120" w:after="120"/>
        <w:jc w:val="both"/>
      </w:pPr>
      <w:r>
        <w:t>Pismem z dnia 10 września 2014 r. Prezes UKE poinformował strony o włączeniu</w:t>
      </w:r>
      <w:r>
        <w:br/>
        <w:t>do materiału dowodowego kopii następujących dokumentów:</w:t>
      </w:r>
    </w:p>
    <w:p w:rsidR="00203DFD" w:rsidRDefault="00203DFD" w:rsidP="003565CD">
      <w:pPr>
        <w:numPr>
          <w:ilvl w:val="0"/>
          <w:numId w:val="12"/>
        </w:numPr>
        <w:spacing w:after="120"/>
        <w:jc w:val="both"/>
      </w:pPr>
      <w:r>
        <w:t>Decyzji</w:t>
      </w:r>
      <w:r w:rsidRPr="00730AD7">
        <w:t xml:space="preserve"> SMP </w:t>
      </w:r>
      <w:r>
        <w:t>Netia;</w:t>
      </w:r>
    </w:p>
    <w:p w:rsidR="00203DFD" w:rsidRDefault="00203DFD" w:rsidP="003565CD">
      <w:pPr>
        <w:numPr>
          <w:ilvl w:val="0"/>
          <w:numId w:val="12"/>
        </w:numPr>
        <w:spacing w:after="120"/>
        <w:jc w:val="both"/>
      </w:pPr>
      <w:r>
        <w:t>Decyzji</w:t>
      </w:r>
      <w:r w:rsidRPr="00730AD7">
        <w:t xml:space="preserve"> SMP O</w:t>
      </w:r>
      <w:r>
        <w:t xml:space="preserve">PL </w:t>
      </w:r>
      <w:r w:rsidRPr="00730AD7">
        <w:t xml:space="preserve">na rynku </w:t>
      </w:r>
      <w:r>
        <w:t>9;</w:t>
      </w:r>
    </w:p>
    <w:p w:rsidR="00203DFD" w:rsidRDefault="00203DFD" w:rsidP="003565CD">
      <w:pPr>
        <w:numPr>
          <w:ilvl w:val="0"/>
          <w:numId w:val="12"/>
        </w:numPr>
        <w:spacing w:after="120"/>
        <w:jc w:val="both"/>
      </w:pPr>
      <w:r>
        <w:t>Decyzji</w:t>
      </w:r>
      <w:r w:rsidRPr="00730AD7">
        <w:t xml:space="preserve"> SMP </w:t>
      </w:r>
      <w:r>
        <w:t xml:space="preserve">OPL </w:t>
      </w:r>
      <w:r w:rsidRPr="00730AD7">
        <w:t xml:space="preserve">na rynku </w:t>
      </w:r>
      <w:r>
        <w:t>4;</w:t>
      </w:r>
    </w:p>
    <w:p w:rsidR="00203DFD" w:rsidRDefault="00203DFD" w:rsidP="003565CD">
      <w:pPr>
        <w:numPr>
          <w:ilvl w:val="0"/>
          <w:numId w:val="12"/>
        </w:numPr>
        <w:spacing w:after="120"/>
        <w:jc w:val="both"/>
      </w:pPr>
      <w:r>
        <w:t>Decyzji</w:t>
      </w:r>
      <w:r w:rsidRPr="00730AD7">
        <w:t xml:space="preserve"> SMP </w:t>
      </w:r>
      <w:r>
        <w:t xml:space="preserve">OPL </w:t>
      </w:r>
      <w:r w:rsidRPr="00730AD7">
        <w:t xml:space="preserve">na rynku </w:t>
      </w:r>
      <w:r>
        <w:t>5</w:t>
      </w:r>
      <w:r w:rsidRPr="00730AD7">
        <w:t>)</w:t>
      </w:r>
      <w:r>
        <w:t>;</w:t>
      </w:r>
    </w:p>
    <w:p w:rsidR="00203DFD" w:rsidRDefault="00203DFD" w:rsidP="003565CD">
      <w:pPr>
        <w:numPr>
          <w:ilvl w:val="0"/>
          <w:numId w:val="12"/>
        </w:numPr>
        <w:spacing w:after="120"/>
        <w:jc w:val="both"/>
      </w:pPr>
      <w:r>
        <w:t>Decyzji</w:t>
      </w:r>
      <w:r w:rsidRPr="00730AD7">
        <w:t xml:space="preserve"> SMP O</w:t>
      </w:r>
      <w:r>
        <w:t xml:space="preserve">PL </w:t>
      </w:r>
      <w:r w:rsidRPr="00730AD7">
        <w:t xml:space="preserve">na rynku </w:t>
      </w:r>
      <w:r>
        <w:t>8;</w:t>
      </w:r>
    </w:p>
    <w:p w:rsidR="00203DFD" w:rsidRDefault="00203DFD" w:rsidP="003565CD">
      <w:pPr>
        <w:numPr>
          <w:ilvl w:val="0"/>
          <w:numId w:val="12"/>
        </w:numPr>
        <w:spacing w:after="120"/>
        <w:jc w:val="both"/>
      </w:pPr>
      <w:r>
        <w:t xml:space="preserve">decyzji Prezesa UKE z dnia 29 września 2010 r., zatwierdzającej </w:t>
      </w:r>
      <w:r w:rsidRPr="00006A6C">
        <w:t>„</w:t>
      </w:r>
      <w:r>
        <w:t>Ofertę ramową określającą</w:t>
      </w:r>
      <w:r w:rsidRPr="00006A6C">
        <w:t xml:space="preserve"> ramowe warunki dostępu telekomunikacyjnego </w:t>
      </w:r>
      <w:r>
        <w:br/>
      </w:r>
      <w:r w:rsidRPr="00006A6C">
        <w:t xml:space="preserve">w zakresie rozpoczynania i zakańczania połączeń, hurtowego dostępu </w:t>
      </w:r>
      <w:r>
        <w:br/>
      </w:r>
      <w:r w:rsidRPr="00006A6C">
        <w:t xml:space="preserve">do sieci TP, dostępu do łączy abonenckich w sposób zapewniający dostęp pełny lub współdzielony, dostępu do łączy abonenckich poprzez węzły sieci telekomunikacyjnej na potrzeby sprzedaży usług szerokopasmowej transmisji danych”, </w:t>
      </w:r>
      <w:r>
        <w:t>zmienionej</w:t>
      </w:r>
      <w:r w:rsidRPr="00006A6C">
        <w:t xml:space="preserve"> następnie decyzją Prezesa UKE</w:t>
      </w:r>
      <w:r>
        <w:t>:</w:t>
      </w:r>
      <w:r w:rsidRPr="00006A6C">
        <w:t xml:space="preserve"> z dnia 5 kwietnia </w:t>
      </w:r>
      <w:r>
        <w:br/>
      </w:r>
      <w:r w:rsidRPr="00006A6C">
        <w:t>2011 r.</w:t>
      </w:r>
      <w:r>
        <w:t xml:space="preserve">, </w:t>
      </w:r>
      <w:r w:rsidRPr="00006A6C">
        <w:t>z dnia 4 października 2011 r.</w:t>
      </w:r>
      <w:r>
        <w:t>, z dnia 3 marca 2014 r.,</w:t>
      </w:r>
      <w:r w:rsidRPr="00AF297F">
        <w:t xml:space="preserve"> </w:t>
      </w:r>
      <w:r>
        <w:t xml:space="preserve">z dnia 26 maja 2014 r., z dnia 30 maja 2014 r., z dnia 2 czerwca 2014 r. oraz z dnia </w:t>
      </w:r>
      <w:r>
        <w:br/>
        <w:t xml:space="preserve">18 czerwca 2014 r., </w:t>
      </w:r>
      <w:r w:rsidRPr="00006A6C">
        <w:t xml:space="preserve"> (</w:t>
      </w:r>
      <w:r>
        <w:t>tj. Oferta SOR</w:t>
      </w:r>
      <w:r w:rsidRPr="00006A6C">
        <w:t>)</w:t>
      </w:r>
      <w:r>
        <w:t>;</w:t>
      </w:r>
    </w:p>
    <w:p w:rsidR="00203DFD" w:rsidRPr="004B36D0" w:rsidRDefault="00203DFD" w:rsidP="003565CD">
      <w:pPr>
        <w:numPr>
          <w:ilvl w:val="0"/>
          <w:numId w:val="12"/>
        </w:numPr>
        <w:spacing w:after="120"/>
        <w:jc w:val="both"/>
      </w:pPr>
      <w:r>
        <w:t xml:space="preserve">stanowiska Prezesa UKE </w:t>
      </w:r>
      <w:r>
        <w:rPr>
          <w:bCs/>
        </w:rPr>
        <w:t>z dnia 13 czerwca 2011 r. dotyczącego</w:t>
      </w:r>
      <w:r w:rsidRPr="004B36D0">
        <w:rPr>
          <w:bCs/>
        </w:rPr>
        <w:t xml:space="preserve"> implementacji Oferty SOR</w:t>
      </w:r>
      <w:r>
        <w:rPr>
          <w:bCs/>
        </w:rPr>
        <w:t>.</w:t>
      </w:r>
    </w:p>
    <w:p w:rsidR="00203DFD" w:rsidRDefault="00203DFD" w:rsidP="000D3148">
      <w:pPr>
        <w:spacing w:before="120"/>
        <w:jc w:val="both"/>
      </w:pPr>
      <w:r>
        <w:t>Jednocześnie Prezes UKE poinformował strony o przysługującym im prawie</w:t>
      </w:r>
      <w:r>
        <w:br/>
        <w:t>do zapoznania się z materiałami zebranymi w sprawie, oraz prawie</w:t>
      </w:r>
      <w:r>
        <w:br/>
        <w:t xml:space="preserve">do wypowiedzenia </w:t>
      </w:r>
      <w:r w:rsidRPr="0072705B">
        <w:t>się co do zebranych dowodów i materiałów ora</w:t>
      </w:r>
      <w:r>
        <w:t>z zgłoszonych żądań.</w:t>
      </w:r>
    </w:p>
    <w:p w:rsidR="00203DFD" w:rsidRDefault="00203DFD" w:rsidP="000E0B99">
      <w:pPr>
        <w:spacing w:before="120" w:after="120"/>
        <w:jc w:val="both"/>
        <w:rPr>
          <w:b/>
        </w:rPr>
      </w:pPr>
      <w:r>
        <w:rPr>
          <w:b/>
        </w:rPr>
        <w:t>Biorąc powyższe pod uwagę Prezes UKE zważył, co następuje.</w:t>
      </w:r>
    </w:p>
    <w:p w:rsidR="00203DFD" w:rsidRDefault="00203DFD" w:rsidP="007F2AFA">
      <w:pPr>
        <w:spacing w:before="120" w:after="120"/>
        <w:jc w:val="both"/>
      </w:pPr>
      <w:r w:rsidRPr="004F21A4">
        <w:t xml:space="preserve">Stosownie do art. 206 ust. 1 Pt </w:t>
      </w:r>
      <w:r>
        <w:t>p</w:t>
      </w:r>
      <w:r w:rsidRPr="004F21A4">
        <w:t xml:space="preserve">ostępowanie przed Prezesem UKE toczy </w:t>
      </w:r>
      <w:r>
        <w:br/>
      </w:r>
      <w:r w:rsidRPr="004F21A4">
        <w:t xml:space="preserve">się na podstawie przepisów </w:t>
      </w:r>
      <w:r>
        <w:t>kpa</w:t>
      </w:r>
      <w:r w:rsidRPr="004F21A4">
        <w:t xml:space="preserve"> ze zmianami wynikają</w:t>
      </w:r>
      <w:r>
        <w:t>cymi z Pt</w:t>
      </w:r>
      <w:r w:rsidRPr="004F21A4">
        <w:t xml:space="preserve"> oraz ustawy z dnia </w:t>
      </w:r>
      <w:r>
        <w:br/>
      </w:r>
      <w:r w:rsidRPr="004F21A4">
        <w:t>7 maja 2010 r. o wspieraniu rozwoju usług i sieci telekomunikacyjnych</w:t>
      </w:r>
      <w:r>
        <w:br/>
        <w:t>(Dz.U. Nr 106, poz. 675</w:t>
      </w:r>
      <w:r w:rsidRPr="00A616EF">
        <w:t xml:space="preserve"> </w:t>
      </w:r>
      <w:r w:rsidRPr="006F5375">
        <w:t>z późn. zm.)</w:t>
      </w:r>
      <w:r>
        <w:t>.</w:t>
      </w:r>
      <w:r w:rsidRPr="003D045A">
        <w:t xml:space="preserve"> </w:t>
      </w:r>
    </w:p>
    <w:p w:rsidR="00203DFD" w:rsidRDefault="00203DFD" w:rsidP="007F2AFA">
      <w:pPr>
        <w:spacing w:before="120" w:after="120"/>
        <w:jc w:val="both"/>
      </w:pPr>
      <w:r>
        <w:t xml:space="preserve">Na wstępie Prezes UKE zaznacza, że w toczącym się przed Prezesem UKE postępowaniu decydujące znaczenie ma stan prawny i faktyczny na dzień wydania niniejszej decyzji, co jest poglądem powszechnie przyjętym w doktrynie </w:t>
      </w:r>
      <w:r>
        <w:br/>
        <w:t xml:space="preserve">i orzecznictwie (por. M. Jaśkowska, A. Wróbel, Kodeks postępowania administracyjnego. Komentarz, Zakamycze, 2005, wyd. II: </w:t>
      </w:r>
      <w:r>
        <w:rPr>
          <w:i/>
        </w:rPr>
        <w:t>„[…] organ administracji publicznej ocenia stan faktyczny sprawy według chwili wydania decyzji administracyjnej. Reguła ta odnosi się także do oceny stanu prawnego sprawy,</w:t>
      </w:r>
      <w:r>
        <w:rPr>
          <w:i/>
        </w:rPr>
        <w:br/>
        <w:t xml:space="preserve"> co oznacza, że organ administracji publicznej wydaje decyzję administracyjną </w:t>
      </w:r>
      <w:r>
        <w:rPr>
          <w:i/>
        </w:rPr>
        <w:br/>
      </w:r>
      <w:r>
        <w:rPr>
          <w:i/>
        </w:rPr>
        <w:lastRenderedPageBreak/>
        <w:t>na podstawie przepisów prawa obowiązujących w chwili jej wydania; wyrok Naczelnego Sądu Administracyjnego z dnia 4 października 2000 r., sygn. V SA 283/00,</w:t>
      </w:r>
      <w:r w:rsidRPr="00920696">
        <w:rPr>
          <w:i/>
        </w:rPr>
        <w:t xml:space="preserve"> </w:t>
      </w:r>
      <w:r>
        <w:rPr>
          <w:i/>
        </w:rPr>
        <w:t>Lex nr 50110, w którym przyjęto, że przepisy kodeksu postępowania administracyjnego nie wiążą z datą wszczęcia postępowania podstawy faktycznej</w:t>
      </w:r>
      <w:r>
        <w:rPr>
          <w:i/>
        </w:rPr>
        <w:br/>
        <w:t>i prawnej rozpoznania sprawy. Miarodajny w tym zakresie jest stan obowiązujący w dacie wydania decyzji”)</w:t>
      </w:r>
      <w:r>
        <w:t>.</w:t>
      </w:r>
    </w:p>
    <w:p w:rsidR="00203DFD" w:rsidRPr="00350B90" w:rsidRDefault="00203DFD" w:rsidP="00C95129">
      <w:pPr>
        <w:autoSpaceDE w:val="0"/>
        <w:spacing w:before="120" w:after="120"/>
        <w:jc w:val="both"/>
      </w:pPr>
      <w:r w:rsidRPr="00701382">
        <w:t xml:space="preserve">Biorąc pod uwagę opisaną wyżej konieczność uwzględnienia stanu faktycznego </w:t>
      </w:r>
      <w:r w:rsidRPr="00C15682">
        <w:br/>
      </w:r>
      <w:r w:rsidRPr="00701382">
        <w:t>i prawnego aktualnego na dzień wydania decyzji na wstępie należy odnieść się</w:t>
      </w:r>
      <w:r w:rsidRPr="00C15682">
        <w:br/>
      </w:r>
      <w:r w:rsidRPr="00701382">
        <w:t>do zmiany firmy OPL oraz przeanalizować ewentualny wpływ tej zmiany</w:t>
      </w:r>
      <w:r w:rsidRPr="00C15682">
        <w:br/>
      </w:r>
      <w:r w:rsidRPr="00701382">
        <w:t>na podmiot będący st</w:t>
      </w:r>
      <w:r>
        <w:t xml:space="preserve">roną niniejszego postępowania. </w:t>
      </w:r>
      <w:r w:rsidRPr="00701382">
        <w:t xml:space="preserve">W dniu 31 grudnia </w:t>
      </w:r>
      <w:r>
        <w:br/>
      </w:r>
      <w:r w:rsidRPr="00701382">
        <w:t>2013 r.</w:t>
      </w:r>
      <w:r>
        <w:t xml:space="preserve"> </w:t>
      </w:r>
      <w:r w:rsidRPr="00701382">
        <w:t>w Krajowym Rejestrze Sądowym pod numerem KRS: 0000010681 (sygn. akt: Sąd Rejonowy dla m. st. Warszawy XII Wydział Gospodarczy Krajowego Rejestru Sądowego: WA.XII NS-Rej.KRS/66229/13/931) dokonano</w:t>
      </w:r>
      <w:r>
        <w:t xml:space="preserve"> bowiem</w:t>
      </w:r>
      <w:r w:rsidRPr="00701382">
        <w:t xml:space="preserve"> wpisu, z którego wynika m.in., że w statucie OPL dokonano zmiany firmy </w:t>
      </w:r>
      <w:r w:rsidR="004A7C66">
        <w:br/>
      </w:r>
      <w:r w:rsidRPr="00701382">
        <w:t>z: Telekomunikacja Polska S.A. na: Orange Polska S.A. oraz że zmianie uległa również siedziba i adres OPL</w:t>
      </w:r>
      <w:r>
        <w:t xml:space="preserve"> </w:t>
      </w:r>
      <w:r w:rsidRPr="00701382">
        <w:t xml:space="preserve">z: Warszawa (kod pocztowy: 00-105), ul. Twarda 18 na: Warszawa (kod pocztowy: 02-326), Al. Jerozolimskie 160. W związku z opisaną okolicznością Prezes UKE stwierdził, że przedmiotowa zmiana nastąpiła z dniem </w:t>
      </w:r>
      <w:r>
        <w:br/>
      </w:r>
      <w:r w:rsidRPr="00701382">
        <w:t>31 grudnia 2013 r., tj. z chwilą wpisu do rejestru przedsiębiorców Krajowego Rejestru Sądowego. W świetle</w:t>
      </w:r>
      <w:r>
        <w:t xml:space="preserve"> </w:t>
      </w:r>
      <w:r w:rsidRPr="00701382">
        <w:t>art. 12 ksh z chwilą wpisu do rejestru spółka akcyjna uzyskuje osobowość prawną</w:t>
      </w:r>
      <w:r>
        <w:t xml:space="preserve"> </w:t>
      </w:r>
      <w:r w:rsidRPr="00701382">
        <w:t>i staje się podmiotem praw i obowiązków aż do czasu wykreślenia spółki z rejestru</w:t>
      </w:r>
      <w:r>
        <w:t xml:space="preserve"> </w:t>
      </w:r>
      <w:r w:rsidRPr="00701382">
        <w:t xml:space="preserve">w związku z jej likwidacją. Jednocześnie zgodnie </w:t>
      </w:r>
      <w:r>
        <w:br/>
      </w:r>
      <w:r w:rsidRPr="00701382">
        <w:t xml:space="preserve">z art. 321 § 1 ksh każda zmiana obligatoryjnych elementów statutu spółki akcyjnej podlega zgłoszeniu do sądu rejestrowego i jest wpisywana do rejestru, nie prowadzi natomiast do wykreślenia spółki z rejestru i jej likwidacji. W świetle powyższych okoliczności należy stwierdzić, iż sama zmiana firmy, pod którą funkcjonuje obecnie OPL oraz adresu siedziby tej spółki, nie doprowadziła do zmiany podmiotu, </w:t>
      </w:r>
      <w:r>
        <w:br/>
      </w:r>
      <w:r w:rsidRPr="00701382">
        <w:t>w stosunku do którego wszczęto i prowadzono niniejsze postępowanie.</w:t>
      </w:r>
    </w:p>
    <w:p w:rsidR="00203DFD" w:rsidRPr="00350B90" w:rsidRDefault="00203DFD" w:rsidP="00C95129">
      <w:pPr>
        <w:spacing w:before="120" w:after="120"/>
        <w:jc w:val="both"/>
      </w:pPr>
      <w:r w:rsidRPr="00701382">
        <w:t xml:space="preserve">Następnie należy wskazać na okoliczność </w:t>
      </w:r>
      <w:r>
        <w:t xml:space="preserve">zmiany Pt na mocy ustawy z dnia </w:t>
      </w:r>
      <w:r>
        <w:br/>
        <w:t xml:space="preserve">16 listopada 2012 r. o zmianie ustawy – Prawo telekomunikacyjne oraz niektórych innych ustaw (Dz. U. z 2012 r., poz. 1445), która weszła w życie w dniu 21 stycznia 2013 r., Prezes UKE, wydając niniejszą decyzję, wziął pod uwagę aktualną treść przepisów Pt w zakresie art. 28 ust. 1 Pt oraz art. 15 Pt, mających znaczenie </w:t>
      </w:r>
      <w:r>
        <w:br/>
        <w:t>w niniejszym postępowaniu</w:t>
      </w:r>
      <w:r w:rsidRPr="00701382">
        <w:t>.</w:t>
      </w:r>
    </w:p>
    <w:p w:rsidR="00203DFD" w:rsidRPr="00350B90" w:rsidRDefault="00203DFD" w:rsidP="00C95129">
      <w:pPr>
        <w:spacing w:before="120" w:after="120"/>
        <w:jc w:val="both"/>
      </w:pPr>
      <w:r>
        <w:t>Zgodnie z art. 27 ust. 2 Pt w</w:t>
      </w:r>
      <w:r w:rsidRPr="0002566D">
        <w:t xml:space="preserve"> przypadku niepodjęcia negocjacji o zawarcie umowy </w:t>
      </w:r>
      <w:r>
        <w:br/>
      </w:r>
      <w:r w:rsidRPr="0002566D">
        <w:t xml:space="preserve">o dostępie telekomunikacyjnym w zakresie połączenia sieci, odmowy połączenia sieci telekomunikacyjnych przez podmiot do tego obowiązany lub niezawarcia umowy o dostępie telekomunikacyjnym w zakresie połączenia sieci w terminie, </w:t>
      </w:r>
      <w:r>
        <w:br/>
      </w:r>
      <w:r w:rsidRPr="0002566D">
        <w:t xml:space="preserve">o którym mowa w ust. 1, lub niezawarcia umowy w terminie 90 dni licząc od dnia wystąpienia z wnioskiem o zawarcie umowy o dostępie telekomunikacyjnym, każda ze stron może zwrócić się do Prezesa UKE z wnioskiem o wydanie decyzji </w:t>
      </w:r>
      <w:r>
        <w:br/>
      </w:r>
      <w:r w:rsidRPr="0002566D">
        <w:t>w sprawie rozstrzygnięcia kwestii spornych lub określenia warunków współpracy.</w:t>
      </w:r>
      <w:r>
        <w:t xml:space="preserve"> Wobec faktu, iż Wniosek obejmował swym zakresem również postanowienia dotyczące również innych form dostępu telekomunikacyjnego niż połączenie sieci, należy wskazać, że z</w:t>
      </w:r>
      <w:r w:rsidRPr="00701382">
        <w:t xml:space="preserve">godnie z art. 27 ust. 2b Pt, w przypadku niepodjęcia negocjacji przez podmiot obowiązany do zapewnienia dostępu telekomunikacyjnego, odmowy udzielenia dostępu telekomunikacyjnego przez podmiot do tego obowiązany </w:t>
      </w:r>
      <w:r>
        <w:br/>
      </w:r>
      <w:r w:rsidRPr="00701382">
        <w:t xml:space="preserve">lub niezawarcia umowy o dostępie telekomunikacyjnym w terminie określonym </w:t>
      </w:r>
      <w:r>
        <w:br/>
      </w:r>
      <w:r w:rsidRPr="00701382">
        <w:t xml:space="preserve">w postanowieniu Prezesa UKE o skróceniu terminu negocjacji lub niezawarcia </w:t>
      </w:r>
      <w:r w:rsidRPr="00701382">
        <w:lastRenderedPageBreak/>
        <w:t>umowy o dostępie telekomunikacyjnym w terminie 90 dni licząc od dnia wystąpienia z wnioskiem o zawarcie umowy o dostępie telekomunikacyjnym, każda ze stron może zwrócić się do Prezesa UKE z wnioskiem o wydanie decyzji w</w:t>
      </w:r>
      <w:r w:rsidRPr="00C15682">
        <w:t> </w:t>
      </w:r>
      <w:r w:rsidRPr="00701382">
        <w:t>sprawie rozstrzygnięcia kwestii spornych lub określenia warunków współpracy. Jednocześnie w doktrynie wskazuje się, iż: „</w:t>
      </w:r>
      <w:r w:rsidRPr="00701382">
        <w:rPr>
          <w:i/>
        </w:rPr>
        <w:t xml:space="preserve">Upływ terminu stanowi wystarczający warunek złożenia wniosku. </w:t>
      </w:r>
      <w:r>
        <w:rPr>
          <w:i/>
        </w:rPr>
        <w:t xml:space="preserve">(…) </w:t>
      </w:r>
      <w:r w:rsidRPr="00701382">
        <w:rPr>
          <w:i/>
        </w:rPr>
        <w:t>Dla dopuszczalności złożenia wniosku nie ma znaczenia stan zaawansowania negocjacji. Wystarcza, że w ustalonym terminie nie zawarto umowy</w:t>
      </w:r>
      <w:r>
        <w:rPr>
          <w:i/>
        </w:rPr>
        <w:t>.</w:t>
      </w:r>
      <w:r w:rsidRPr="00C649E2">
        <w:t>”</w:t>
      </w:r>
      <w:r>
        <w:rPr>
          <w:rStyle w:val="Odwoanieprzypisudolnego"/>
        </w:rPr>
        <w:footnoteReference w:id="4"/>
      </w:r>
    </w:p>
    <w:p w:rsidR="00203DFD" w:rsidRDefault="00203DFD" w:rsidP="00A616EF">
      <w:pPr>
        <w:pStyle w:val="Tretekstu"/>
        <w:spacing w:before="120" w:line="240" w:lineRule="auto"/>
        <w:rPr>
          <w:rFonts w:ascii="Times New Roman" w:hAnsi="Times New Roman" w:cs="Times New Roman"/>
          <w:sz w:val="24"/>
        </w:rPr>
      </w:pPr>
      <w:r w:rsidRPr="00A616EF">
        <w:rPr>
          <w:rFonts w:ascii="Times New Roman" w:hAnsi="Times New Roman" w:cs="Times New Roman"/>
          <w:sz w:val="24"/>
        </w:rPr>
        <w:t xml:space="preserve">W </w:t>
      </w:r>
      <w:r>
        <w:rPr>
          <w:rFonts w:ascii="Times New Roman" w:hAnsi="Times New Roman" w:cs="Times New Roman"/>
          <w:sz w:val="24"/>
        </w:rPr>
        <w:t>niniejszej</w:t>
      </w:r>
      <w:r w:rsidRPr="00A616EF">
        <w:rPr>
          <w:rFonts w:ascii="Times New Roman" w:hAnsi="Times New Roman" w:cs="Times New Roman"/>
          <w:sz w:val="24"/>
        </w:rPr>
        <w:t xml:space="preserve"> sprawie negocjacje</w:t>
      </w:r>
      <w:r>
        <w:rPr>
          <w:rFonts w:ascii="Times New Roman" w:hAnsi="Times New Roman" w:cs="Times New Roman"/>
          <w:sz w:val="24"/>
        </w:rPr>
        <w:t xml:space="preserve"> w zakresie dostępu telekomunikacyjnego</w:t>
      </w:r>
      <w:r w:rsidRPr="00A616EF">
        <w:rPr>
          <w:rFonts w:ascii="Times New Roman" w:hAnsi="Times New Roman" w:cs="Times New Roman"/>
          <w:sz w:val="24"/>
        </w:rPr>
        <w:t xml:space="preserve"> rozpoczęła </w:t>
      </w:r>
      <w:r w:rsidRPr="00A616EF">
        <w:rPr>
          <w:rFonts w:ascii="Times New Roman" w:hAnsi="Times New Roman" w:cs="Times New Roman"/>
          <w:sz w:val="24"/>
        </w:rPr>
        <w:br/>
      </w:r>
      <w:r>
        <w:rPr>
          <w:rFonts w:ascii="Times New Roman" w:hAnsi="Times New Roman" w:cs="Times New Roman"/>
          <w:sz w:val="24"/>
        </w:rPr>
        <w:t>OPL</w:t>
      </w:r>
      <w:r w:rsidRPr="00A616EF">
        <w:rPr>
          <w:rFonts w:ascii="Times New Roman" w:hAnsi="Times New Roman" w:cs="Times New Roman"/>
          <w:sz w:val="24"/>
        </w:rPr>
        <w:t>,</w:t>
      </w:r>
      <w:r>
        <w:rPr>
          <w:rFonts w:ascii="Times New Roman" w:hAnsi="Times New Roman" w:cs="Times New Roman"/>
          <w:sz w:val="24"/>
        </w:rPr>
        <w:t xml:space="preserve"> występując z wnioskiem z dnia 23 marca 2012 r. do Netii. Do chwili złożenia </w:t>
      </w:r>
      <w:r w:rsidRPr="00A616EF">
        <w:rPr>
          <w:rFonts w:ascii="Times New Roman" w:hAnsi="Times New Roman" w:cs="Times New Roman"/>
          <w:sz w:val="24"/>
        </w:rPr>
        <w:t>do Prezesa UKE Wniosku</w:t>
      </w:r>
      <w:r>
        <w:rPr>
          <w:rFonts w:ascii="Times New Roman" w:hAnsi="Times New Roman" w:cs="Times New Roman"/>
          <w:sz w:val="24"/>
        </w:rPr>
        <w:t>,</w:t>
      </w:r>
      <w:r w:rsidRPr="00A616EF">
        <w:rPr>
          <w:rFonts w:ascii="Times New Roman" w:hAnsi="Times New Roman" w:cs="Times New Roman"/>
          <w:sz w:val="24"/>
        </w:rPr>
        <w:t xml:space="preserve"> negocjacje nie zostały ukończone. </w:t>
      </w:r>
      <w:r w:rsidRPr="00A616EF">
        <w:rPr>
          <w:rFonts w:ascii="Times New Roman" w:hAnsi="Times New Roman" w:cs="Times New Roman"/>
          <w:color w:val="000000"/>
          <w:sz w:val="24"/>
        </w:rPr>
        <w:t xml:space="preserve">W związku </w:t>
      </w:r>
      <w:r w:rsidRPr="00A616EF">
        <w:rPr>
          <w:rFonts w:ascii="Times New Roman" w:hAnsi="Times New Roman" w:cs="Times New Roman"/>
          <w:color w:val="000000"/>
          <w:sz w:val="24"/>
        </w:rPr>
        <w:br/>
        <w:t>z bezskutecznym upływem terminu 90 dni,</w:t>
      </w:r>
      <w:r>
        <w:rPr>
          <w:rFonts w:ascii="Times New Roman" w:hAnsi="Times New Roman" w:cs="Times New Roman"/>
          <w:color w:val="000000"/>
          <w:sz w:val="24"/>
        </w:rPr>
        <w:t xml:space="preserve"> wskazanego w </w:t>
      </w:r>
      <w:r w:rsidRPr="00C95129">
        <w:rPr>
          <w:rFonts w:ascii="Times New Roman" w:hAnsi="Times New Roman" w:cs="Times New Roman"/>
          <w:color w:val="000000"/>
          <w:sz w:val="24"/>
        </w:rPr>
        <w:t xml:space="preserve">art. 27 ust. 2 Pt </w:t>
      </w:r>
      <w:r w:rsidR="00C3625D">
        <w:rPr>
          <w:rFonts w:ascii="Times New Roman" w:hAnsi="Times New Roman" w:cs="Times New Roman"/>
          <w:color w:val="000000"/>
          <w:sz w:val="24"/>
        </w:rPr>
        <w:br/>
      </w:r>
      <w:r>
        <w:rPr>
          <w:rFonts w:ascii="Times New Roman" w:hAnsi="Times New Roman" w:cs="Times New Roman"/>
          <w:color w:val="000000"/>
          <w:sz w:val="24"/>
        </w:rPr>
        <w:t>i art. 27 ust. 2b Pt, pismem z dnia 4 grudnia</w:t>
      </w:r>
      <w:r w:rsidRPr="00A616EF">
        <w:rPr>
          <w:rFonts w:ascii="Times New Roman" w:hAnsi="Times New Roman" w:cs="Times New Roman"/>
          <w:color w:val="000000"/>
          <w:sz w:val="24"/>
        </w:rPr>
        <w:t xml:space="preserve"> 2012 r. </w:t>
      </w:r>
      <w:r>
        <w:rPr>
          <w:rFonts w:ascii="Times New Roman" w:hAnsi="Times New Roman" w:cs="Times New Roman"/>
          <w:color w:val="000000"/>
          <w:sz w:val="24"/>
        </w:rPr>
        <w:t>OPL</w:t>
      </w:r>
      <w:r w:rsidRPr="00A616EF">
        <w:rPr>
          <w:rFonts w:ascii="Times New Roman" w:hAnsi="Times New Roman" w:cs="Times New Roman"/>
          <w:color w:val="000000"/>
          <w:sz w:val="24"/>
        </w:rPr>
        <w:t xml:space="preserve"> wystąpiła d</w:t>
      </w:r>
      <w:r>
        <w:rPr>
          <w:rFonts w:ascii="Times New Roman" w:hAnsi="Times New Roman" w:cs="Times New Roman"/>
          <w:color w:val="000000"/>
          <w:sz w:val="24"/>
        </w:rPr>
        <w:t xml:space="preserve">o Prezesa UKE </w:t>
      </w:r>
      <w:r>
        <w:rPr>
          <w:rFonts w:ascii="Times New Roman" w:hAnsi="Times New Roman" w:cs="Times New Roman"/>
          <w:color w:val="000000"/>
          <w:sz w:val="24"/>
        </w:rPr>
        <w:br/>
        <w:t xml:space="preserve">o wydanie decyzji o dostępie telekomunikacyjnym </w:t>
      </w:r>
      <w:r w:rsidRPr="00A616EF">
        <w:rPr>
          <w:rFonts w:ascii="Times New Roman" w:hAnsi="Times New Roman" w:cs="Times New Roman"/>
          <w:color w:val="000000"/>
          <w:sz w:val="24"/>
        </w:rPr>
        <w:t>w przedmiotowej sprawie. Mając powyższ</w:t>
      </w:r>
      <w:r>
        <w:rPr>
          <w:rFonts w:ascii="Times New Roman" w:hAnsi="Times New Roman" w:cs="Times New Roman"/>
          <w:color w:val="000000"/>
          <w:sz w:val="24"/>
        </w:rPr>
        <w:t xml:space="preserve">e na uwadze, Prezes UKE uznał, </w:t>
      </w:r>
      <w:r w:rsidRPr="00A616EF">
        <w:rPr>
          <w:rFonts w:ascii="Times New Roman" w:hAnsi="Times New Roman" w:cs="Times New Roman"/>
          <w:color w:val="000000"/>
          <w:sz w:val="24"/>
        </w:rPr>
        <w:t xml:space="preserve">iż w związku z upływem ponad </w:t>
      </w:r>
      <w:r>
        <w:rPr>
          <w:rFonts w:ascii="Times New Roman" w:hAnsi="Times New Roman" w:cs="Times New Roman"/>
          <w:color w:val="000000"/>
          <w:sz w:val="24"/>
        </w:rPr>
        <w:t>90 dni</w:t>
      </w:r>
      <w:r>
        <w:rPr>
          <w:rFonts w:ascii="Times New Roman" w:hAnsi="Times New Roman" w:cs="Times New Roman"/>
          <w:color w:val="000000"/>
          <w:sz w:val="24"/>
        </w:rPr>
        <w:br/>
      </w:r>
      <w:r w:rsidRPr="00A616EF">
        <w:rPr>
          <w:rFonts w:ascii="Times New Roman" w:hAnsi="Times New Roman" w:cs="Times New Roman"/>
          <w:color w:val="000000"/>
          <w:sz w:val="24"/>
        </w:rPr>
        <w:t xml:space="preserve">od rozpoczęcia przez strony negocjacji oraz niezawarciem w toku negocjacji umowy w przedmiotowym zakresie, </w:t>
      </w:r>
      <w:r>
        <w:rPr>
          <w:rFonts w:ascii="Times New Roman" w:hAnsi="Times New Roman" w:cs="Times New Roman"/>
          <w:color w:val="000000"/>
          <w:sz w:val="24"/>
        </w:rPr>
        <w:t>OPL</w:t>
      </w:r>
      <w:r w:rsidRPr="00A616EF">
        <w:rPr>
          <w:rFonts w:ascii="Times New Roman" w:hAnsi="Times New Roman" w:cs="Times New Roman"/>
          <w:color w:val="000000"/>
          <w:sz w:val="24"/>
        </w:rPr>
        <w:t xml:space="preserve"> uprawniona była do złożenia wniosku o wydanie decyzji </w:t>
      </w:r>
      <w:r>
        <w:rPr>
          <w:rFonts w:ascii="Times New Roman" w:hAnsi="Times New Roman" w:cs="Times New Roman"/>
          <w:color w:val="000000"/>
          <w:sz w:val="24"/>
        </w:rPr>
        <w:t xml:space="preserve">w zakresie dostępu telekomunikacyjnego w oparciu o Ofertę SOR, która zastąpi </w:t>
      </w:r>
      <w:r w:rsidRPr="003E7ED7">
        <w:rPr>
          <w:rFonts w:ascii="Times New Roman" w:hAnsi="Times New Roman" w:cs="Times New Roman"/>
          <w:i/>
          <w:color w:val="000000"/>
          <w:sz w:val="24"/>
        </w:rPr>
        <w:t>„jednolitym tekstem umow</w:t>
      </w:r>
      <w:r>
        <w:rPr>
          <w:rFonts w:ascii="Times New Roman" w:hAnsi="Times New Roman" w:cs="Times New Roman"/>
          <w:i/>
          <w:color w:val="000000"/>
          <w:sz w:val="24"/>
        </w:rPr>
        <w:t>y, zgodnym z Ofertą SOR, umowy,</w:t>
      </w:r>
      <w:r w:rsidRPr="003E7ED7">
        <w:rPr>
          <w:rFonts w:ascii="Times New Roman" w:hAnsi="Times New Roman" w:cs="Times New Roman"/>
          <w:i/>
          <w:color w:val="000000"/>
          <w:sz w:val="24"/>
        </w:rPr>
        <w:t xml:space="preserve"> porozumienia</w:t>
      </w:r>
      <w:r>
        <w:rPr>
          <w:rFonts w:ascii="Times New Roman" w:hAnsi="Times New Roman" w:cs="Times New Roman"/>
          <w:i/>
          <w:color w:val="000000"/>
          <w:sz w:val="24"/>
        </w:rPr>
        <w:t xml:space="preserve"> </w:t>
      </w:r>
      <w:r>
        <w:rPr>
          <w:rFonts w:ascii="Times New Roman" w:hAnsi="Times New Roman" w:cs="Times New Roman"/>
          <w:i/>
          <w:color w:val="000000"/>
          <w:sz w:val="24"/>
        </w:rPr>
        <w:br/>
        <w:t>i decyzje</w:t>
      </w:r>
      <w:r w:rsidRPr="003E7ED7">
        <w:rPr>
          <w:rFonts w:ascii="Times New Roman" w:hAnsi="Times New Roman" w:cs="Times New Roman"/>
          <w:i/>
          <w:color w:val="000000"/>
          <w:sz w:val="24"/>
        </w:rPr>
        <w:t xml:space="preserve">  zawarte między”</w:t>
      </w:r>
      <w:r>
        <w:rPr>
          <w:rFonts w:ascii="Times New Roman" w:hAnsi="Times New Roman" w:cs="Times New Roman"/>
          <w:color w:val="000000"/>
          <w:sz w:val="24"/>
        </w:rPr>
        <w:t xml:space="preserve"> OPL i Netią,, na podstawie </w:t>
      </w:r>
      <w:r w:rsidRPr="00A616EF">
        <w:rPr>
          <w:rFonts w:ascii="Times New Roman" w:hAnsi="Times New Roman" w:cs="Times New Roman"/>
          <w:color w:val="000000"/>
          <w:sz w:val="24"/>
        </w:rPr>
        <w:t>art. 27 ust. 2 Pt.</w:t>
      </w:r>
      <w:r>
        <w:rPr>
          <w:rFonts w:ascii="Times New Roman" w:hAnsi="Times New Roman" w:cs="Times New Roman"/>
          <w:sz w:val="24"/>
        </w:rPr>
        <w:t xml:space="preserve"> Zgodnie </w:t>
      </w:r>
      <w:r w:rsidR="00D43900">
        <w:rPr>
          <w:rFonts w:ascii="Times New Roman" w:hAnsi="Times New Roman" w:cs="Times New Roman"/>
          <w:sz w:val="24"/>
        </w:rPr>
        <w:br/>
      </w:r>
      <w:r>
        <w:rPr>
          <w:rFonts w:ascii="Times New Roman" w:hAnsi="Times New Roman" w:cs="Times New Roman"/>
          <w:sz w:val="24"/>
        </w:rPr>
        <w:t xml:space="preserve">z art. 30 </w:t>
      </w:r>
      <w:r w:rsidRPr="00A616EF">
        <w:rPr>
          <w:rFonts w:ascii="Times New Roman" w:hAnsi="Times New Roman" w:cs="Times New Roman"/>
          <w:sz w:val="24"/>
        </w:rPr>
        <w:t>ust. 1 Pt, „</w:t>
      </w:r>
      <w:r w:rsidRPr="00A616EF">
        <w:rPr>
          <w:rFonts w:ascii="Times New Roman" w:hAnsi="Times New Roman" w:cs="Times New Roman"/>
          <w:i/>
          <w:sz w:val="24"/>
        </w:rPr>
        <w:t>Do zmian umów o dostępie telekomunikacyjnym stosuje się odpowiednio przepisy dotyczące zawierania tych umów</w:t>
      </w:r>
      <w:r w:rsidRPr="00A616EF">
        <w:rPr>
          <w:rFonts w:ascii="Times New Roman" w:hAnsi="Times New Roman" w:cs="Times New Roman"/>
          <w:sz w:val="24"/>
        </w:rPr>
        <w:t>”.</w:t>
      </w:r>
    </w:p>
    <w:p w:rsidR="00203DFD" w:rsidRDefault="00203DFD" w:rsidP="00A17F2E">
      <w:pPr>
        <w:spacing w:before="120" w:after="120"/>
        <w:jc w:val="both"/>
        <w:rPr>
          <w:color w:val="000000"/>
        </w:rPr>
      </w:pPr>
      <w:r>
        <w:rPr>
          <w:color w:val="000000"/>
        </w:rPr>
        <w:t xml:space="preserve">Należy wyjaśnić, że Prezes UKE w przedmiotowym postępowaniu nie rozpatruje zasadności, ani sposobu prowadzenia przez strony negocjacji, dlatego też zarzut Netii </w:t>
      </w:r>
      <w:r>
        <w:t xml:space="preserve">odnoszący się do prowadzenia przez OPL negocjacji w złej wierze </w:t>
      </w:r>
      <w:r w:rsidR="009413D7">
        <w:br/>
      </w:r>
      <w:r>
        <w:t xml:space="preserve">(nie poinformowanie Netii o złożeniu Wniosku do Prezesa UKE pomimo niezakończonych negocjacji oraz nie podjęcie przed wystąpieniem z Wnioskiem próby zorganizowania spotkań zarządów OPL i Netii) </w:t>
      </w:r>
      <w:r>
        <w:rPr>
          <w:color w:val="000000"/>
        </w:rPr>
        <w:t>podniesiony przez Netię</w:t>
      </w:r>
      <w:r>
        <w:br/>
      </w:r>
      <w:r>
        <w:rPr>
          <w:color w:val="000000"/>
        </w:rPr>
        <w:t>w piśmie z dnia 18 stycznia 2013 r. jest niezasadny.</w:t>
      </w:r>
    </w:p>
    <w:p w:rsidR="00203DFD" w:rsidRDefault="00203DFD" w:rsidP="00A17F2E">
      <w:pPr>
        <w:spacing w:before="120" w:after="120"/>
        <w:jc w:val="both"/>
        <w:rPr>
          <w:color w:val="000000"/>
        </w:rPr>
      </w:pPr>
      <w:r>
        <w:rPr>
          <w:color w:val="000000"/>
        </w:rPr>
        <w:t>W zakresie zgłoszonych przez Netię wątpliwości, co do tożsamości treści negocjowanego projektu umowy z wnioskowanym projektem umowy Prezes UKE</w:t>
      </w:r>
      <w:r>
        <w:rPr>
          <w:color w:val="000000"/>
        </w:rPr>
        <w:br/>
        <w:t>w odrębnym postanowieniu z dnia 19 kwietnia 2013 r. odmówił przeprowadzenia dowodu zmierzającego do wyjaśnienia tej kwestii stwierdzając, iż taka okoliczność nie ma znaczenia dla rozstrzygnięcia przedmiotowej sprawy, co zostało wyczerpująco omówione w uzasadnieniu postanowienia.</w:t>
      </w:r>
    </w:p>
    <w:p w:rsidR="00203DFD" w:rsidRDefault="00203DFD" w:rsidP="00A17F2E">
      <w:pPr>
        <w:spacing w:before="120" w:after="120"/>
        <w:jc w:val="both"/>
        <w:rPr>
          <w:color w:val="000000"/>
        </w:rPr>
      </w:pPr>
      <w:r>
        <w:rPr>
          <w:color w:val="000000"/>
        </w:rPr>
        <w:t>Odnosząc się do kwestii nie przedstawienia przez OPL w toku negocjacji załączników do projektu umowy odnoszących się do usług świadczonych przez Netię, należy wskazać, że załączniki te były ściśle związane z przedmiotem tego projektu umowy. Prezes UKE stwierdził, że zakres negocjacji obejmował projekt umowy regulujący całokształt współpracy stron w zakresie usług wskazanych w tym projekcie, zaś załączniki odnosiły się do tychże usług. Dlatego też nie można stwierdzić, że treść załączników wykracza poza zakres przedmiotowy objętym negocjowanym projektem umowy.</w:t>
      </w:r>
    </w:p>
    <w:p w:rsidR="00203DFD" w:rsidRDefault="00203DFD" w:rsidP="00A17F2E">
      <w:pPr>
        <w:spacing w:before="120" w:after="120"/>
        <w:jc w:val="both"/>
        <w:rPr>
          <w:color w:val="000000"/>
        </w:rPr>
      </w:pPr>
      <w:r>
        <w:rPr>
          <w:color w:val="000000"/>
        </w:rPr>
        <w:t xml:space="preserve">Odnosząc się do kwestii pominięcia przez OPL we Wniosku uwag i stanowisk zgłoszonych przez Netię do projektu umowy w toku negocjacji, Prezes UKE wskazuje, że analiza Wniosku wykazała, że do Wniosku została załączona lista </w:t>
      </w:r>
      <w:r>
        <w:rPr>
          <w:color w:val="000000"/>
        </w:rPr>
        <w:lastRenderedPageBreak/>
        <w:t xml:space="preserve">zawierająca rozbieżności stanowisk stron co do kluczowych kwestii spornych. Wbrew twierdzeniom Netii, Prezes UKE stwierdził, że przepis art. 27 ust. 3 Pt </w:t>
      </w:r>
      <w:r w:rsidR="009413D7">
        <w:rPr>
          <w:color w:val="000000"/>
        </w:rPr>
        <w:br/>
      </w:r>
      <w:r>
        <w:rPr>
          <w:color w:val="000000"/>
        </w:rPr>
        <w:t xml:space="preserve">nie wymaga załączenia do wniosku projektu umowy, który zawierałby stanowiska stron dotyczące kwestii spornych zaznaczone bezpośrednio w tekście projektu umowy. Zdaniem Prezesa UKE dopuszczalne jest załączenie odrębnego dokumentu zawierającego te informacje. Ponadto zdaniem Prezesa UKE szczegółowa analiza wskazanych przez OPL kwestii spornych oraz stanowisk zgłoszonych przez Netię </w:t>
      </w:r>
      <w:r>
        <w:rPr>
          <w:color w:val="000000"/>
        </w:rPr>
        <w:br/>
        <w:t xml:space="preserve">w toku negocjacji pod kątem ich rzetelności i kompletności jest niezasadna. </w:t>
      </w:r>
      <w:r w:rsidR="009413D7">
        <w:rPr>
          <w:color w:val="000000"/>
        </w:rPr>
        <w:br/>
      </w:r>
      <w:r>
        <w:rPr>
          <w:color w:val="000000"/>
        </w:rPr>
        <w:t xml:space="preserve">Nie można bowiem oczekiwać od wnioskodawcy, szczegółowego przedstawienia stanowiska zgodnie z intencją drugiej strony, ponieważ taka intencja nie zawsze jest zakomunikowana w sposób jasny i zrozumiały. Niezależnie od powyższego należy wyjaśnić, że druga strona negocjacji może na każdym etapie postępowania przed Prezesem UKE zgłaszać kwestie, które uznaje za wymagające uregulowania </w:t>
      </w:r>
      <w:r w:rsidR="009413D7">
        <w:rPr>
          <w:color w:val="000000"/>
        </w:rPr>
        <w:br/>
      </w:r>
      <w:r>
        <w:rPr>
          <w:color w:val="000000"/>
        </w:rPr>
        <w:t xml:space="preserve">jak również przedstawiać, uzupełniać, a nawet modyfikować swoje stanowisko prezentowane w toku negocjacji. Mając na względzie powyższe, Prezes UKE stwierdził, że Wniosek czyni zadość wymogom, o których mowa w art. 27 ust. 3 Pt </w:t>
      </w:r>
      <w:r>
        <w:rPr>
          <w:color w:val="000000"/>
        </w:rPr>
        <w:br/>
        <w:t>i nie zawiera braków formalnych wskazanych przez Netię.</w:t>
      </w:r>
    </w:p>
    <w:p w:rsidR="00203DFD" w:rsidRPr="00FD1CF1" w:rsidRDefault="00203DFD" w:rsidP="00FD1CF1">
      <w:pPr>
        <w:pStyle w:val="Tekstpodstawowy3"/>
        <w:spacing w:before="120"/>
        <w:jc w:val="both"/>
        <w:rPr>
          <w:sz w:val="24"/>
          <w:szCs w:val="24"/>
        </w:rPr>
      </w:pPr>
      <w:r w:rsidRPr="00FD1CF1">
        <w:rPr>
          <w:sz w:val="24"/>
          <w:szCs w:val="24"/>
        </w:rPr>
        <w:t xml:space="preserve">Należy wskazać, że przedsiębiorca telekomunikacyjny składając wniosek o wydanie decyzji zmieniającej umowę o dostępie telekomunikacyjnym wyznacza zakres prowadzonego następnie postępowania administracyjnego. Jak wskazuje się bowiem </w:t>
      </w:r>
      <w:r w:rsidRPr="00FD1CF1">
        <w:rPr>
          <w:sz w:val="24"/>
          <w:szCs w:val="24"/>
        </w:rPr>
        <w:br/>
        <w:t xml:space="preserve">w doktrynie: </w:t>
      </w:r>
      <w:r w:rsidRPr="00FD1CF1">
        <w:rPr>
          <w:i/>
          <w:sz w:val="24"/>
          <w:szCs w:val="24"/>
        </w:rPr>
        <w:t>„Przedmiotem wydanej przez Prezesa UKE decyzji będzie rozstrzygnięcie w sprawie kwestii spornych pomiędzy stronami lub określenia warunków ich współpracy. Przedmiot rozstrzygnięcia jest związany z treścią wniosku strony lub stron.</w:t>
      </w:r>
      <w:r w:rsidRPr="00FD1CF1">
        <w:rPr>
          <w:sz w:val="24"/>
          <w:szCs w:val="24"/>
        </w:rPr>
        <w:t xml:space="preserve">” (w ten sposób: M. Rogalski, K. Kawałek, Prawo telekomunikacyjne, Komentarz do art. 27 Pt, LEX) a także </w:t>
      </w:r>
      <w:r w:rsidRPr="00FD1CF1">
        <w:rPr>
          <w:i/>
          <w:sz w:val="24"/>
          <w:szCs w:val="24"/>
        </w:rPr>
        <w:t xml:space="preserve">„O zakresie wniosku decyduje przedsiębiorca występujący o wydanie decyzji” </w:t>
      </w:r>
      <w:r w:rsidRPr="00FD1CF1">
        <w:rPr>
          <w:sz w:val="24"/>
          <w:szCs w:val="24"/>
        </w:rPr>
        <w:t xml:space="preserve">(S. Piątek, Prawo telekomunikacyjne – Komentarz, Wydanie </w:t>
      </w:r>
      <w:r>
        <w:rPr>
          <w:sz w:val="24"/>
          <w:szCs w:val="24"/>
        </w:rPr>
        <w:t>3</w:t>
      </w:r>
      <w:r w:rsidRPr="00FD1CF1">
        <w:rPr>
          <w:sz w:val="24"/>
          <w:szCs w:val="24"/>
        </w:rPr>
        <w:t>, Warszawa 20</w:t>
      </w:r>
      <w:r>
        <w:rPr>
          <w:sz w:val="24"/>
          <w:szCs w:val="24"/>
        </w:rPr>
        <w:t>13</w:t>
      </w:r>
      <w:r w:rsidRPr="00FD1CF1">
        <w:rPr>
          <w:sz w:val="24"/>
          <w:szCs w:val="24"/>
        </w:rPr>
        <w:t xml:space="preserve"> r., s. 2</w:t>
      </w:r>
      <w:r>
        <w:rPr>
          <w:sz w:val="24"/>
          <w:szCs w:val="24"/>
        </w:rPr>
        <w:t>42</w:t>
      </w:r>
      <w:r w:rsidRPr="00FD1CF1">
        <w:rPr>
          <w:sz w:val="24"/>
          <w:szCs w:val="24"/>
        </w:rPr>
        <w:t xml:space="preserve">). </w:t>
      </w:r>
      <w:r w:rsidR="008F470C">
        <w:rPr>
          <w:sz w:val="24"/>
          <w:szCs w:val="24"/>
        </w:rPr>
        <w:br/>
      </w:r>
      <w:r w:rsidRPr="00FD1CF1">
        <w:rPr>
          <w:sz w:val="24"/>
          <w:szCs w:val="24"/>
        </w:rPr>
        <w:t xml:space="preserve">Przy ustalaniu zakresu postępowania decydujące znaczenie przypisać należy </w:t>
      </w:r>
      <w:r w:rsidR="008F470C">
        <w:rPr>
          <w:sz w:val="24"/>
          <w:szCs w:val="24"/>
        </w:rPr>
        <w:br/>
      </w:r>
      <w:r w:rsidRPr="00FD1CF1">
        <w:rPr>
          <w:sz w:val="24"/>
          <w:szCs w:val="24"/>
        </w:rPr>
        <w:t xml:space="preserve">w pierwszej kolejności określonym postanowieniom </w:t>
      </w:r>
      <w:r>
        <w:rPr>
          <w:sz w:val="24"/>
          <w:szCs w:val="24"/>
        </w:rPr>
        <w:t xml:space="preserve">projektu </w:t>
      </w:r>
      <w:r w:rsidRPr="00FD1CF1">
        <w:rPr>
          <w:sz w:val="24"/>
          <w:szCs w:val="24"/>
        </w:rPr>
        <w:t>umowy o dostępie telekomunikacyjnym, które były przedmiotem negocjacji (czy to uprzednio zawartym w umowie o dostępie telekomunikacyjnym, czy dopiero proponowanym we wniosku o wszczęcie negocjacji). Wniosek ten wynika z art. 28 ust. 3 Pt, który zobowiązuje przedsiębiorcę telekomunikacyjnego, składającego wniosek o wydanie decyzji o dostępie telekomunikacyjnym do zło</w:t>
      </w:r>
      <w:r>
        <w:rPr>
          <w:sz w:val="24"/>
          <w:szCs w:val="24"/>
        </w:rPr>
        <w:t>żenia wraz z nim projektu umowy</w:t>
      </w:r>
      <w:r>
        <w:rPr>
          <w:sz w:val="24"/>
          <w:szCs w:val="24"/>
        </w:rPr>
        <w:br/>
      </w:r>
      <w:r w:rsidRPr="00FD1CF1">
        <w:rPr>
          <w:sz w:val="24"/>
          <w:szCs w:val="24"/>
        </w:rPr>
        <w:t xml:space="preserve">o dostępie telekomunikacyjnym, wraz z zaznaczeniem tych jej części, co do których strony nie doszły do porozumienia. </w:t>
      </w:r>
    </w:p>
    <w:p w:rsidR="00203DFD" w:rsidRDefault="00203DFD" w:rsidP="00216835">
      <w:pPr>
        <w:pStyle w:val="Tekstpodstawowy3"/>
        <w:spacing w:before="120"/>
        <w:jc w:val="both"/>
        <w:rPr>
          <w:color w:val="000000"/>
          <w:sz w:val="24"/>
          <w:szCs w:val="24"/>
        </w:rPr>
      </w:pPr>
      <w:r w:rsidRPr="00216835">
        <w:rPr>
          <w:sz w:val="24"/>
          <w:szCs w:val="24"/>
        </w:rPr>
        <w:t xml:space="preserve">Zakres niniejszego postępowania został określony przez OPL we Wniosku, w którym OPL wniosła </w:t>
      </w:r>
      <w:r w:rsidRPr="00216835">
        <w:rPr>
          <w:bCs/>
          <w:sz w:val="24"/>
          <w:szCs w:val="24"/>
        </w:rPr>
        <w:t>o wydanie decyzji w zakresie dostępu telekomunikacyjnego w oparciu o Ofertę SOR, która zastąpi jednolitym tekstem umowy, zgodnym</w:t>
      </w:r>
      <w:r w:rsidR="00344E30">
        <w:rPr>
          <w:bCs/>
          <w:sz w:val="24"/>
          <w:szCs w:val="24"/>
        </w:rPr>
        <w:t xml:space="preserve"> </w:t>
      </w:r>
      <w:r w:rsidRPr="00216835">
        <w:rPr>
          <w:bCs/>
          <w:sz w:val="24"/>
          <w:szCs w:val="24"/>
        </w:rPr>
        <w:t>z Ofertą SOR, umowy</w:t>
      </w:r>
      <w:r>
        <w:rPr>
          <w:bCs/>
          <w:sz w:val="24"/>
          <w:szCs w:val="24"/>
        </w:rPr>
        <w:t>,</w:t>
      </w:r>
      <w:r w:rsidRPr="00216835">
        <w:rPr>
          <w:bCs/>
          <w:sz w:val="24"/>
          <w:szCs w:val="24"/>
        </w:rPr>
        <w:t xml:space="preserve"> porozumienia</w:t>
      </w:r>
      <w:r>
        <w:rPr>
          <w:bCs/>
          <w:sz w:val="24"/>
          <w:szCs w:val="24"/>
        </w:rPr>
        <w:t xml:space="preserve"> i decyzje regulujące współpracę</w:t>
      </w:r>
      <w:r w:rsidRPr="00216835">
        <w:rPr>
          <w:bCs/>
          <w:sz w:val="24"/>
          <w:szCs w:val="24"/>
        </w:rPr>
        <w:t xml:space="preserve">  między OPL i Netią</w:t>
      </w:r>
      <w:r w:rsidRPr="00216835">
        <w:rPr>
          <w:i/>
          <w:sz w:val="24"/>
          <w:szCs w:val="24"/>
        </w:rPr>
        <w:t xml:space="preserve"> </w:t>
      </w:r>
      <w:r>
        <w:rPr>
          <w:sz w:val="24"/>
          <w:szCs w:val="24"/>
        </w:rPr>
        <w:t xml:space="preserve">wskazane </w:t>
      </w:r>
      <w:r w:rsidRPr="00216835">
        <w:rPr>
          <w:sz w:val="24"/>
          <w:szCs w:val="24"/>
        </w:rPr>
        <w:t>we Wniosku.</w:t>
      </w:r>
      <w:r>
        <w:rPr>
          <w:sz w:val="24"/>
          <w:szCs w:val="24"/>
        </w:rPr>
        <w:t xml:space="preserve"> Do Wniosku OPL załączyła projekt umowy, który zawierał również postanowienia zredagowane wcześniej w formie odrębnego dokumentu </w:t>
      </w:r>
      <w:r w:rsidR="00344E30">
        <w:rPr>
          <w:sz w:val="24"/>
          <w:szCs w:val="24"/>
        </w:rPr>
        <w:br/>
      </w:r>
      <w:r>
        <w:rPr>
          <w:sz w:val="24"/>
          <w:szCs w:val="24"/>
        </w:rPr>
        <w:t>tj. projektu porozumienia wdrożeniowego. W ten sposób postanowienia porozumienia wdrożeniowego zostały dodane do projektu umowy, zaś negocjowane przez strony porozumienie wdrożeniowe, jako odrębny dokument, nie było przedmiotem Wniosku i nie zostało do niego załączone. W tym miejscu należy odnieść się do zarzutu podniesionego przez Netię</w:t>
      </w:r>
      <w:r w:rsidRPr="00633D38">
        <w:rPr>
          <w:sz w:val="24"/>
          <w:szCs w:val="24"/>
        </w:rPr>
        <w:t xml:space="preserve">, </w:t>
      </w:r>
      <w:r w:rsidRPr="00633D38">
        <w:rPr>
          <w:color w:val="000000"/>
          <w:sz w:val="24"/>
          <w:szCs w:val="24"/>
        </w:rPr>
        <w:t>dotyczącego rozszerzenia przez OPL zakresu przedmiotowego wnioskowanego projektu umowy względem negocjowanego projektu umowy o postanowienia negocjowanego przez strony porozumienia wdrożeniowego będącego odrębnym dokumentem.</w:t>
      </w:r>
      <w:r>
        <w:rPr>
          <w:color w:val="000000"/>
        </w:rPr>
        <w:t xml:space="preserve"> </w:t>
      </w:r>
      <w:r w:rsidRPr="00633D38">
        <w:rPr>
          <w:color w:val="000000"/>
          <w:sz w:val="24"/>
          <w:szCs w:val="24"/>
        </w:rPr>
        <w:t xml:space="preserve">Prezes UKE uznał, </w:t>
      </w:r>
      <w:r w:rsidRPr="00633D38">
        <w:rPr>
          <w:color w:val="000000"/>
          <w:sz w:val="24"/>
          <w:szCs w:val="24"/>
        </w:rPr>
        <w:lastRenderedPageBreak/>
        <w:t>że dod</w:t>
      </w:r>
      <w:r>
        <w:rPr>
          <w:color w:val="000000"/>
          <w:sz w:val="24"/>
          <w:szCs w:val="24"/>
        </w:rPr>
        <w:t xml:space="preserve">anie </w:t>
      </w:r>
      <w:r w:rsidRPr="00633D38">
        <w:rPr>
          <w:color w:val="000000"/>
          <w:sz w:val="24"/>
          <w:szCs w:val="24"/>
        </w:rPr>
        <w:t xml:space="preserve">do wnioskowanego projektu umowy postanowień </w:t>
      </w:r>
      <w:r>
        <w:rPr>
          <w:color w:val="000000"/>
          <w:sz w:val="24"/>
          <w:szCs w:val="24"/>
        </w:rPr>
        <w:t xml:space="preserve">porozumienia wdrożeniowego nie spowodowało niedopuszczalnego rozszerzenia zakresu przedmiotowego niniejszego postępowania, albowiem postanowienia te były przedmiotem negocjacji, przez co Wniosek o wydanie decyzji wprowadzającej </w:t>
      </w:r>
      <w:r>
        <w:rPr>
          <w:color w:val="000000"/>
          <w:sz w:val="24"/>
          <w:szCs w:val="24"/>
        </w:rPr>
        <w:br/>
        <w:t>te postanowienia, wobec nieosiągnięcia przez strony porozumienia w tym zakresie, był dopuszczalny. Zdaniem Prezesa UKE, w tym przypadku scalenie dwóch negocjowanych dokumentów (projektu umowy i projektu porozumienia wdrożeniowego) miało charakter redakcyjny i pozostało bez wpływu na zakres przedmiotowy niniejszego postępowania.</w:t>
      </w:r>
    </w:p>
    <w:p w:rsidR="00203DFD" w:rsidRDefault="00203DFD" w:rsidP="00A915EC">
      <w:pPr>
        <w:spacing w:before="120" w:after="120"/>
        <w:jc w:val="both"/>
      </w:pPr>
      <w:r w:rsidRPr="00216835">
        <w:t>OPL stwierdziła, iż intencją Wniosku jest dostosowanie warunków współpracy OPL i Netii do postanowień Oferty SOR.</w:t>
      </w:r>
      <w:r>
        <w:t xml:space="preserve"> Następnie pismem </w:t>
      </w:r>
      <w:r w:rsidRPr="00216835">
        <w:t xml:space="preserve">z dnia 10 maja 2013 r., OPL zmodyfikowała </w:t>
      </w:r>
      <w:r>
        <w:t xml:space="preserve">Wniosek ograniczając go jedynie </w:t>
      </w:r>
      <w:r w:rsidRPr="00216835">
        <w:t>do usług świadczonych przez Netię, które miałyby być świadczone na warunkach symetrycznych do usług świadczonych przez OPL. OPL wskazała, iż modyfikacja Wniosku wynika z faktu zawarcia przez stro</w:t>
      </w:r>
      <w:r>
        <w:t xml:space="preserve">ny niniejszej decyzji Umowy SOR </w:t>
      </w:r>
      <w:r w:rsidRPr="00216835">
        <w:t xml:space="preserve">w zakresie dostępu telekomunikacyjnego w oparciu o Ofertę SOR </w:t>
      </w:r>
      <w:r>
        <w:t>zastępującą dotychczasowe umowy,</w:t>
      </w:r>
      <w:r>
        <w:br/>
      </w:r>
      <w:r w:rsidRPr="00216835">
        <w:t xml:space="preserve">porozumienia </w:t>
      </w:r>
      <w:r>
        <w:t xml:space="preserve">i decyzje regulujące współpracę między stronami i wskazane </w:t>
      </w:r>
      <w:r>
        <w:br/>
      </w:r>
      <w:r w:rsidRPr="00216835">
        <w:t>we Wniosku, jedynie w zakresie usług świadczonych przez OPL.</w:t>
      </w:r>
      <w:r w:rsidRPr="002242FB">
        <w:t xml:space="preserve"> </w:t>
      </w:r>
      <w:r w:rsidRPr="00AB53DC">
        <w:t xml:space="preserve">Mając na uwadze powyższe należy stwierdzić, że zakresem niniejszego postępowania objęta jest kwestia ustalenia nowych warunków świadczenia usług przez </w:t>
      </w:r>
      <w:r>
        <w:t>Netię</w:t>
      </w:r>
      <w:r w:rsidRPr="00AB53DC">
        <w:t xml:space="preserve"> na rzecz OPL, nieobjęta wycofaniem Wniosku</w:t>
      </w:r>
      <w:r>
        <w:t xml:space="preserve"> w części dotyczącej</w:t>
      </w:r>
      <w:r w:rsidRPr="00AB53DC">
        <w:t xml:space="preserve"> usług świadczonych przez OPL. Natomiast w części objętej wycofaniem Wniosku przez OPL niniejsze postępowanie stało się bezprzedmiotowe, o czym szerzej będzie mowa w dalszej części uzasadnienia niniejszej decyzji.</w:t>
      </w:r>
      <w:r>
        <w:t xml:space="preserve"> </w:t>
      </w:r>
    </w:p>
    <w:p w:rsidR="00203DFD" w:rsidRDefault="00203DFD" w:rsidP="009B6B22">
      <w:pPr>
        <w:pStyle w:val="Tekstpodstawowy3"/>
        <w:spacing w:before="120"/>
        <w:jc w:val="both"/>
        <w:rPr>
          <w:sz w:val="24"/>
          <w:szCs w:val="24"/>
        </w:rPr>
      </w:pPr>
      <w:r>
        <w:rPr>
          <w:sz w:val="24"/>
          <w:szCs w:val="24"/>
        </w:rPr>
        <w:t>Rozpatrując kwestie zakres</w:t>
      </w:r>
      <w:r w:rsidR="00EE0BBF">
        <w:rPr>
          <w:sz w:val="24"/>
          <w:szCs w:val="24"/>
        </w:rPr>
        <w:t>u</w:t>
      </w:r>
      <w:r>
        <w:rPr>
          <w:sz w:val="24"/>
          <w:szCs w:val="24"/>
        </w:rPr>
        <w:t xml:space="preserve"> Wniosku należy wskazać, że nie można przy tym zgodzić się z twierdzeniem Netii, jakoby zmodyfikowany Wniosek OPL, dotyczący uregulowania warunków współpracy w zakresie świadczenia usług przez Netię </w:t>
      </w:r>
      <w:r>
        <w:rPr>
          <w:sz w:val="24"/>
          <w:szCs w:val="24"/>
        </w:rPr>
        <w:br/>
        <w:t xml:space="preserve">na rzecz OPL, zmierzał do zmiany Umowy SOR, albowiem Umowa SOR </w:t>
      </w:r>
      <w:r w:rsidR="005A69E1">
        <w:rPr>
          <w:sz w:val="24"/>
          <w:szCs w:val="24"/>
        </w:rPr>
        <w:br/>
      </w:r>
      <w:r>
        <w:rPr>
          <w:sz w:val="24"/>
          <w:szCs w:val="24"/>
        </w:rPr>
        <w:t xml:space="preserve">nie dotyczy usług Netii, zaś określenie warunków współpracy w tym zakresie </w:t>
      </w:r>
      <w:r w:rsidR="005A69E1">
        <w:rPr>
          <w:sz w:val="24"/>
          <w:szCs w:val="24"/>
        </w:rPr>
        <w:br/>
      </w:r>
      <w:r>
        <w:rPr>
          <w:sz w:val="24"/>
          <w:szCs w:val="24"/>
        </w:rPr>
        <w:t>nie będzie wymagało zmiany Umowy SOR.</w:t>
      </w:r>
    </w:p>
    <w:p w:rsidR="00203DFD" w:rsidRDefault="00203DFD" w:rsidP="009B6B22">
      <w:pPr>
        <w:pStyle w:val="Tekstpodstawowy3"/>
        <w:spacing w:before="120"/>
        <w:jc w:val="both"/>
        <w:rPr>
          <w:sz w:val="24"/>
          <w:szCs w:val="24"/>
        </w:rPr>
      </w:pPr>
      <w:r>
        <w:rPr>
          <w:sz w:val="24"/>
          <w:szCs w:val="24"/>
        </w:rPr>
        <w:t>Netia zwróciła również uwagę, że Wniosek obejmował swym zakresem zmianę decyzji Prezesa UKE, przy czym OPL nie wykazała spełnienia przesłanek,</w:t>
      </w:r>
      <w:r>
        <w:rPr>
          <w:sz w:val="24"/>
          <w:szCs w:val="24"/>
        </w:rPr>
        <w:br/>
        <w:t xml:space="preserve">o których mowa w art. 28 ust. 6 Pt, warunkujących zmianę decyzji Prezesa UKE. </w:t>
      </w:r>
      <w:r w:rsidRPr="00B67B1F">
        <w:rPr>
          <w:sz w:val="24"/>
          <w:szCs w:val="24"/>
        </w:rPr>
        <w:t xml:space="preserve">Odnosząc się do powyższego zarzutu Netii, Prezes UKE </w:t>
      </w:r>
      <w:r>
        <w:rPr>
          <w:sz w:val="24"/>
          <w:szCs w:val="24"/>
        </w:rPr>
        <w:t xml:space="preserve">po pierwsze </w:t>
      </w:r>
      <w:r w:rsidRPr="00B67B1F">
        <w:rPr>
          <w:sz w:val="24"/>
          <w:szCs w:val="24"/>
        </w:rPr>
        <w:t xml:space="preserve">wskazuje, </w:t>
      </w:r>
      <w:r>
        <w:rPr>
          <w:sz w:val="24"/>
          <w:szCs w:val="24"/>
        </w:rPr>
        <w:br/>
      </w:r>
      <w:r w:rsidRPr="00B67B1F">
        <w:rPr>
          <w:sz w:val="24"/>
          <w:szCs w:val="24"/>
        </w:rPr>
        <w:t xml:space="preserve">że wykazanie przedmiotowych przesłanek </w:t>
      </w:r>
      <w:r>
        <w:rPr>
          <w:sz w:val="24"/>
          <w:szCs w:val="24"/>
        </w:rPr>
        <w:t xml:space="preserve">przez wnioskodawcę </w:t>
      </w:r>
      <w:r w:rsidRPr="00B67B1F">
        <w:rPr>
          <w:sz w:val="24"/>
          <w:szCs w:val="24"/>
        </w:rPr>
        <w:t xml:space="preserve">nie jest warunkiem wszczęcia niniejszego postępowania. Przesłanki te </w:t>
      </w:r>
      <w:r>
        <w:rPr>
          <w:sz w:val="24"/>
          <w:szCs w:val="24"/>
        </w:rPr>
        <w:t xml:space="preserve">ewentualnie analizowane </w:t>
      </w:r>
      <w:r>
        <w:rPr>
          <w:sz w:val="24"/>
          <w:szCs w:val="24"/>
        </w:rPr>
        <w:br/>
      </w:r>
      <w:r w:rsidRPr="00B67B1F">
        <w:rPr>
          <w:sz w:val="24"/>
          <w:szCs w:val="24"/>
        </w:rPr>
        <w:t>są w ramach badania zasadności zmiany decyzji Prezesa UKE</w:t>
      </w:r>
      <w:r>
        <w:rPr>
          <w:sz w:val="24"/>
          <w:szCs w:val="24"/>
        </w:rPr>
        <w:t xml:space="preserve"> </w:t>
      </w:r>
      <w:r w:rsidRPr="00B67B1F">
        <w:rPr>
          <w:sz w:val="24"/>
          <w:szCs w:val="24"/>
        </w:rPr>
        <w:t xml:space="preserve">a obowiązek </w:t>
      </w:r>
      <w:r w:rsidR="00014722">
        <w:rPr>
          <w:sz w:val="24"/>
          <w:szCs w:val="24"/>
        </w:rPr>
        <w:br/>
      </w:r>
      <w:r w:rsidRPr="00B67B1F">
        <w:rPr>
          <w:sz w:val="24"/>
          <w:szCs w:val="24"/>
        </w:rPr>
        <w:t xml:space="preserve">ich wykazania nie spoczywa na wnioskodawcy, ale na Prezesie UKE (wnioskodawca może w tym zakresie przedkładać dowody, ale zgodnie z ogólną zasadą postępowania administracyjnego wyrażoną w art. 7 kpa to na organie administracji publicznej spoczywa obowiązek ustalenia wszystkich okoliczności istotnych </w:t>
      </w:r>
      <w:r w:rsidR="00014722">
        <w:rPr>
          <w:sz w:val="24"/>
          <w:szCs w:val="24"/>
        </w:rPr>
        <w:br/>
      </w:r>
      <w:r w:rsidRPr="00B67B1F">
        <w:rPr>
          <w:sz w:val="24"/>
          <w:szCs w:val="24"/>
        </w:rPr>
        <w:t xml:space="preserve">dla sprawy). </w:t>
      </w:r>
      <w:r>
        <w:rPr>
          <w:sz w:val="24"/>
          <w:szCs w:val="24"/>
        </w:rPr>
        <w:t xml:space="preserve">Po drugie wskazać należy, że w niniejszej sprawie nie zachodziła konieczność rozpatrzenia wspomnianych przez Netię przesłanek, ponieważ art. 28 ust. 6 Pt nie jest podstawą podjęcia rozstrzygnięcia w niniejszej sprawie, bowiem Prezes UKE nie podejmuje w sentencji niniejszej decyzji merytorycznego rozstrzygnięcia o decyzjach o dostępie administracyjnym wydanych wobec Netii </w:t>
      </w:r>
      <w:r>
        <w:rPr>
          <w:sz w:val="24"/>
          <w:szCs w:val="24"/>
        </w:rPr>
        <w:br/>
        <w:t xml:space="preserve">i OPL (postępowanie w tym zakresie podlegało umorzeniu). Prezes UKE wskazuje, że Wniosek, w zakresie w jakim dotyczył zmiany warunków dostępu telekomunikacyjnego zawartych uprzednio w decyzjach Prezesa UKE, został </w:t>
      </w:r>
      <w:r>
        <w:rPr>
          <w:sz w:val="24"/>
          <w:szCs w:val="24"/>
        </w:rPr>
        <w:lastRenderedPageBreak/>
        <w:t xml:space="preserve">cofnięty a niniejsze postępowanie umorzone zgodnie z pkt III niniejszej decyzji. Podkreślić bowiem należy, że wskazane we Wniosku decyzje dotyczyły jedynie warunków świadczenia dostępu telekomunikacyjnego przez OPL. A zatem, skoro OPL cofnęła wniosek, w zakresie w jakim dotyczył on ustalenia warunków świadczenia dostępu telekomunikacyjnego przez OPL postępowanie w zakresie </w:t>
      </w:r>
      <w:r>
        <w:rPr>
          <w:sz w:val="24"/>
          <w:szCs w:val="24"/>
        </w:rPr>
        <w:br/>
        <w:t xml:space="preserve">w jakim dotyczyło zmiany wspomnianych decyzji należało umorzyć (o czym szerzej będzie w dalszej części uzasadnienia niniejszej decyzji). Z drugiej strony, ponieważ przedmiotowe decyzje nie dotyczyły warunków świadczenia usług przez Netię </w:t>
      </w:r>
      <w:r>
        <w:rPr>
          <w:sz w:val="24"/>
          <w:szCs w:val="24"/>
        </w:rPr>
        <w:br/>
        <w:t xml:space="preserve">to należało uznać, że rozstrzygnięcie o umorzeniu postępowania (w zakresie zmiany przedmiotowych decyzji) wyczerpało całość zakresu niniejszego postępowania  odnoszącego się do zmiany wskazanych we Wniosku decyzji.  </w:t>
      </w:r>
    </w:p>
    <w:p w:rsidR="00203DFD" w:rsidRDefault="00203DFD" w:rsidP="00203233">
      <w:pPr>
        <w:pStyle w:val="Tekstpodstawowy3"/>
        <w:spacing w:before="120"/>
        <w:jc w:val="both"/>
        <w:rPr>
          <w:sz w:val="24"/>
          <w:szCs w:val="24"/>
        </w:rPr>
      </w:pPr>
      <w:r>
        <w:rPr>
          <w:sz w:val="24"/>
          <w:szCs w:val="24"/>
        </w:rPr>
        <w:t>Należy w tym miejscu ponadto odnieść się do argumentów Netii dotyczących zakresu podpisanej Umowy SOR, który rzutuje na zakres merytorycznego rozstrzygnięcia w niniejszym postępowaniu. W</w:t>
      </w:r>
      <w:r w:rsidRPr="00944FC9">
        <w:rPr>
          <w:sz w:val="24"/>
          <w:szCs w:val="24"/>
        </w:rPr>
        <w:t xml:space="preserve"> piśmie z dnia 24 kwietnia </w:t>
      </w:r>
      <w:r>
        <w:rPr>
          <w:sz w:val="24"/>
          <w:szCs w:val="24"/>
        </w:rPr>
        <w:br/>
      </w:r>
      <w:r w:rsidRPr="00944FC9">
        <w:rPr>
          <w:sz w:val="24"/>
          <w:szCs w:val="24"/>
        </w:rPr>
        <w:t xml:space="preserve">2013 r. oraz w piśmie z dnia 4 czerwca 2013 r. </w:t>
      </w:r>
      <w:r w:rsidRPr="00DF67C4">
        <w:rPr>
          <w:sz w:val="24"/>
          <w:szCs w:val="24"/>
        </w:rPr>
        <w:t>Netia wskazała, że warunki współpracy stron w zakre</w:t>
      </w:r>
      <w:r>
        <w:rPr>
          <w:sz w:val="24"/>
          <w:szCs w:val="24"/>
        </w:rPr>
        <w:t xml:space="preserve">sie świadczenia usług przez OPL </w:t>
      </w:r>
      <w:r w:rsidRPr="00DF67C4">
        <w:rPr>
          <w:sz w:val="24"/>
          <w:szCs w:val="24"/>
        </w:rPr>
        <w:t>na rzecz Netii z</w:t>
      </w:r>
      <w:r>
        <w:rPr>
          <w:sz w:val="24"/>
          <w:szCs w:val="24"/>
        </w:rPr>
        <w:t>ostały uregulowane bezpośrednio w treści U</w:t>
      </w:r>
      <w:r w:rsidRPr="00DF67C4">
        <w:rPr>
          <w:sz w:val="24"/>
          <w:szCs w:val="24"/>
        </w:rPr>
        <w:t xml:space="preserve">mowy </w:t>
      </w:r>
      <w:r>
        <w:rPr>
          <w:sz w:val="24"/>
          <w:szCs w:val="24"/>
        </w:rPr>
        <w:t>SOR</w:t>
      </w:r>
      <w:r w:rsidRPr="00DF67C4">
        <w:rPr>
          <w:sz w:val="24"/>
          <w:szCs w:val="24"/>
        </w:rPr>
        <w:t xml:space="preserve">, zaś warunki współpracy stron </w:t>
      </w:r>
      <w:r>
        <w:rPr>
          <w:sz w:val="24"/>
          <w:szCs w:val="24"/>
        </w:rPr>
        <w:br/>
      </w:r>
      <w:r w:rsidRPr="00DF67C4">
        <w:rPr>
          <w:sz w:val="24"/>
          <w:szCs w:val="24"/>
        </w:rPr>
        <w:t xml:space="preserve">w zakresie świadczenia usług przez Netię na rzecz OPL zostały uregulowane poprzez odesłanie do </w:t>
      </w:r>
      <w:r>
        <w:rPr>
          <w:sz w:val="24"/>
          <w:szCs w:val="24"/>
        </w:rPr>
        <w:t xml:space="preserve">warunków współpracy określonych </w:t>
      </w:r>
      <w:r w:rsidRPr="00DF67C4">
        <w:rPr>
          <w:sz w:val="24"/>
          <w:szCs w:val="24"/>
        </w:rPr>
        <w:t>w dotychczasowych umowach</w:t>
      </w:r>
      <w:r>
        <w:rPr>
          <w:sz w:val="24"/>
          <w:szCs w:val="24"/>
        </w:rPr>
        <w:t>,</w:t>
      </w:r>
      <w:r w:rsidRPr="00DF67C4">
        <w:rPr>
          <w:sz w:val="24"/>
          <w:szCs w:val="24"/>
        </w:rPr>
        <w:t xml:space="preserve"> porozumieniach</w:t>
      </w:r>
      <w:r>
        <w:rPr>
          <w:sz w:val="24"/>
          <w:szCs w:val="24"/>
        </w:rPr>
        <w:t xml:space="preserve"> i decyzjach</w:t>
      </w:r>
      <w:r w:rsidRPr="00DF67C4">
        <w:rPr>
          <w:sz w:val="24"/>
          <w:szCs w:val="24"/>
        </w:rPr>
        <w:t xml:space="preserve">, które w odpowiedniej części zostały utrzymane w mocy zgodnie z intencją obu stron. </w:t>
      </w:r>
      <w:r>
        <w:rPr>
          <w:sz w:val="24"/>
          <w:szCs w:val="24"/>
        </w:rPr>
        <w:t xml:space="preserve">W związku z powyższym Netia stwierdziła, </w:t>
      </w:r>
      <w:r>
        <w:rPr>
          <w:sz w:val="24"/>
          <w:szCs w:val="24"/>
        </w:rPr>
        <w:br/>
        <w:t xml:space="preserve">że podpisanie Umowy SOR </w:t>
      </w:r>
      <w:r w:rsidRPr="00944FC9">
        <w:rPr>
          <w:sz w:val="24"/>
          <w:szCs w:val="24"/>
        </w:rPr>
        <w:t>wyczerpuje w całości Wniosek OPL</w:t>
      </w:r>
      <w:r>
        <w:rPr>
          <w:sz w:val="24"/>
          <w:szCs w:val="24"/>
        </w:rPr>
        <w:t>, zaś niniejsze postępowanie powinno być umorzone w całości</w:t>
      </w:r>
      <w:r w:rsidRPr="00944FC9">
        <w:rPr>
          <w:sz w:val="24"/>
          <w:szCs w:val="24"/>
        </w:rPr>
        <w:t xml:space="preserve"> na podstawie art. 10</w:t>
      </w:r>
      <w:r>
        <w:rPr>
          <w:sz w:val="24"/>
          <w:szCs w:val="24"/>
        </w:rPr>
        <w:t>5 § 1 kpa jako bezprzedmiotowe</w:t>
      </w:r>
      <w:r w:rsidRPr="00944FC9">
        <w:rPr>
          <w:sz w:val="24"/>
          <w:szCs w:val="24"/>
        </w:rPr>
        <w:t>.</w:t>
      </w:r>
      <w:r>
        <w:rPr>
          <w:sz w:val="24"/>
          <w:szCs w:val="24"/>
        </w:rPr>
        <w:t xml:space="preserve"> OPL natomiast, dokonując modyfikacji Wniosku pismem z dnia 10 maja 2013 r. potwierdziła, iż podpisanie Umowy</w:t>
      </w:r>
      <w:r w:rsidRPr="00DF67C4">
        <w:rPr>
          <w:sz w:val="24"/>
          <w:szCs w:val="24"/>
        </w:rPr>
        <w:t xml:space="preserve"> SOR</w:t>
      </w:r>
      <w:r>
        <w:rPr>
          <w:sz w:val="24"/>
          <w:szCs w:val="24"/>
        </w:rPr>
        <w:t xml:space="preserve"> wyczerpuje Wniosek </w:t>
      </w:r>
      <w:r>
        <w:rPr>
          <w:sz w:val="24"/>
          <w:szCs w:val="24"/>
        </w:rPr>
        <w:br/>
        <w:t xml:space="preserve">w zakresie określenia warunków świadczenia usług przez OPL na rzecz Netii. </w:t>
      </w:r>
      <w:r w:rsidRPr="00DF67C4">
        <w:rPr>
          <w:sz w:val="24"/>
          <w:szCs w:val="24"/>
        </w:rPr>
        <w:t xml:space="preserve"> </w:t>
      </w:r>
      <w:r>
        <w:rPr>
          <w:sz w:val="24"/>
          <w:szCs w:val="24"/>
        </w:rPr>
        <w:t xml:space="preserve">Jednocześnie OPL podtrzymała Wniosek w zakresie uregulowania warunków świadczenia usług przez Netię na rzecz OPL. </w:t>
      </w:r>
    </w:p>
    <w:p w:rsidR="00203DFD" w:rsidRDefault="00203DFD" w:rsidP="00203233">
      <w:pPr>
        <w:spacing w:before="120" w:after="120"/>
        <w:jc w:val="both"/>
        <w:rPr>
          <w:color w:val="000000"/>
        </w:rPr>
      </w:pPr>
      <w:r>
        <w:t>Mając na uwadze wyżej opisane, rozbieżne stanowiska stron, Prezes UKE przeanalizował treść Umowy SOR oraz porozumienia wdrożeniowego i stwierdził, że dotyczą</w:t>
      </w:r>
      <w:r w:rsidRPr="00DF67C4">
        <w:t xml:space="preserve"> </w:t>
      </w:r>
      <w:r>
        <w:t xml:space="preserve">one </w:t>
      </w:r>
      <w:r w:rsidRPr="00DF67C4">
        <w:t>wyłącznie usług świadczonych przez</w:t>
      </w:r>
      <w:r>
        <w:t xml:space="preserve"> OPL na rzecz Netii </w:t>
      </w:r>
      <w:r w:rsidR="009E6D6C">
        <w:br/>
      </w:r>
      <w:r>
        <w:t>i nie odnoszą</w:t>
      </w:r>
      <w:r w:rsidRPr="00DF67C4">
        <w:t xml:space="preserve"> się do usług świadczonych przez Netię na rzecz OPL</w:t>
      </w:r>
      <w:r>
        <w:t xml:space="preserve">. Argumentacja przedstawiona przez Netię opiera się zatem na założeniu, że pozostawienie </w:t>
      </w:r>
      <w:r w:rsidR="009E6D6C">
        <w:br/>
      </w:r>
      <w:r>
        <w:t xml:space="preserve">bez zmian warunków świadczenia usług przez Netię na rzecz OPL nastąpiło </w:t>
      </w:r>
      <w:r w:rsidR="009E6D6C">
        <w:br/>
      </w:r>
      <w:r>
        <w:t>na skutek osiągnięcia porozumienia przez strony co do tej kwestii. Należy jednak stwierdzić,</w:t>
      </w:r>
      <w:r w:rsidR="007956FD">
        <w:t xml:space="preserve"> </w:t>
      </w:r>
      <w:r>
        <w:t xml:space="preserve">że takie założenie jest błędne. Nie można bowiem stwierdzić, że Netia </w:t>
      </w:r>
      <w:r w:rsidR="009E6D6C">
        <w:br/>
      </w:r>
      <w:r>
        <w:t xml:space="preserve">i OPL osiągnęły w omawianym zakresie porozumienie. Jak wynika z wniosku OPL </w:t>
      </w:r>
      <w:r w:rsidR="009E6D6C">
        <w:br/>
      </w:r>
      <w:r>
        <w:t xml:space="preserve">z dnia 23 marca 2012 r. o rozpoczęcie negocjacji, skierowanego do Netii, pierwotną intencją OPL było </w:t>
      </w:r>
      <w:r w:rsidRPr="00AF2264">
        <w:rPr>
          <w:i/>
        </w:rPr>
        <w:t>„w odniesieniu do usług świadczonych przez Netię – ustalenie wzajemnych, analogicznych i symetrycznych jak dla usług TP warunków współpracy”.</w:t>
      </w:r>
      <w:r>
        <w:t xml:space="preserve"> Ponadto oświadczenia woli składane przez OPL w toku niniejszego postępowania jednoznacznie wskazują, że OPL nie uznaje warunków świadczenia usług przez Netię na rzecz OPL za uregulowane w związku z zawarciem Umowy SOR. W piśmie z dnia 13 maja 2013 r. OPL podtrzymała bowiem żądanie wyrażone we Wniosku w zakresie, w jakim dotyczyło ono uregulowania warunków świadczenia usług przez Netię na rzecz OPL, co przesądza o tym, że OPL nie uznaje, że zawarcie Umowy SOR (regulującej warunki świadczenia usług przez OPL </w:t>
      </w:r>
      <w:r>
        <w:br/>
        <w:t>na rzecz Netii) oznaczało jednocześnie porozumienie o pozostawieniu bez zmian warunków świadczenia usług przez Netię na rzecz OPL. Ponadto Prezes UKE wskazuje, że żadne postanowienia Umowy SOR ani porozumienia,</w:t>
      </w:r>
      <w:r w:rsidRPr="00B055B8">
        <w:t xml:space="preserve"> </w:t>
      </w:r>
      <w:r>
        <w:t xml:space="preserve">wdrożeniowego </w:t>
      </w:r>
      <w:r>
        <w:lastRenderedPageBreak/>
        <w:t>nie mogły zostać uznane za zmierzające do pozostawienia bez zmian</w:t>
      </w:r>
      <w:r w:rsidRPr="00DA6F42">
        <w:t xml:space="preserve"> </w:t>
      </w:r>
      <w:r>
        <w:t xml:space="preserve">warunków świadczenia usług przez Netię na rzecz OPL. Zarówno wniosek OPL z dnia </w:t>
      </w:r>
      <w:r>
        <w:br/>
        <w:t xml:space="preserve">23 marca 2012 r. jak i Wniosek o wydanie niniejszej decyzji miały na celu zmianę warunków świadczenia usług przez Netię na rzecz OPL, co zostało również wyrażone w projektach umów załączonych do tych wniosków. Treść Umowy SOR </w:t>
      </w:r>
      <w:r>
        <w:br/>
        <w:t>i porozumienia wdrożeniowego wskazuje jednoznacznie, że warunki świadczenia usług przez Netię na rzecz OPL nie zostały w nich uregulowane</w:t>
      </w:r>
      <w:r w:rsidRPr="00DF67C4">
        <w:t>. W świetle powyższego niezasadny jest wniosek Netii zgłoszony w piśmie z dnia 24 kwietnia 2013 r. oraz w piśmie z dnia 4 czerwca 2013 r. o umorzenie niniejszego postępowania</w:t>
      </w:r>
      <w:r>
        <w:t xml:space="preserve"> w całości</w:t>
      </w:r>
      <w:r w:rsidRPr="00DF67C4">
        <w:t xml:space="preserve"> na podstawie art. 105 § 1 kpa jako bezprzedmiotowego.</w:t>
      </w:r>
      <w:r w:rsidRPr="0034552B">
        <w:rPr>
          <w:color w:val="000000"/>
        </w:rPr>
        <w:t xml:space="preserve"> </w:t>
      </w:r>
      <w:r>
        <w:rPr>
          <w:color w:val="000000"/>
        </w:rPr>
        <w:t xml:space="preserve">Podniesiony przez Netię zarzut dotyczący modyfikacji przez OPL załączników </w:t>
      </w:r>
      <w:r w:rsidR="009E6D6C">
        <w:rPr>
          <w:color w:val="000000"/>
        </w:rPr>
        <w:br/>
      </w:r>
      <w:r>
        <w:rPr>
          <w:color w:val="000000"/>
        </w:rPr>
        <w:t>do</w:t>
      </w:r>
      <w:r w:rsidRPr="001D1B3D">
        <w:rPr>
          <w:color w:val="000000"/>
        </w:rPr>
        <w:t xml:space="preserve"> </w:t>
      </w:r>
      <w:r>
        <w:rPr>
          <w:color w:val="000000"/>
        </w:rPr>
        <w:t xml:space="preserve">projektu umowy dotyczących usług świadczonych przez OPL, pozostaje </w:t>
      </w:r>
      <w:r w:rsidR="009E6D6C">
        <w:rPr>
          <w:color w:val="000000"/>
        </w:rPr>
        <w:br/>
      </w:r>
      <w:r>
        <w:rPr>
          <w:color w:val="000000"/>
        </w:rPr>
        <w:t xml:space="preserve">poza zakresem przedmiotowym niniejszego postępowania ponieważ treść </w:t>
      </w:r>
      <w:r w:rsidR="009E6D6C">
        <w:rPr>
          <w:color w:val="000000"/>
        </w:rPr>
        <w:br/>
      </w:r>
      <w:r>
        <w:rPr>
          <w:color w:val="000000"/>
        </w:rPr>
        <w:t>tych załączników została określona w ramach Umowy SOR i nie stanowi już kwestii spornych wymagających rozstrzygnięcia w przedmiotowym postępowaniu.</w:t>
      </w:r>
    </w:p>
    <w:p w:rsidR="00203DFD" w:rsidRPr="00350B90" w:rsidRDefault="00203DFD" w:rsidP="004137BC">
      <w:pPr>
        <w:autoSpaceDE w:val="0"/>
        <w:autoSpaceDN w:val="0"/>
        <w:spacing w:after="120"/>
        <w:jc w:val="both"/>
      </w:pPr>
      <w:r>
        <w:t>W tym miejscu n</w:t>
      </w:r>
      <w:r w:rsidRPr="00AB53DC">
        <w:t xml:space="preserve">ależy odnieść się </w:t>
      </w:r>
      <w:r>
        <w:t xml:space="preserve">ponadto </w:t>
      </w:r>
      <w:r w:rsidRPr="00AB53DC">
        <w:t>do kwestii objęcia Wnioskiem zmiany umów</w:t>
      </w:r>
      <w:r>
        <w:t xml:space="preserve"> </w:t>
      </w:r>
      <w:r w:rsidRPr="00AB53DC">
        <w:t xml:space="preserve">i porozumień, które zostały zawarte z OPL przez </w:t>
      </w:r>
      <w:r>
        <w:t xml:space="preserve">Premium Internet </w:t>
      </w:r>
      <w:r w:rsidR="008E526F">
        <w:t xml:space="preserve">S.A., Tele2 Polska sp. z o.o., </w:t>
      </w:r>
      <w:r>
        <w:t>Crowley Data Poland sp. z o.o.</w:t>
      </w:r>
      <w:r w:rsidRPr="00AB53DC">
        <w:t xml:space="preserve">, a także decyzji, których stroną były OPL i </w:t>
      </w:r>
      <w:r>
        <w:t>Premium Internet S.A., Tele2 Polska sp. z o.o., Crowley Data Poland sp. z o.o.</w:t>
      </w:r>
      <w:r w:rsidRPr="00AB53DC">
        <w:t xml:space="preserve"> Prezes UKE wskazuje, że </w:t>
      </w:r>
      <w:r>
        <w:t>połączenie ww. spółek z Netią nastapiło</w:t>
      </w:r>
      <w:r w:rsidRPr="00AB53DC">
        <w:t xml:space="preserve"> w trybie art. 492 § 1 ksh, czyli przez przen</w:t>
      </w:r>
      <w:r>
        <w:t xml:space="preserve">iesienie całego majątku spółki </w:t>
      </w:r>
      <w:r w:rsidRPr="00AB53DC">
        <w:t>przejmowanej</w:t>
      </w:r>
      <w:r>
        <w:t xml:space="preserve"> na inną spółkę </w:t>
      </w:r>
      <w:r w:rsidRPr="00AB53DC">
        <w:t xml:space="preserve">przejmującą za udziały, które spółka przejmująca wydaje wspólnikom spółki przejmowanej (łączenie się przez przejęcie). Zgodnie </w:t>
      </w:r>
      <w:r>
        <w:br/>
      </w:r>
      <w:r w:rsidRPr="00AB53DC">
        <w:t xml:space="preserve">z treścią  art. 494 § 1 ksh spółka przejmująca wstępuje z dniem połączenia </w:t>
      </w:r>
      <w:r>
        <w:br/>
      </w:r>
      <w:r w:rsidRPr="00AB53DC">
        <w:t xml:space="preserve">we wszystkie prawa i obowiązki spółki przejmowanej. </w:t>
      </w:r>
      <w:r>
        <w:t>Ponadto należy zwrócić uwagę, że zgo</w:t>
      </w:r>
      <w:r w:rsidRPr="00AB53DC">
        <w:t>dnie</w:t>
      </w:r>
      <w:r>
        <w:t xml:space="preserve"> </w:t>
      </w:r>
      <w:r w:rsidRPr="00AB53DC">
        <w:t>z treścią art. 494 §</w:t>
      </w:r>
      <w:r>
        <w:t xml:space="preserve"> 2</w:t>
      </w:r>
      <w:r w:rsidRPr="00AB53DC">
        <w:t xml:space="preserve"> ksh </w:t>
      </w:r>
      <w:r>
        <w:t>n</w:t>
      </w:r>
      <w:r w:rsidRPr="00016BE7">
        <w:t>a spółkę przejmującą albo spółkę nowo zawiązaną przechodzą z dniem </w:t>
      </w:r>
      <w:r w:rsidRPr="00016BE7">
        <w:rPr>
          <w:bCs/>
        </w:rPr>
        <w:t>połączenia</w:t>
      </w:r>
      <w:r w:rsidRPr="00016BE7">
        <w:rPr>
          <w:b/>
          <w:bCs/>
        </w:rPr>
        <w:t xml:space="preserve"> </w:t>
      </w:r>
      <w:r w:rsidRPr="00016BE7">
        <w:t xml:space="preserve">w szczególności zezwolenia, koncesje oraz ulgi, które zostały przyznane spółce przejmowanej albo którejkolwiek ze spółek łączących się przez zawiązanie nowej spółki, chyba że ustawa lub decyzja </w:t>
      </w:r>
      <w:r>
        <w:br/>
      </w:r>
      <w:r w:rsidRPr="00016BE7">
        <w:t>o udzieleniu zezwolenia, koncesji lub ulgi stanowi inaczej</w:t>
      </w:r>
      <w:r>
        <w:t xml:space="preserve">. </w:t>
      </w:r>
      <w:r w:rsidRPr="00AB53DC">
        <w:t xml:space="preserve">Z uwagi na powyższe stroną umów zawartych przez </w:t>
      </w:r>
      <w:r>
        <w:t>Premium Internet S.A., Tele2 Polska sp. z o.o., Crowley Data Poland sp. z o.o. oraz decyzji, których stroną były te spólki</w:t>
      </w:r>
      <w:r w:rsidRPr="00AB53DC">
        <w:t xml:space="preserve">, </w:t>
      </w:r>
      <w:r>
        <w:br/>
      </w:r>
      <w:r w:rsidRPr="00AB53DC">
        <w:t>a wskazanych</w:t>
      </w:r>
      <w:r>
        <w:t xml:space="preserve"> </w:t>
      </w:r>
      <w:r w:rsidRPr="00AB53DC">
        <w:t>we Wniosku</w:t>
      </w:r>
      <w:r>
        <w:t>,</w:t>
      </w:r>
      <w:r w:rsidRPr="00AB53DC">
        <w:t xml:space="preserve"> z chwilą przejęcia stał</w:t>
      </w:r>
      <w:r>
        <w:t>a</w:t>
      </w:r>
      <w:r w:rsidRPr="00AB53DC">
        <w:t xml:space="preserve"> się </w:t>
      </w:r>
      <w:r>
        <w:t xml:space="preserve">Netia. W związku </w:t>
      </w:r>
      <w:r>
        <w:br/>
        <w:t>z powyższym Netia</w:t>
      </w:r>
      <w:r w:rsidRPr="00AB53DC">
        <w:t xml:space="preserve"> posiada legitymację do występowania w postępowaniu dotyczącym zmiany umów, porozumień i decyzji, których stronami był</w:t>
      </w:r>
      <w:r>
        <w:t>y</w:t>
      </w:r>
      <w:r w:rsidRPr="00AB53DC">
        <w:t xml:space="preserve"> </w:t>
      </w:r>
      <w:r>
        <w:t>Premium Internet S.A., Tele2 Polska sp. z o.o., Crowley Data Poland sp. z o.o</w:t>
      </w:r>
      <w:r w:rsidRPr="00AB53DC">
        <w:t>.</w:t>
      </w:r>
    </w:p>
    <w:p w:rsidR="00203DFD" w:rsidRDefault="00203DFD" w:rsidP="00C62805">
      <w:pPr>
        <w:spacing w:before="120" w:after="120"/>
        <w:jc w:val="both"/>
      </w:pPr>
      <w:r w:rsidRPr="00B67B1F">
        <w:t>Prezes UKE wskazuje</w:t>
      </w:r>
      <w:r>
        <w:t xml:space="preserve"> ponadto</w:t>
      </w:r>
      <w:r w:rsidRPr="00B67B1F">
        <w:t xml:space="preserve">, że </w:t>
      </w:r>
      <w:r>
        <w:t xml:space="preserve">Wniosek obejmował swym zakresem zmianę wielu wymienionych we Wniosku umów, porozumień i decyzji o dostępie telekomunikacyjnym, co sugerowałoby konieczność wszczęcia i prowadzenia odrębnego postępowania administracyjnego w przedmiocie zmiany każdej umowy, </w:t>
      </w:r>
      <w:r>
        <w:br/>
        <w:t xml:space="preserve">porozumienia lub decyzji z osobna. Należy jednak zwrócić uwagę, że zgodnie </w:t>
      </w:r>
      <w:r>
        <w:br/>
        <w:t xml:space="preserve">z art. 62 kpa w sprawach, w których prawa lub obowiązki stron wynikają z tego samego stanu faktycznego oraz z tej samej podstawy prawnej i w których właściwy jest ten sam organ administracji publicznej, można wszcząć i prowadzić jedno postępowanie dotyczące więcej niż jednej strony.  </w:t>
      </w:r>
    </w:p>
    <w:p w:rsidR="00203DFD" w:rsidRDefault="00203DFD" w:rsidP="00C62805">
      <w:pPr>
        <w:spacing w:before="120" w:after="120"/>
        <w:jc w:val="both"/>
      </w:pPr>
      <w:r>
        <w:t>W</w:t>
      </w:r>
      <w:r w:rsidRPr="00C60A84">
        <w:t xml:space="preserve"> myśl powyższego zastosowanie art. 62 kpa jest fakultatywnym uprawnieniem organu, z którego może skorzystać, gdy widzi korzyści płynące z połączenia kilku odrębnych postępowań administracyjnych</w:t>
      </w:r>
      <w:r>
        <w:t>,</w:t>
      </w:r>
      <w:r w:rsidRPr="001E7B5A">
        <w:t xml:space="preserve"> </w:t>
      </w:r>
      <w:r>
        <w:t xml:space="preserve">które w niniejszej sprawie należy rozpatrywać w kontekście zasady szybkości i ekonomiki postępowania, wyrażonej </w:t>
      </w:r>
      <w:r>
        <w:br/>
      </w:r>
      <w:r>
        <w:lastRenderedPageBreak/>
        <w:t xml:space="preserve">w art. 12 kpa. Badając możliwość wszczęcia i prowadzenia jednego postępowania dotyczącego wskazanych w sentencji niniejszej decyzji umów i porozumień należy wziąć pod uwagę, iż jak wskazuje B. Adamiak i J. Borkowski w Komentarzu </w:t>
      </w:r>
      <w:r>
        <w:br/>
        <w:t xml:space="preserve">do Kodeksu postępowania administracyjnego, C.H. BECK Warszawa 2006, str. 357, </w:t>
      </w:r>
      <w:r>
        <w:rPr>
          <w:i/>
        </w:rPr>
        <w:t xml:space="preserve">„dopuszczalność rozpatrzenia kilku spraw administracyjnych w jednym postępowaniu uzależnia art. 62 od łącznego spełnienia trzech przesłanek: </w:t>
      </w:r>
    </w:p>
    <w:p w:rsidR="00203DFD" w:rsidRDefault="00203DFD" w:rsidP="003565CD">
      <w:pPr>
        <w:numPr>
          <w:ilvl w:val="0"/>
          <w:numId w:val="17"/>
        </w:numPr>
        <w:tabs>
          <w:tab w:val="clear" w:pos="705"/>
          <w:tab w:val="num" w:pos="360"/>
        </w:tabs>
        <w:spacing w:before="120"/>
        <w:ind w:left="360" w:hanging="360"/>
        <w:jc w:val="both"/>
        <w:rPr>
          <w:i/>
        </w:rPr>
      </w:pPr>
      <w:r>
        <w:rPr>
          <w:i/>
        </w:rPr>
        <w:t xml:space="preserve">przesłanki identycznego stanu faktycznego, przez którą należy rozumieć istnienie </w:t>
      </w:r>
      <w:r>
        <w:rPr>
          <w:i/>
        </w:rPr>
        <w:br/>
        <w:t>w rzeczywistości w różnych sprawach takiego samego stanu faktycznego (…)</w:t>
      </w:r>
    </w:p>
    <w:p w:rsidR="00203DFD" w:rsidRDefault="00203DFD" w:rsidP="003565CD">
      <w:pPr>
        <w:numPr>
          <w:ilvl w:val="0"/>
          <w:numId w:val="17"/>
        </w:numPr>
        <w:tabs>
          <w:tab w:val="clear" w:pos="705"/>
          <w:tab w:val="num" w:pos="360"/>
        </w:tabs>
        <w:spacing w:before="120"/>
        <w:ind w:left="360" w:hanging="360"/>
        <w:jc w:val="both"/>
        <w:rPr>
          <w:i/>
        </w:rPr>
      </w:pPr>
      <w:r>
        <w:rPr>
          <w:i/>
        </w:rPr>
        <w:t>identycznej podstawy prawnej, a więc gdy podstawą prawną powstania danych stosunków materialno-prawnych jest taka sama norma prawna (…)</w:t>
      </w:r>
    </w:p>
    <w:p w:rsidR="00203DFD" w:rsidRDefault="00203DFD" w:rsidP="003565CD">
      <w:pPr>
        <w:numPr>
          <w:ilvl w:val="0"/>
          <w:numId w:val="17"/>
        </w:numPr>
        <w:tabs>
          <w:tab w:val="clear" w:pos="705"/>
          <w:tab w:val="num" w:pos="360"/>
        </w:tabs>
        <w:spacing w:before="120"/>
        <w:ind w:left="360" w:hanging="360"/>
        <w:jc w:val="both"/>
        <w:rPr>
          <w:i/>
        </w:rPr>
      </w:pPr>
      <w:r>
        <w:rPr>
          <w:i/>
        </w:rPr>
        <w:t>właściwości jednego organu administracji publicznej, a więc chodzi w tym przypadku o właściwość zarówno rzeczową jak i miejscową.”</w:t>
      </w:r>
    </w:p>
    <w:p w:rsidR="00203DFD" w:rsidRDefault="00203DFD" w:rsidP="00C62805">
      <w:pPr>
        <w:spacing w:before="120"/>
        <w:jc w:val="both"/>
      </w:pPr>
      <w:r>
        <w:t xml:space="preserve">Celem stwierdzenia spełnienia w niniejszej sprawie przesłanek określonych </w:t>
      </w:r>
      <w:r>
        <w:br/>
        <w:t>w pkt 1, jak i w pkt 2 oraz pkt 3 powyżej, należy dokonać ich analizy w świetle okoliczności niniejszej sprawy.</w:t>
      </w:r>
    </w:p>
    <w:p w:rsidR="00203DFD" w:rsidRDefault="00203DFD" w:rsidP="00C62805">
      <w:pPr>
        <w:spacing w:before="120"/>
        <w:jc w:val="both"/>
      </w:pPr>
      <w:r>
        <w:t xml:space="preserve">Odnosząc się do przesłanki, o której mowa w pkt 1 powyżej, należy dokonać oceny, </w:t>
      </w:r>
      <w:r>
        <w:br/>
        <w:t xml:space="preserve">czy w odniesieniu do okoliczności niniejszej sprawy został spełniony wymóg występowania tego samego stanu faktycznego. W doktrynie podnosi się, </w:t>
      </w:r>
      <w:r>
        <w:br/>
        <w:t>że w dyspozycji art. 62 kpa „</w:t>
      </w:r>
      <w:r>
        <w:rPr>
          <w:i/>
        </w:rPr>
        <w:t xml:space="preserve">wyjaśnienie określeń „tego samego stanu faktycznego” </w:t>
      </w:r>
      <w:r>
        <w:rPr>
          <w:i/>
        </w:rPr>
        <w:br/>
        <w:t xml:space="preserve">i „tej samej podstawy prawnej” wymaga zastosowania wykładni logicznej. </w:t>
      </w:r>
      <w:r>
        <w:rPr>
          <w:i/>
        </w:rPr>
        <w:br/>
        <w:t xml:space="preserve">Przy wielości stron w tej samej sprawie administracyjnej zostaje zawiązane jedno postępowanie administracyjne, w związku z tym nie ma tutaj w ogóle dylematu, </w:t>
      </w:r>
      <w:r>
        <w:rPr>
          <w:i/>
        </w:rPr>
        <w:br/>
        <w:t>czy należy wszcząć i prowadzić więcej postępowań. Ustawodawca miał tu w rzeczywistości na uwadze „jednakową” podstawę faktyczną i prawną (mówiąc inaczej „taką samą”, „jednorodzajową”, „identyczną”).</w:t>
      </w:r>
      <w:r>
        <w:t xml:space="preserve">” (tak: G. Łaszczyca, </w:t>
      </w:r>
      <w:r>
        <w:br/>
        <w:t xml:space="preserve">C. Martysz, A. Matan, Komentarz do art. 62 Kodeksu postępowania administracyjnego, LEX 2010). </w:t>
      </w:r>
      <w:r w:rsidRPr="00C60A84">
        <w:t>Mając na uwadze przytoczone powyżej pogląd</w:t>
      </w:r>
      <w:r>
        <w:t>y</w:t>
      </w:r>
      <w:r w:rsidRPr="00C60A84">
        <w:t xml:space="preserve"> doktryny, wskazać należy, że stany faktyczne</w:t>
      </w:r>
      <w:r>
        <w:t xml:space="preserve"> </w:t>
      </w:r>
      <w:r w:rsidRPr="00C60A84">
        <w:t>spraw</w:t>
      </w:r>
      <w:r>
        <w:t xml:space="preserve"> administracyjnych, które mają podlegać połączeniu na podstawie art. 62 kpa </w:t>
      </w:r>
      <w:r w:rsidRPr="00C60A84">
        <w:t>nie muszą być tożsame, a jedynie jednorodzajowe.</w:t>
      </w:r>
      <w:r>
        <w:t xml:space="preserve">  </w:t>
      </w:r>
    </w:p>
    <w:p w:rsidR="00203DFD" w:rsidRDefault="00203DFD" w:rsidP="00C62805">
      <w:pPr>
        <w:spacing w:before="120"/>
        <w:jc w:val="both"/>
      </w:pPr>
      <w:r>
        <w:t xml:space="preserve">Pierwszym elementem łączącym stany faktyczne odnoszące się do wszystkich umów, porozumień i decyzji wymienionych we Wniosku, który potwierdza </w:t>
      </w:r>
      <w:r>
        <w:br/>
        <w:t xml:space="preserve">ich jednorodzajowość jest fakt, że dotyczą one zmiany umów, porozumień i decyzji </w:t>
      </w:r>
      <w:r>
        <w:br/>
        <w:t xml:space="preserve">w przedmiocie dostępu telekomunikacyjnego. Z drugiej zaś strony, ww. umowy, porozumienia i decyzje, stosownie do propozycji OPL zawartej we Wniosku, miałyby zostać zastąpione jednolitymi warunkami współpracy wynikającymi </w:t>
      </w:r>
      <w:r>
        <w:br/>
        <w:t xml:space="preserve">z tej samej oferty ramowej tj. Oferty SOR, co również należy uznać za element przemawiający za jednorodzajowością stanów faktycznych wynikających </w:t>
      </w:r>
      <w:r>
        <w:br/>
        <w:t xml:space="preserve">z wnioskowanej przez OPL zmiany wymienionych we Wniosku umów, porozumień </w:t>
      </w:r>
      <w:r>
        <w:br/>
        <w:t>i decyzji. Pierwszą z ww. przesłanek wszczęcia i prowadzenia jednego postępowania w niniejszej sprawie należy zatem uznać za spełnioną.</w:t>
      </w:r>
    </w:p>
    <w:p w:rsidR="00203DFD" w:rsidRDefault="00203DFD" w:rsidP="001A78B1">
      <w:pPr>
        <w:spacing w:before="120"/>
        <w:jc w:val="both"/>
      </w:pPr>
      <w:r>
        <w:t xml:space="preserve">W odniesieniu do przesłanki, o której mowa w pkt 2 powyżej, wskazać należy, </w:t>
      </w:r>
      <w:r>
        <w:br/>
        <w:t xml:space="preserve">iż rozstrzygnięcie o prawach i obowiązkach stron w zakresie zmiany warunków współpracy w ramach dostępu telekomunikacyjnego, które uregulowane były dotychczas w umowach i porozumieniach wymienionych we Wniosku opiera się </w:t>
      </w:r>
      <w:r>
        <w:br/>
        <w:t xml:space="preserve">na tej samej podstawie prawnej tj. na podstawie normy wynikającej z przepisu </w:t>
      </w:r>
      <w:r>
        <w:br/>
        <w:t xml:space="preserve">art. 28 ust. 1 Pt w związku z art. 30 ust. 1 Pt. Mając na uwadze powyższe Prezes UKE wskazuje ponadto, że Wniosek obejmował swym zakresem nie tylko zmianę </w:t>
      </w:r>
      <w:r>
        <w:lastRenderedPageBreak/>
        <w:t xml:space="preserve">umów i porozumień, ale </w:t>
      </w:r>
      <w:r w:rsidRPr="00B67B1F">
        <w:t>również zmianę decyzji o dostępie</w:t>
      </w:r>
      <w:r>
        <w:t xml:space="preserve"> telekomunikacyjnym, </w:t>
      </w:r>
      <w:r>
        <w:br/>
        <w:t>a p</w:t>
      </w:r>
      <w:r w:rsidRPr="00B67B1F">
        <w:t>odstawą</w:t>
      </w:r>
      <w:r>
        <w:t xml:space="preserve"> </w:t>
      </w:r>
      <w:r w:rsidRPr="00B67B1F">
        <w:t xml:space="preserve">do zmiany warunków współpracy określonych w decyzjach Prezesa UKE zastępujących umowy </w:t>
      </w:r>
      <w:r>
        <w:t xml:space="preserve">o dostępie </w:t>
      </w:r>
      <w:r w:rsidRPr="00B67B1F">
        <w:t>jest art. 28 ust. 6 Pt</w:t>
      </w:r>
      <w:r>
        <w:t xml:space="preserve"> (przy czym Prezes UKE wskazuje, że merytoryczne rozstrzygniecie w niniejszej sprawie ostatecznie </w:t>
      </w:r>
      <w:r w:rsidR="005D1C91">
        <w:br/>
      </w:r>
      <w:r>
        <w:t xml:space="preserve">nie zostało podjęte na podstawie art. 28 ust. 6 Pt bowiem w zakresie, w jakim dotyczyło zmiany decyzji administracyjnych zostało umorzone z uwagi na cofnięcie Wniosku w tym zakresie przez OPL, o czym będzie jeszcze mowa w uzasadnieniu niniejszej decyzji. Niemniej podkreślić w tym miejscu należy, że przed cofnięciem Wniosku przez OPL w odnośnym zakresie niniejsze postępowanie toczyło się także </w:t>
      </w:r>
      <w:r>
        <w:br/>
        <w:t xml:space="preserve">na podstawie art. 28 ust. 6 Pt). Oznacza to, że niniejsze postępowanie toczyło się </w:t>
      </w:r>
      <w:r>
        <w:br/>
        <w:t>na podstawie art. 28 ust. 1 w związku z art. 30 ust. 1 Pt oraz art. 28 ust. 6 Pt</w:t>
      </w:r>
      <w:r w:rsidRPr="00B67B1F">
        <w:t>.</w:t>
      </w:r>
      <w:r>
        <w:t xml:space="preserve"> Prezes UKE wskazuje w związku z powyższym, że w jego opinii uzasadnione jest prowadzenie jednego postępowania w niniejszej sprawie</w:t>
      </w:r>
      <w:r w:rsidRPr="00B67B1F">
        <w:t>, pomimo odmiennej podstawy prawnej dla zmiany warunków współpracy określonych w umowach oraz określonych w decyzjach Prezesa UKE</w:t>
      </w:r>
      <w:r>
        <w:t xml:space="preserve">. </w:t>
      </w:r>
      <w:r w:rsidRPr="00B67B1F">
        <w:t>Jak wskazuje się bowiem</w:t>
      </w:r>
      <w:r>
        <w:t xml:space="preserve"> </w:t>
      </w:r>
      <w:r w:rsidRPr="00B67B1F">
        <w:t>w orzecznictwie sądów administracyjnych, jeśli nawet podstawa prawna nie jest</w:t>
      </w:r>
      <w:r>
        <w:t xml:space="preserve"> </w:t>
      </w:r>
      <w:r w:rsidRPr="00B67B1F">
        <w:t>ta sama (tożsama), lecz istnieje ten sam przedmiot postępowania i okoliczności faktyczne, a interesy stron są zbieżne, to zasady praworządności, szybkości</w:t>
      </w:r>
      <w:r>
        <w:t xml:space="preserve"> </w:t>
      </w:r>
      <w:r w:rsidRPr="00B67B1F">
        <w:t xml:space="preserve">i ekonomiczności postępowania wymagają wydania jednej decyzji w sprawie rozstrzygającej </w:t>
      </w:r>
      <w:r>
        <w:br/>
      </w:r>
      <w:r w:rsidRPr="00B67B1F">
        <w:t>o prawach i obowiązkach wszystkich stron postępowania (tak: wyrok Wojewódzkiego Sądu Administracyjnego z dnia</w:t>
      </w:r>
      <w:r>
        <w:t xml:space="preserve"> </w:t>
      </w:r>
      <w:r w:rsidRPr="00B67B1F">
        <w:t>9 listopada 2010 r., sygn. akt II SA/Bk 98/10, LEX nr 752408, podobnie Naczelny Sąd Administracyjny w wyroku</w:t>
      </w:r>
      <w:r>
        <w:t xml:space="preserve"> </w:t>
      </w:r>
      <w:r>
        <w:br/>
      </w:r>
      <w:r w:rsidRPr="00B67B1F">
        <w:t xml:space="preserve">z dnia 2 lipca 1982 r., sygn. akt I SA 438/82, </w:t>
      </w:r>
      <w:r w:rsidRPr="00B67B1F">
        <w:rPr>
          <w:iCs/>
        </w:rPr>
        <w:t>ONSA 1982/2/68)</w:t>
      </w:r>
      <w:r w:rsidRPr="00B67B1F">
        <w:t xml:space="preserve">. Z analogiczną sytuacją mamy do czynienia w przedmiotowej sprawie, gdzie istnieje ten sam przedmiot postępowania (tj. dostosowanie aktualnych warunków współpracy pomiędzy stronami do Oferty SOR) i okoliczności faktyczne (tożsame negocjacje </w:t>
      </w:r>
      <w:r>
        <w:br/>
      </w:r>
      <w:r w:rsidRPr="00B67B1F">
        <w:t>w przedmiocie dostosowania aktualnych warunków współpracy pomiędzy stronami, określonych zarówno w umowach jak i decyzjach Prezesa UKE do Oferty SOR). Mając na uwadze powyższe orzecznictwo sądowoadministracyjne, w pełni uprawnione jest zatem działanie Prezesa UKE</w:t>
      </w:r>
      <w:r>
        <w:t>,</w:t>
      </w:r>
      <w:r w:rsidRPr="00B67B1F">
        <w:t xml:space="preserve"> polegające na</w:t>
      </w:r>
      <w:r>
        <w:t xml:space="preserve"> prowadzeniu jednego postępowania w przedmiocie </w:t>
      </w:r>
      <w:r w:rsidRPr="00B67B1F">
        <w:t>zmian</w:t>
      </w:r>
      <w:r>
        <w:t>y</w:t>
      </w:r>
      <w:r w:rsidRPr="00B67B1F">
        <w:t xml:space="preserve"> zarówno obowiązujących pomiędzy stronami umów i porozumień na podstawie art. 28</w:t>
      </w:r>
      <w:r>
        <w:t xml:space="preserve"> </w:t>
      </w:r>
      <w:r w:rsidRPr="00B67B1F">
        <w:t xml:space="preserve">ust. 1 Pt w związku z art. 30 </w:t>
      </w:r>
      <w:r>
        <w:t xml:space="preserve">ust. 1 </w:t>
      </w:r>
      <w:r w:rsidRPr="00B67B1F">
        <w:t xml:space="preserve">Pt, </w:t>
      </w:r>
      <w:r>
        <w:br/>
      </w:r>
      <w:r w:rsidRPr="00B67B1F">
        <w:t xml:space="preserve">jak i </w:t>
      </w:r>
      <w:r>
        <w:t xml:space="preserve">(do chwili cofnięcia Wniosku przez OPL w odnośnym zakresie) </w:t>
      </w:r>
      <w:r w:rsidRPr="00B67B1F">
        <w:t>obowiązujących pomiędzy stronami decyzji,</w:t>
      </w:r>
      <w:r>
        <w:t xml:space="preserve"> </w:t>
      </w:r>
      <w:r w:rsidRPr="00B67B1F">
        <w:t xml:space="preserve">na podstawie art. 28 ust. 6 Pt. </w:t>
      </w:r>
    </w:p>
    <w:p w:rsidR="00203DFD" w:rsidRDefault="00203DFD" w:rsidP="00C62805">
      <w:pPr>
        <w:spacing w:before="120"/>
        <w:jc w:val="both"/>
      </w:pPr>
      <w:r>
        <w:t xml:space="preserve">Odnosząc się natomiast do przesłanki nr 3, o której mowa w art. 62 kpa, wskazać należy, iż organem właściwym do rozstrzygnięcia o prawach i obowiązkach stron </w:t>
      </w:r>
      <w:r>
        <w:br/>
        <w:t xml:space="preserve">w zakresie zmiany warunków współpracy w ramach dostępu telekomunikacyjnego, które uregulowane były dotychczas w umowach i porozumieniach wymienionych </w:t>
      </w:r>
      <w:r>
        <w:br/>
        <w:t>we Wniosku jest Prezes UKE, stosownie do art. 192 ust. 1 pkt 6 Pt.</w:t>
      </w:r>
    </w:p>
    <w:p w:rsidR="00203DFD" w:rsidRDefault="00203DFD" w:rsidP="00C62805">
      <w:pPr>
        <w:autoSpaceDE w:val="0"/>
        <w:autoSpaceDN w:val="0"/>
        <w:adjustRightInd w:val="0"/>
        <w:spacing w:before="120" w:after="120"/>
        <w:jc w:val="both"/>
      </w:pPr>
      <w:r>
        <w:t xml:space="preserve">Mając na uwadze powyższe, Prezes UKE skorzystał z uprawnienia do wszczęcia </w:t>
      </w:r>
      <w:r>
        <w:br/>
        <w:t xml:space="preserve">i prowadzenia jednego postępowania administracyjnego w odpowiedzi na złożony przez OPL Wniosek. Decydując się na takie rozstrzygnięcie Prezes UKE wziął </w:t>
      </w:r>
      <w:r>
        <w:br/>
        <w:t xml:space="preserve">pod uwagę oczywiste korzyści </w:t>
      </w:r>
      <w:r w:rsidRPr="00C60A84">
        <w:t>płynące z połączenia kilku odrębnych postępowań administracyjnych</w:t>
      </w:r>
      <w:r>
        <w:t>, które przejawiają się w tym, że</w:t>
      </w:r>
      <w:r w:rsidDel="00D917F7">
        <w:t xml:space="preserve"> </w:t>
      </w:r>
      <w:r>
        <w:t xml:space="preserve">prowadzenie jednego postępowania administracyjnego w sprawie zmiany warunków współpracy uregulowanych dotychczas we wskazanych we Wniosku umowach, porozumieniach i decyzjach jest szczególnie uzasadnione w świetle art. 12 kpa, stanowiącego, </w:t>
      </w:r>
      <w:r>
        <w:br/>
        <w:t xml:space="preserve">że organy administracji publicznej powinny działać w sprawie wnikliwie i szybko, posługując się możliwie najprostszymi środkami prowadzącymi do jej załatwienia. </w:t>
      </w:r>
    </w:p>
    <w:p w:rsidR="00203DFD" w:rsidRPr="00350B90" w:rsidRDefault="00203DFD" w:rsidP="003717FA">
      <w:pPr>
        <w:autoSpaceDE w:val="0"/>
        <w:autoSpaceDN w:val="0"/>
        <w:adjustRightInd w:val="0"/>
        <w:spacing w:before="100"/>
        <w:jc w:val="both"/>
      </w:pPr>
      <w:r w:rsidRPr="00AB53DC">
        <w:lastRenderedPageBreak/>
        <w:t xml:space="preserve">Prezes UKE, rozstrzygając spór dotyczący dostępu telekomunikacyjnego, opiera się na stanowiskach stron, kierując się jednocześnie kryteriami określonymi </w:t>
      </w:r>
      <w:r>
        <w:br/>
      </w:r>
      <w:r w:rsidRPr="00AB53DC">
        <w:t>w art. 28 ust. 1 Pt. Natomiast wskazane przez strony możliwości wdrożenia rozwiązań dotyczących dostępu telekomunikacyjnego stanowią jedynie punkt wyjścia do dalszych ustaleń czynionych przez Prezesa UKE. Stanowisko takie jest także prezentowane w doktrynie: „</w:t>
      </w:r>
      <w:r w:rsidRPr="00AB53DC">
        <w:rPr>
          <w:i/>
          <w:iCs/>
        </w:rPr>
        <w:t xml:space="preserve">Prezes URTiP </w:t>
      </w:r>
      <w:r w:rsidRPr="00AB53DC">
        <w:t xml:space="preserve">[Prezes UKE] </w:t>
      </w:r>
      <w:r w:rsidRPr="00AB53DC">
        <w:rPr>
          <w:i/>
          <w:iCs/>
        </w:rPr>
        <w:t>nie jest ograniczony do</w:t>
      </w:r>
      <w:r w:rsidRPr="00C15682">
        <w:rPr>
          <w:i/>
          <w:iCs/>
        </w:rPr>
        <w:t> </w:t>
      </w:r>
      <w:r w:rsidRPr="00AB53DC">
        <w:rPr>
          <w:i/>
          <w:iCs/>
        </w:rPr>
        <w:t xml:space="preserve">wyboru jednego ze stanowisk przedstawionych przez przedsiębiorców. Powinien on aktywnie poszukiwać praktycznych rozwiązań w kwestiach spornych i nie musi się ograniczać do rozwiązań zaproponowanych przez strony” </w:t>
      </w:r>
      <w:r w:rsidRPr="00AB53DC">
        <w:t xml:space="preserve">(por. S. Piątek, Prawo telekomunikacyjne. Komentarz, Wyd. 2, Wydawnictwo C. H. Beck, Warszawa </w:t>
      </w:r>
      <w:r w:rsidRPr="00C15682">
        <w:br/>
      </w:r>
      <w:r w:rsidRPr="00AB53DC">
        <w:t>2005, s. 280). „</w:t>
      </w:r>
      <w:r w:rsidRPr="00AB53DC">
        <w:rPr>
          <w:i/>
        </w:rPr>
        <w:t xml:space="preserve">Prezes UKE powinien rozstrzygnąć istniejące kwestie sporne </w:t>
      </w:r>
      <w:r w:rsidRPr="00C15682">
        <w:rPr>
          <w:i/>
        </w:rPr>
        <w:br/>
      </w:r>
      <w:r w:rsidRPr="00AB53DC">
        <w:rPr>
          <w:i/>
        </w:rPr>
        <w:t xml:space="preserve">i rozbieżności między stronami. Nie oznacza to jednak, że powinien rozstrzygnąć wybierając jedno ze stanowisk przedstawionych przez strony. Prezes UKE </w:t>
      </w:r>
      <w:r w:rsidR="00717505">
        <w:rPr>
          <w:i/>
        </w:rPr>
        <w:br/>
      </w:r>
      <w:r w:rsidRPr="00AB53DC">
        <w:rPr>
          <w:i/>
        </w:rPr>
        <w:t>ma swobodę w zakresie rozstrzygnięcia, uwzględniając oczywiście przedmiot kwestii spornych.”</w:t>
      </w:r>
      <w:r w:rsidRPr="00AB53DC">
        <w:t xml:space="preserve"> (K. Kawałek, M. Rogalski, Prawo telekomunikacyjne, Komentarz, Wolters Kluwer Polska, Warszawa 2010 r., s. 268). Z powyższego wynika, </w:t>
      </w:r>
      <w:r w:rsidRPr="00C15682">
        <w:br/>
      </w:r>
      <w:r w:rsidRPr="00AB53DC">
        <w:t xml:space="preserve">że decydującego znaczenia dla ustalenia zakresu postępowania o rozstrzygnięcie kwestii spornych nie mają konkretne rozwiązania zaproponowane przez strony, </w:t>
      </w:r>
      <w:r w:rsidRPr="00C15682">
        <w:br/>
      </w:r>
      <w:r w:rsidRPr="00AB53DC">
        <w:t>czy to w trakcie negocjacji, czy we wniosku wszczynającym postępowanie, ponieważ Prezes UKE posiada kompetencję do ich ukształtowania w sposób odmienny niż zaproponowały to strony postępowania. Przy ustalaniu zakresu postępowania decydujące znaczenie przypisać należy w pierwszej kolejności określonym postanowieniom umowy o</w:t>
      </w:r>
      <w:r w:rsidRPr="00C15682">
        <w:t> </w:t>
      </w:r>
      <w:r w:rsidRPr="00AB53DC">
        <w:t xml:space="preserve">dostępie telekomunikacyjnym, które były przedmiotem negocjacji (czy to uprzednio zawartym w umowie o dostępie telekomunikacyjnym czy dopiero proponowanym we wniosku o wszczęcie negocjacji). Wniosek ten wynika z art. 28 ust. 3 Pt, który zobowiązuje przedsiębiorcę telekomunikacyjnego, składającego wniosek o wydanie decyzji o dostępie telekomunikacyjnym do złożenia wraz z nim projektu umowy o dostępie telekomunikacyjnym, wraz z zaznaczeniem tych jej części, co do których strony nie doszły do porozumienia. </w:t>
      </w:r>
    </w:p>
    <w:p w:rsidR="00203DFD" w:rsidRDefault="00203DFD" w:rsidP="00126C17">
      <w:pPr>
        <w:spacing w:before="120" w:after="120"/>
        <w:jc w:val="both"/>
      </w:pPr>
      <w:r>
        <w:t>Stosownie do treści art. 28 ust. 1 Pt, Prezes UKE podejmuje decyzję o dostępie telekomunikacyjnym w terminie 90 dni od dnia złożenia wniosku o zawarcie umowy</w:t>
      </w:r>
      <w:r>
        <w:br/>
        <w:t>o dostępie telekomunikacyjnym, biorąc pod uwagę następujące kryteria:</w:t>
      </w:r>
    </w:p>
    <w:p w:rsidR="00203DFD" w:rsidRDefault="00203DFD" w:rsidP="003565CD">
      <w:pPr>
        <w:pStyle w:val="Wypunktowaniemocne"/>
        <w:numPr>
          <w:ilvl w:val="0"/>
          <w:numId w:val="5"/>
        </w:numPr>
        <w:tabs>
          <w:tab w:val="clear" w:pos="1080"/>
          <w:tab w:val="num" w:pos="360"/>
        </w:tabs>
        <w:suppressAutoHyphens w:val="0"/>
        <w:spacing w:before="120" w:after="120"/>
        <w:ind w:left="360"/>
        <w:rPr>
          <w:lang w:eastAsia="pl-PL"/>
        </w:rPr>
      </w:pPr>
      <w:r>
        <w:rPr>
          <w:lang w:eastAsia="pl-PL"/>
        </w:rPr>
        <w:t>interes użytkowników sieci telekomunikacyjnych;</w:t>
      </w:r>
    </w:p>
    <w:p w:rsidR="00203DFD" w:rsidRDefault="00203DFD" w:rsidP="003565CD">
      <w:pPr>
        <w:pStyle w:val="Wypunktowaniemocne"/>
        <w:numPr>
          <w:ilvl w:val="0"/>
          <w:numId w:val="5"/>
        </w:numPr>
        <w:tabs>
          <w:tab w:val="clear" w:pos="1080"/>
          <w:tab w:val="num" w:pos="360"/>
        </w:tabs>
        <w:suppressAutoHyphens w:val="0"/>
        <w:spacing w:before="120" w:after="120"/>
        <w:ind w:left="360"/>
        <w:rPr>
          <w:lang w:eastAsia="pl-PL"/>
        </w:rPr>
      </w:pPr>
      <w:r>
        <w:rPr>
          <w:lang w:eastAsia="pl-PL"/>
        </w:rPr>
        <w:t>obowiązki nałożone na przedsiębiorców telekomunikacyjnych;</w:t>
      </w:r>
    </w:p>
    <w:p w:rsidR="00203DFD" w:rsidRDefault="00203DFD" w:rsidP="00126C17">
      <w:pPr>
        <w:pStyle w:val="Wypunktowaniemocne"/>
        <w:tabs>
          <w:tab w:val="clear" w:pos="360"/>
        </w:tabs>
        <w:suppressAutoHyphens w:val="0"/>
        <w:spacing w:before="120" w:after="120"/>
        <w:ind w:left="426" w:hanging="426"/>
        <w:rPr>
          <w:lang w:eastAsia="pl-PL"/>
        </w:rPr>
      </w:pPr>
      <w:r>
        <w:rPr>
          <w:lang w:eastAsia="pl-PL"/>
        </w:rPr>
        <w:t>2a) rozwój nowoczesnej infrastruktury telekomunikacyjnej, w tym promowanie efektywnego inwestowania w dziedzinie infrastruktury oraz technologii innowacyjnych;</w:t>
      </w:r>
    </w:p>
    <w:p w:rsidR="00203DFD" w:rsidRDefault="00203DFD" w:rsidP="003565CD">
      <w:pPr>
        <w:pStyle w:val="Wypunktowaniemocne"/>
        <w:numPr>
          <w:ilvl w:val="0"/>
          <w:numId w:val="5"/>
        </w:numPr>
        <w:tabs>
          <w:tab w:val="clear" w:pos="1080"/>
          <w:tab w:val="right" w:pos="360"/>
          <w:tab w:val="left" w:pos="408"/>
        </w:tabs>
        <w:suppressAutoHyphens w:val="0"/>
        <w:spacing w:before="120" w:after="120"/>
        <w:ind w:left="360"/>
        <w:rPr>
          <w:lang w:eastAsia="pl-PL"/>
        </w:rPr>
      </w:pPr>
      <w:r>
        <w:rPr>
          <w:lang w:eastAsia="pl-PL"/>
        </w:rPr>
        <w:t>promocję nowoczesnych usług telekomunikacyjnych;</w:t>
      </w:r>
    </w:p>
    <w:p w:rsidR="00203DFD" w:rsidRDefault="00203DFD" w:rsidP="003565CD">
      <w:pPr>
        <w:pStyle w:val="Tekstpodstawowywcity3"/>
        <w:numPr>
          <w:ilvl w:val="0"/>
          <w:numId w:val="5"/>
        </w:numPr>
        <w:tabs>
          <w:tab w:val="clear" w:pos="1080"/>
          <w:tab w:val="num" w:pos="360"/>
        </w:tabs>
        <w:spacing w:before="120"/>
        <w:ind w:left="360"/>
        <w:jc w:val="both"/>
        <w:rPr>
          <w:sz w:val="24"/>
          <w:szCs w:val="24"/>
        </w:rPr>
      </w:pPr>
      <w:r>
        <w:rPr>
          <w:sz w:val="24"/>
          <w:szCs w:val="24"/>
        </w:rPr>
        <w:t>charakter zaistniałych kwestii spornych oraz praktyczną możliwość wdrożenia rozwiązań dotyczących technicznych i ekonomicznych aspektów dostępu telekomunikacyjnego, zarówno zaproponowanych przez przedsiębiorców telekomunikacyjnych będących stronami negocjacji, jak też mogących stanowić rozwiązania alternatywne;</w:t>
      </w:r>
    </w:p>
    <w:p w:rsidR="00203DFD" w:rsidRDefault="00203DFD" w:rsidP="003565CD">
      <w:pPr>
        <w:pStyle w:val="Tekstpodstawowy3"/>
        <w:numPr>
          <w:ilvl w:val="0"/>
          <w:numId w:val="5"/>
        </w:numPr>
        <w:tabs>
          <w:tab w:val="clear" w:pos="1080"/>
          <w:tab w:val="right" w:pos="360"/>
          <w:tab w:val="left" w:pos="408"/>
        </w:tabs>
        <w:spacing w:before="120"/>
        <w:ind w:left="360"/>
        <w:jc w:val="both"/>
        <w:rPr>
          <w:sz w:val="24"/>
          <w:szCs w:val="24"/>
        </w:rPr>
      </w:pPr>
      <w:r>
        <w:rPr>
          <w:sz w:val="24"/>
          <w:szCs w:val="24"/>
        </w:rPr>
        <w:t>zapewnienie:</w:t>
      </w:r>
    </w:p>
    <w:p w:rsidR="00203DFD" w:rsidRDefault="00203DFD" w:rsidP="003565CD">
      <w:pPr>
        <w:numPr>
          <w:ilvl w:val="0"/>
          <w:numId w:val="6"/>
        </w:numPr>
        <w:tabs>
          <w:tab w:val="left" w:pos="680"/>
        </w:tabs>
        <w:spacing w:before="120" w:after="120"/>
        <w:jc w:val="both"/>
      </w:pPr>
      <w:r>
        <w:t>integralności sieci oraz interoperacyjności usług,</w:t>
      </w:r>
    </w:p>
    <w:p w:rsidR="00203DFD" w:rsidRDefault="00203DFD" w:rsidP="003565CD">
      <w:pPr>
        <w:numPr>
          <w:ilvl w:val="0"/>
          <w:numId w:val="6"/>
        </w:numPr>
        <w:tabs>
          <w:tab w:val="left" w:pos="680"/>
        </w:tabs>
        <w:spacing w:before="120" w:after="120"/>
        <w:jc w:val="both"/>
      </w:pPr>
      <w:r>
        <w:t>niedyskryminujących warunków dostępu telekomunikacyjnego,</w:t>
      </w:r>
    </w:p>
    <w:p w:rsidR="00203DFD" w:rsidRDefault="00203DFD" w:rsidP="003565CD">
      <w:pPr>
        <w:numPr>
          <w:ilvl w:val="0"/>
          <w:numId w:val="6"/>
        </w:numPr>
        <w:tabs>
          <w:tab w:val="left" w:pos="680"/>
        </w:tabs>
        <w:spacing w:before="120" w:after="120"/>
        <w:jc w:val="both"/>
      </w:pPr>
      <w:r>
        <w:lastRenderedPageBreak/>
        <w:t>rozwoju konkurencyjnego rynku usług telekomunikacyjnych;</w:t>
      </w:r>
    </w:p>
    <w:p w:rsidR="00203DFD" w:rsidRDefault="00203DFD" w:rsidP="003565CD">
      <w:pPr>
        <w:numPr>
          <w:ilvl w:val="0"/>
          <w:numId w:val="5"/>
        </w:numPr>
        <w:tabs>
          <w:tab w:val="clear" w:pos="1080"/>
          <w:tab w:val="right" w:pos="360"/>
        </w:tabs>
        <w:spacing w:before="120" w:after="120"/>
        <w:ind w:left="360"/>
        <w:jc w:val="both"/>
      </w:pPr>
      <w:r>
        <w:t xml:space="preserve">pozycje rynkowe przedsiębiorców telekomunikacyjnych, których sieci </w:t>
      </w:r>
      <w:r>
        <w:br/>
        <w:t>są łączone;</w:t>
      </w:r>
    </w:p>
    <w:p w:rsidR="00203DFD" w:rsidRDefault="00203DFD" w:rsidP="003565CD">
      <w:pPr>
        <w:numPr>
          <w:ilvl w:val="0"/>
          <w:numId w:val="5"/>
        </w:numPr>
        <w:tabs>
          <w:tab w:val="clear" w:pos="1080"/>
          <w:tab w:val="right" w:pos="360"/>
        </w:tabs>
        <w:spacing w:before="120" w:after="120"/>
        <w:ind w:left="360"/>
        <w:jc w:val="both"/>
      </w:pPr>
      <w:r>
        <w:t>interes publiczny, w tym ochronę środowiska;</w:t>
      </w:r>
    </w:p>
    <w:p w:rsidR="00203DFD" w:rsidRDefault="00203DFD" w:rsidP="003565CD">
      <w:pPr>
        <w:numPr>
          <w:ilvl w:val="0"/>
          <w:numId w:val="5"/>
        </w:numPr>
        <w:tabs>
          <w:tab w:val="clear" w:pos="1080"/>
          <w:tab w:val="right" w:pos="360"/>
        </w:tabs>
        <w:spacing w:before="120" w:after="120"/>
        <w:ind w:left="360"/>
        <w:jc w:val="both"/>
      </w:pPr>
      <w:r>
        <w:t>utrzymanie ciągłości świadczenia usługi powszechnej.</w:t>
      </w:r>
    </w:p>
    <w:p w:rsidR="00203DFD" w:rsidRDefault="00203DFD" w:rsidP="00126C17">
      <w:pPr>
        <w:tabs>
          <w:tab w:val="right" w:pos="360"/>
        </w:tabs>
        <w:spacing w:after="120"/>
        <w:jc w:val="both"/>
      </w:pPr>
      <w:r w:rsidRPr="0057391D">
        <w:t xml:space="preserve">Jednocześnie zgodnie z art. 30 </w:t>
      </w:r>
      <w:r>
        <w:t xml:space="preserve">ust. 1 </w:t>
      </w:r>
      <w:r w:rsidRPr="0057391D">
        <w:t>Pt do zmian umów o dostępie telekomunikacyjnym stosuje się odpowiednio przepisy art. 26-28 i art. 33 Pt.</w:t>
      </w:r>
    </w:p>
    <w:p w:rsidR="00203DFD" w:rsidRPr="006C777A" w:rsidRDefault="00203DFD" w:rsidP="00B3322F">
      <w:pPr>
        <w:autoSpaceDE w:val="0"/>
        <w:autoSpaceDN w:val="0"/>
        <w:adjustRightInd w:val="0"/>
        <w:spacing w:after="120"/>
        <w:jc w:val="both"/>
      </w:pPr>
      <w:r w:rsidRPr="00701382">
        <w:t>Prezes UKE, rozstrzygając spór w niniejszej sprawie, wnikliwie rozważył</w:t>
      </w:r>
      <w:r>
        <w:t xml:space="preserve"> zatem </w:t>
      </w:r>
      <w:r w:rsidRPr="00701382">
        <w:t>wsz</w:t>
      </w:r>
      <w:r>
        <w:t>ystkie</w:t>
      </w:r>
      <w:r w:rsidRPr="00701382">
        <w:t xml:space="preserve"> przesłanki, o których mowa w art. 28 ust. 1 Pt. Prezes UKE </w:t>
      </w:r>
      <w:r>
        <w:br/>
      </w:r>
      <w:r w:rsidRPr="00701382">
        <w:t>w szczególności wziął pod uwagę interes użytkowników sieci telekomunikacyjnych (art. 28 ust. 1 pkt 1 Pt), obowiązki nałożone na przedsiębiorców telekomunikacyjnych (art. 28 ust. 1 pkt 2 Pt) oraz ich pozycję rynkową (art. 28 ust. 1 pkt 6 Pt), charakter zaistniałych kwestii spornych oraz praktyczną możliwość wdrożenia rozwiązań dotyczących technicznych i ekonomicznych aspektów dostępu telekomunikacyjnego</w:t>
      </w:r>
      <w:r>
        <w:t xml:space="preserve">, </w:t>
      </w:r>
      <w:r w:rsidRPr="00AB53DC">
        <w:t>zarówno zaproponowanych przez przedsiębiorców telekomunikacyjnych będących stronami negocjacji, jak też mogących stanowić rozwiązanie alternatywne</w:t>
      </w:r>
      <w:r w:rsidRPr="00701382">
        <w:t xml:space="preserve"> (art. 28 ust. 1 pkt 4 Pt), zapewnienie rozwoju konkurencyjnego rynku usług telekomunikacyjnych (art. 28 ust. 1 pkt 5 lit. c Pt) </w:t>
      </w:r>
      <w:r w:rsidR="000A0D73">
        <w:br/>
      </w:r>
      <w:r w:rsidRPr="00701382">
        <w:t xml:space="preserve">oraz zapewnienie niedyskryminujących warunków dostępu telekomunikacyjnego </w:t>
      </w:r>
      <w:r>
        <w:br/>
      </w:r>
      <w:r w:rsidRPr="00701382">
        <w:t>(art. 28 ust. 1 pkt 5 lit. b Pt) oraz interes publiczny (</w:t>
      </w:r>
      <w:r w:rsidRPr="006C777A">
        <w:t xml:space="preserve">art. 28 ust. 1 pkt 7 Pt), </w:t>
      </w:r>
      <w:r w:rsidR="00C66ABC">
        <w:br/>
      </w:r>
      <w:r w:rsidRPr="006C777A">
        <w:t xml:space="preserve">gdyż te właśnie przesłanki, ze względu na charakter spornej sprawy, mają zasadnicze znaczenie dla niniejszego rozstrzygnięcia. Jednocześnie w tym miejscu Prezes UKE zwraca uwagę, w odniesieniu do przesłanek określonych w art. 28 ust. 1 pkt 2a, </w:t>
      </w:r>
      <w:r w:rsidR="00C66ABC">
        <w:br/>
      </w:r>
      <w:r w:rsidRPr="006C777A">
        <w:t xml:space="preserve">pkt 3, pkt 5 lit. a, pkt 7 w zakresie ochrony środowiska oraz pkt 8 Pt, iż ze względu </w:t>
      </w:r>
      <w:r w:rsidRPr="006C777A">
        <w:br/>
        <w:t xml:space="preserve">na charakter sporu między OPL a Netią, nie mogą one mieć znaczenia </w:t>
      </w:r>
      <w:r w:rsidRPr="006C777A">
        <w:br/>
        <w:t>dla niniejszej sprawy, dlatego nie zostały wzięte pod uwagę przy podejmowaniu rozstrzygnięcia zawartego w sentencji niniejszej decyzji.</w:t>
      </w:r>
    </w:p>
    <w:p w:rsidR="00203DFD" w:rsidRPr="006C777A" w:rsidRDefault="00203DFD" w:rsidP="006C2D77">
      <w:pPr>
        <w:pStyle w:val="Tekstpodstawowy3"/>
        <w:tabs>
          <w:tab w:val="left" w:pos="0"/>
        </w:tabs>
        <w:spacing w:before="120"/>
        <w:jc w:val="both"/>
        <w:rPr>
          <w:sz w:val="24"/>
          <w:szCs w:val="24"/>
        </w:rPr>
      </w:pPr>
      <w:r w:rsidRPr="006C777A">
        <w:rPr>
          <w:sz w:val="24"/>
          <w:szCs w:val="24"/>
        </w:rPr>
        <w:t xml:space="preserve">W zakresie rozstrzygnięcia zawartego w pkt I sentencji niniejszej decyzji Prezes UKE w szczególności wziął pod uwagę obowiązki nałożone na przedsiębiorców telekomunikacyjnych (art. 28 ust. 1 pkt 2 Pt), gdyż ta właśnie przesłanka, ze względu na charakter spornej sprawy, ma zasadnicze znaczenie dla tego rozstrzygnięcia. Prezes UKE wskazuje, że na mocy Decyzji SMP OPL na rynku 4, Decyzji SMP OPL na rynku 5, Decyzji SMP OPL na rynku 8 oraz Decyzji SMP OPL na rynku 9 OPL została wyznaczona jako przedsiębiorca zajmujący znaczącą pozycję odpowiednio na rynku hurtowego dostępu do infrastruktury sieciowej w stałej lokalizacji, hurtowego dostępu szerokopasmowego, rozpoczynania połączeń w publicznej stacjonarnej sieci telefonicznej OPL oraz na rynku zakańczania połączeń </w:t>
      </w:r>
      <w:r>
        <w:rPr>
          <w:sz w:val="24"/>
          <w:szCs w:val="24"/>
        </w:rPr>
        <w:br/>
      </w:r>
      <w:r w:rsidRPr="006C777A">
        <w:rPr>
          <w:sz w:val="24"/>
          <w:szCs w:val="24"/>
        </w:rPr>
        <w:t xml:space="preserve">w publicznej stacjonarnej sieci telefonicznej OPL. Na mocy powyższych decyzji, </w:t>
      </w:r>
      <w:r>
        <w:rPr>
          <w:sz w:val="24"/>
          <w:szCs w:val="24"/>
        </w:rPr>
        <w:br/>
      </w:r>
      <w:r w:rsidRPr="006C777A">
        <w:rPr>
          <w:sz w:val="24"/>
          <w:szCs w:val="24"/>
        </w:rPr>
        <w:t xml:space="preserve">na OPL ciąży obowiązek, o którym mowa w art. 42 ust. 1 Pt polegający </w:t>
      </w:r>
      <w:r>
        <w:rPr>
          <w:sz w:val="24"/>
          <w:szCs w:val="24"/>
        </w:rPr>
        <w:br/>
      </w:r>
      <w:r w:rsidRPr="006C777A">
        <w:rPr>
          <w:sz w:val="24"/>
          <w:szCs w:val="24"/>
        </w:rPr>
        <w:t xml:space="preserve">na przygotowaniu i przedstawieniu oferty ramowej. Mając na uwadze powyższe wskazać należy, iż zgodnie z przepisem art. 43 ust. 6 Pt operator, na którego został nałożony obowiązek, o którym mowa w art. 42 ust. 1 Pt, jest obowiązany </w:t>
      </w:r>
      <w:r>
        <w:rPr>
          <w:sz w:val="24"/>
          <w:szCs w:val="24"/>
        </w:rPr>
        <w:br/>
      </w:r>
      <w:r w:rsidRPr="006C777A">
        <w:rPr>
          <w:sz w:val="24"/>
          <w:szCs w:val="24"/>
        </w:rPr>
        <w:t xml:space="preserve">do zawierania umów o dostępie telekomunikacyjnym na warunkach nie gorszych, </w:t>
      </w:r>
      <w:r w:rsidR="00490137">
        <w:rPr>
          <w:sz w:val="24"/>
          <w:szCs w:val="24"/>
        </w:rPr>
        <w:br/>
      </w:r>
      <w:r w:rsidRPr="006C777A">
        <w:rPr>
          <w:sz w:val="24"/>
          <w:szCs w:val="24"/>
        </w:rPr>
        <w:t xml:space="preserve">dla pozostałych stron umowy, niż określone w zatwierdzonej ofercie, o której mowa </w:t>
      </w:r>
      <w:r>
        <w:rPr>
          <w:sz w:val="24"/>
          <w:szCs w:val="24"/>
        </w:rPr>
        <w:br/>
      </w:r>
      <w:r w:rsidRPr="006C777A">
        <w:rPr>
          <w:sz w:val="24"/>
          <w:szCs w:val="24"/>
        </w:rPr>
        <w:t xml:space="preserve">w ust. 1. W niniejszym postępowaniu ofertę taką stanowi Oferta SOR. W zakresie przesłanki nałożonych obowiązków regulacyjnych, Prezes UKE wziął także </w:t>
      </w:r>
      <w:r w:rsidR="00490137">
        <w:rPr>
          <w:sz w:val="24"/>
          <w:szCs w:val="24"/>
        </w:rPr>
        <w:br/>
      </w:r>
      <w:r w:rsidRPr="006C777A">
        <w:rPr>
          <w:sz w:val="24"/>
          <w:szCs w:val="24"/>
        </w:rPr>
        <w:t>pod uwagę, że na Netii ciążą obowi</w:t>
      </w:r>
      <w:r w:rsidRPr="006C777A">
        <w:rPr>
          <w:rFonts w:ascii="TimesNewRoman" w:cs="TimesNewRoman"/>
          <w:sz w:val="24"/>
          <w:szCs w:val="24"/>
        </w:rPr>
        <w:t>ą</w:t>
      </w:r>
      <w:r w:rsidRPr="006C777A">
        <w:rPr>
          <w:sz w:val="24"/>
          <w:szCs w:val="24"/>
        </w:rPr>
        <w:t>zki regulacyjne wynikaj</w:t>
      </w:r>
      <w:r w:rsidRPr="006C777A">
        <w:rPr>
          <w:rFonts w:ascii="TimesNewRoman" w:cs="TimesNewRoman"/>
          <w:sz w:val="24"/>
          <w:szCs w:val="24"/>
        </w:rPr>
        <w:t>ą</w:t>
      </w:r>
      <w:r w:rsidRPr="006C777A">
        <w:rPr>
          <w:sz w:val="24"/>
          <w:szCs w:val="24"/>
        </w:rPr>
        <w:t>ce z Decyzji SMP Netia, któr</w:t>
      </w:r>
      <w:r w:rsidRPr="006C777A">
        <w:rPr>
          <w:rFonts w:ascii="TimesNewRoman" w:cs="TimesNewRoman"/>
          <w:sz w:val="24"/>
          <w:szCs w:val="24"/>
        </w:rPr>
        <w:t>ą</w:t>
      </w:r>
      <w:r w:rsidRPr="006C777A">
        <w:rPr>
          <w:rFonts w:ascii="TimesNewRoman" w:cs="TimesNewRoman"/>
          <w:sz w:val="24"/>
          <w:szCs w:val="24"/>
        </w:rPr>
        <w:t xml:space="preserve"> </w:t>
      </w:r>
      <w:r w:rsidRPr="006C777A">
        <w:rPr>
          <w:sz w:val="24"/>
          <w:szCs w:val="24"/>
        </w:rPr>
        <w:t>Prezes UKE wyznaczył Netię</w:t>
      </w:r>
      <w:r w:rsidRPr="006C777A">
        <w:rPr>
          <w:rFonts w:ascii="TimesNewRoman" w:cs="TimesNewRoman"/>
          <w:sz w:val="24"/>
          <w:szCs w:val="24"/>
        </w:rPr>
        <w:t xml:space="preserve"> </w:t>
      </w:r>
      <w:r w:rsidRPr="006C777A">
        <w:rPr>
          <w:sz w:val="24"/>
          <w:szCs w:val="24"/>
        </w:rPr>
        <w:t>jako przedsi</w:t>
      </w:r>
      <w:r w:rsidRPr="006C777A">
        <w:rPr>
          <w:rFonts w:ascii="TimesNewRoman" w:cs="TimesNewRoman"/>
          <w:sz w:val="24"/>
          <w:szCs w:val="24"/>
        </w:rPr>
        <w:t>ę</w:t>
      </w:r>
      <w:r w:rsidRPr="006C777A">
        <w:rPr>
          <w:sz w:val="24"/>
          <w:szCs w:val="24"/>
        </w:rPr>
        <w:t>biorc</w:t>
      </w:r>
      <w:r w:rsidRPr="006C777A">
        <w:rPr>
          <w:rFonts w:ascii="TimesNewRoman" w:cs="TimesNewRoman"/>
          <w:sz w:val="24"/>
          <w:szCs w:val="24"/>
        </w:rPr>
        <w:t>ę</w:t>
      </w:r>
      <w:r w:rsidRPr="006C777A">
        <w:rPr>
          <w:rFonts w:ascii="TimesNewRoman" w:cs="TimesNewRoman"/>
          <w:sz w:val="24"/>
          <w:szCs w:val="24"/>
        </w:rPr>
        <w:t xml:space="preserve"> </w:t>
      </w:r>
      <w:r w:rsidRPr="006C777A">
        <w:rPr>
          <w:sz w:val="24"/>
          <w:szCs w:val="24"/>
        </w:rPr>
        <w:t xml:space="preserve">telekomunikacyjnego </w:t>
      </w:r>
      <w:r w:rsidRPr="006C777A">
        <w:rPr>
          <w:sz w:val="24"/>
          <w:szCs w:val="24"/>
        </w:rPr>
        <w:lastRenderedPageBreak/>
        <w:t>zajmuj</w:t>
      </w:r>
      <w:r w:rsidRPr="006C777A">
        <w:rPr>
          <w:rFonts w:ascii="TimesNewRoman" w:cs="TimesNewRoman"/>
          <w:sz w:val="24"/>
          <w:szCs w:val="24"/>
        </w:rPr>
        <w:t>ą</w:t>
      </w:r>
      <w:r w:rsidRPr="006C777A">
        <w:rPr>
          <w:sz w:val="24"/>
          <w:szCs w:val="24"/>
        </w:rPr>
        <w:t>cego znacz</w:t>
      </w:r>
      <w:r w:rsidRPr="006C777A">
        <w:rPr>
          <w:rFonts w:ascii="TimesNewRoman" w:cs="TimesNewRoman"/>
          <w:sz w:val="24"/>
          <w:szCs w:val="24"/>
        </w:rPr>
        <w:t>ą</w:t>
      </w:r>
      <w:r w:rsidRPr="006C777A">
        <w:rPr>
          <w:sz w:val="24"/>
          <w:szCs w:val="24"/>
        </w:rPr>
        <w:t>c</w:t>
      </w:r>
      <w:r w:rsidRPr="006C777A">
        <w:rPr>
          <w:rFonts w:ascii="TimesNewRoman" w:cs="TimesNewRoman"/>
          <w:sz w:val="24"/>
          <w:szCs w:val="24"/>
        </w:rPr>
        <w:t>ą</w:t>
      </w:r>
      <w:r w:rsidRPr="006C777A">
        <w:rPr>
          <w:rFonts w:ascii="TimesNewRoman" w:cs="TimesNewRoman"/>
          <w:sz w:val="24"/>
          <w:szCs w:val="24"/>
        </w:rPr>
        <w:t xml:space="preserve"> </w:t>
      </w:r>
      <w:r w:rsidRPr="006C777A">
        <w:rPr>
          <w:sz w:val="24"/>
          <w:szCs w:val="24"/>
        </w:rPr>
        <w:t>pozycj</w:t>
      </w:r>
      <w:r w:rsidRPr="006C777A">
        <w:rPr>
          <w:rFonts w:ascii="TimesNewRoman" w:cs="TimesNewRoman"/>
          <w:sz w:val="24"/>
          <w:szCs w:val="24"/>
        </w:rPr>
        <w:t>ę</w:t>
      </w:r>
      <w:r w:rsidRPr="006C777A">
        <w:rPr>
          <w:sz w:val="24"/>
          <w:szCs w:val="24"/>
        </w:rPr>
        <w:t xml:space="preserve"> na rynku </w:t>
      </w:r>
      <w:r w:rsidRPr="006C777A">
        <w:rPr>
          <w:rFonts w:ascii="TimesNewRoman" w:cs="TimesNewRoman"/>
          <w:sz w:val="24"/>
          <w:szCs w:val="24"/>
        </w:rPr>
        <w:t>ś</w:t>
      </w:r>
      <w:r w:rsidRPr="006C777A">
        <w:rPr>
          <w:sz w:val="24"/>
          <w:szCs w:val="24"/>
        </w:rPr>
        <w:t>wiadczenia usługi zaka</w:t>
      </w:r>
      <w:r w:rsidRPr="006C777A">
        <w:rPr>
          <w:rFonts w:ascii="TimesNewRoman" w:cs="TimesNewRoman"/>
          <w:sz w:val="24"/>
          <w:szCs w:val="24"/>
        </w:rPr>
        <w:t>ń</w:t>
      </w:r>
      <w:r w:rsidRPr="006C777A">
        <w:rPr>
          <w:sz w:val="24"/>
          <w:szCs w:val="24"/>
        </w:rPr>
        <w:t>czania poł</w:t>
      </w:r>
      <w:r w:rsidRPr="006C777A">
        <w:rPr>
          <w:rFonts w:ascii="TimesNewRoman" w:cs="TimesNewRoman"/>
          <w:sz w:val="24"/>
          <w:szCs w:val="24"/>
        </w:rPr>
        <w:t>ą</w:t>
      </w:r>
      <w:r w:rsidRPr="006C777A">
        <w:rPr>
          <w:sz w:val="24"/>
          <w:szCs w:val="24"/>
        </w:rPr>
        <w:t>cze</w:t>
      </w:r>
      <w:r w:rsidRPr="006C777A">
        <w:rPr>
          <w:rFonts w:ascii="TimesNewRoman" w:cs="TimesNewRoman"/>
          <w:sz w:val="24"/>
          <w:szCs w:val="24"/>
        </w:rPr>
        <w:t>ń</w:t>
      </w:r>
      <w:r w:rsidRPr="006C777A">
        <w:rPr>
          <w:sz w:val="24"/>
          <w:szCs w:val="24"/>
        </w:rPr>
        <w:t xml:space="preserve">, </w:t>
      </w:r>
      <w:r>
        <w:rPr>
          <w:sz w:val="24"/>
          <w:szCs w:val="24"/>
        </w:rPr>
        <w:br/>
      </w:r>
      <w:r w:rsidRPr="006C777A">
        <w:rPr>
          <w:sz w:val="24"/>
          <w:szCs w:val="24"/>
        </w:rPr>
        <w:t xml:space="preserve">w stacjonarnej publicznej sieci telefonicznej Netii zgodnym z obszarem sieci, </w:t>
      </w:r>
      <w:r>
        <w:rPr>
          <w:sz w:val="24"/>
          <w:szCs w:val="24"/>
        </w:rPr>
        <w:br/>
      </w:r>
      <w:r w:rsidRPr="006C777A">
        <w:rPr>
          <w:sz w:val="24"/>
          <w:szCs w:val="24"/>
        </w:rPr>
        <w:t xml:space="preserve">w której następuje zakończenie połączenia. </w:t>
      </w:r>
    </w:p>
    <w:p w:rsidR="00203DFD" w:rsidRPr="00350B90" w:rsidRDefault="00203DFD" w:rsidP="006C2D77">
      <w:pPr>
        <w:pStyle w:val="Tekstpodstawowy3"/>
        <w:tabs>
          <w:tab w:val="left" w:pos="0"/>
        </w:tabs>
        <w:spacing w:before="120"/>
        <w:jc w:val="both"/>
        <w:rPr>
          <w:sz w:val="24"/>
          <w:szCs w:val="24"/>
        </w:rPr>
      </w:pPr>
      <w:r w:rsidRPr="006C777A">
        <w:rPr>
          <w:sz w:val="24"/>
          <w:szCs w:val="24"/>
        </w:rPr>
        <w:t xml:space="preserve">Mocą Decyzji SMP Netia Prezes UKE wyznaczył Netię jako przedsiębiorcę </w:t>
      </w:r>
      <w:r w:rsidRPr="00203233">
        <w:rPr>
          <w:sz w:val="24"/>
          <w:szCs w:val="24"/>
        </w:rPr>
        <w:t xml:space="preserve">telekomunikacyjnego zajmującego znaczącą pozycję na rynku świadczenia usługi zakańczania połączeń, w stacjonarnej publicznej sieci telefonicznej Netii zgodnym </w:t>
      </w:r>
      <w:r>
        <w:rPr>
          <w:sz w:val="24"/>
          <w:szCs w:val="24"/>
        </w:rPr>
        <w:br/>
      </w:r>
      <w:r w:rsidRPr="00203233">
        <w:rPr>
          <w:sz w:val="24"/>
          <w:szCs w:val="24"/>
        </w:rPr>
        <w:t>z obszarem sieci, w której następuje zakończenie połączenia. Mocą Decyzji SMP Netia Prezes UKE nałożył na Netię</w:t>
      </w:r>
      <w:r w:rsidRPr="00AB53DC">
        <w:rPr>
          <w:sz w:val="24"/>
          <w:szCs w:val="24"/>
        </w:rPr>
        <w:t xml:space="preserve"> określone obowiązki regulacyjne:</w:t>
      </w:r>
    </w:p>
    <w:p w:rsidR="00203DFD" w:rsidRPr="00021586" w:rsidRDefault="00203DFD" w:rsidP="000D3148">
      <w:pPr>
        <w:spacing w:after="120"/>
        <w:jc w:val="both"/>
      </w:pPr>
      <w:r w:rsidRPr="00021586">
        <w:t xml:space="preserve">1. obowiązek, o którym mowa w art. 34 Pt, polegający na uwzględnianiu uzasadnionych wniosków przedsiębiorców telekomunikacyjnych o zapewnienie </w:t>
      </w:r>
      <w:r>
        <w:br/>
      </w:r>
      <w:r w:rsidRPr="00021586">
        <w:t xml:space="preserve">im dostępu telekomunikacyjnego, w tym użytkowania elementów sieci </w:t>
      </w:r>
      <w:r w:rsidR="00656FB9">
        <w:br/>
      </w:r>
      <w:r w:rsidRPr="00021586">
        <w:t xml:space="preserve">oraz udogodnień towarzyszących, w zakresie świadczenia usługi zakańczania połączeń w stacjonarnej publicznej sieci telefonicznej (sieci telefonicznej w stałej lokalizacji) </w:t>
      </w:r>
      <w:r>
        <w:t>Netii</w:t>
      </w:r>
      <w:r w:rsidRPr="00021586">
        <w:t>  poprzez:</w:t>
      </w:r>
    </w:p>
    <w:p w:rsidR="00203DFD" w:rsidRPr="00021586" w:rsidRDefault="00203DFD" w:rsidP="003565CD">
      <w:pPr>
        <w:numPr>
          <w:ilvl w:val="0"/>
          <w:numId w:val="13"/>
        </w:numPr>
        <w:spacing w:after="120"/>
        <w:jc w:val="both"/>
      </w:pPr>
      <w:r w:rsidRPr="00021586">
        <w:t xml:space="preserve">zapewnienie elementów sieci telekomunikacyjnej niezbędnych </w:t>
      </w:r>
      <w:r w:rsidRPr="00021586">
        <w:br/>
        <w:t xml:space="preserve">do korzystania z usługi zakańczania połączeń w stacjonarnej publicznej sieci telefonicznej (sieci telefonicznej w stałej lokalizacji) </w:t>
      </w:r>
      <w:r>
        <w:t>Netii</w:t>
      </w:r>
      <w:r w:rsidRPr="00021586">
        <w:t>,</w:t>
      </w:r>
    </w:p>
    <w:p w:rsidR="00203DFD" w:rsidRPr="00021586" w:rsidRDefault="00203DFD" w:rsidP="003565CD">
      <w:pPr>
        <w:numPr>
          <w:ilvl w:val="0"/>
          <w:numId w:val="13"/>
        </w:numPr>
        <w:spacing w:after="120"/>
        <w:jc w:val="both"/>
      </w:pPr>
      <w:r w:rsidRPr="00021586">
        <w:t>przyznawanie dostępu do interfejsów, protokołów lub innych kluczowych technologii niezbędnych dla interoperacyjności usług,</w:t>
      </w:r>
    </w:p>
    <w:p w:rsidR="00203DFD" w:rsidRPr="00021586" w:rsidRDefault="00203DFD" w:rsidP="003565CD">
      <w:pPr>
        <w:numPr>
          <w:ilvl w:val="0"/>
          <w:numId w:val="13"/>
        </w:numPr>
        <w:spacing w:after="120"/>
        <w:jc w:val="both"/>
      </w:pPr>
      <w:r w:rsidRPr="00021586">
        <w:t xml:space="preserve">zapewnienie infrastruktury telekomunikacyjnej, kolokacji oraz innych form wspólnego korzystania z budynków niezbędnych do korzystania z usługi zakańczania połączeń w stacjonarnej publicznej sieci telefonicznej (sieci telefonicznej w stałej lokalizacji) </w:t>
      </w:r>
      <w:r>
        <w:t>Netii</w:t>
      </w:r>
      <w:r w:rsidRPr="00021586">
        <w:t>,</w:t>
      </w:r>
    </w:p>
    <w:p w:rsidR="00203DFD" w:rsidRPr="00021586" w:rsidRDefault="00203DFD" w:rsidP="003565CD">
      <w:pPr>
        <w:numPr>
          <w:ilvl w:val="0"/>
          <w:numId w:val="13"/>
        </w:numPr>
        <w:spacing w:after="120"/>
        <w:jc w:val="both"/>
      </w:pPr>
      <w:r w:rsidRPr="00021586">
        <w:t>zapewnienie funkcji sieci niezbędnych do zapewnienia pełnej interoperacyjności usług,</w:t>
      </w:r>
    </w:p>
    <w:p w:rsidR="00203DFD" w:rsidRPr="00021586" w:rsidRDefault="00203DFD" w:rsidP="003565CD">
      <w:pPr>
        <w:numPr>
          <w:ilvl w:val="0"/>
          <w:numId w:val="13"/>
        </w:numPr>
        <w:spacing w:after="120"/>
        <w:jc w:val="both"/>
      </w:pPr>
      <w:r w:rsidRPr="00021586">
        <w:t xml:space="preserve">zapewnienie połączenia sieci lub urządzeń telekomunikacyjnych oraz udogodnień z nimi związanych niezbędnych dla korzystania z usługi zakańczania połączeń w stacjonarnej publicznej sieci telefonicznej (sieci telefonicznej w stałej lokalizacji) </w:t>
      </w:r>
      <w:r>
        <w:t>Netii</w:t>
      </w:r>
      <w:r w:rsidRPr="00021586">
        <w:t>,</w:t>
      </w:r>
    </w:p>
    <w:p w:rsidR="00203DFD" w:rsidRPr="00021586" w:rsidRDefault="00203DFD" w:rsidP="003565CD">
      <w:pPr>
        <w:numPr>
          <w:ilvl w:val="0"/>
          <w:numId w:val="13"/>
        </w:numPr>
        <w:spacing w:after="120"/>
        <w:jc w:val="both"/>
      </w:pPr>
      <w:r w:rsidRPr="00021586">
        <w:t xml:space="preserve">prowadzenie w dobrej wierze negocjacji w sprawie dostępu telekomunikacyjnego w zakresie usługi zakańczania połączeń w stacjonarnej publicznej sieci telefonicznej (sieci telefonicznej w stałej lokalizacji) </w:t>
      </w:r>
      <w:r>
        <w:br/>
        <w:t xml:space="preserve">Netii </w:t>
      </w:r>
      <w:r w:rsidRPr="00021586">
        <w:t>oraz utrzymywaniu uprzednio ustanowionego dostępu telekomunikacyjnego w tym zakresie,</w:t>
      </w:r>
    </w:p>
    <w:p w:rsidR="00203DFD" w:rsidRPr="00021586" w:rsidRDefault="00203DFD" w:rsidP="000D3148">
      <w:pPr>
        <w:spacing w:after="120"/>
        <w:jc w:val="both"/>
      </w:pPr>
      <w:r w:rsidRPr="00021586">
        <w:t xml:space="preserve">2. obowiązek, o którym mowa w art. 36 Pt, polegający na równym traktowaniu przedsiębiorców telekomunikacyjnych w zakresie dostępu telekomunikacyjnego </w:t>
      </w:r>
      <w:r w:rsidRPr="00021586">
        <w:br/>
        <w:t xml:space="preserve">w celu świadczenia usługi zakańczania połączeń w stacjonarnej publicznej sieci telefonicznej (sieci telefonicznej w stałej lokalizacji) </w:t>
      </w:r>
      <w:r>
        <w:t>Netii</w:t>
      </w:r>
      <w:r w:rsidRPr="00021586">
        <w:t xml:space="preserve">, w szczególności przez oferowanie jednakowych warunków w porównywalnych okolicznościach, </w:t>
      </w:r>
      <w:r>
        <w:br/>
      </w:r>
      <w:r w:rsidRPr="00021586">
        <w:t xml:space="preserve">a także oferowanie usług oraz udostępnianie informacji na warunkach nie gorszych </w:t>
      </w:r>
      <w:r w:rsidRPr="00021586">
        <w:br/>
        <w:t xml:space="preserve">od stosowanych w ramach własnego przedsiębiorstwa lub w stosunkach </w:t>
      </w:r>
      <w:r w:rsidRPr="00021586">
        <w:br/>
        <w:t>z podmiotami zależnymi;</w:t>
      </w:r>
    </w:p>
    <w:p w:rsidR="00203DFD" w:rsidRPr="00021586" w:rsidRDefault="00203DFD" w:rsidP="000D3148">
      <w:pPr>
        <w:spacing w:after="120"/>
        <w:jc w:val="both"/>
      </w:pPr>
      <w:r w:rsidRPr="00021586">
        <w:t xml:space="preserve">3. obowiązek, o którym mowa w art. 37 Pt, polegający na ogłaszaniu informacji </w:t>
      </w:r>
      <w:r w:rsidRPr="00021586">
        <w:br/>
        <w:t xml:space="preserve">w sprawach zapewnienia dostępu telekomunikacyjnego w zakresie świadczenia usługi zakańczania połączeń w stacjonarnej publicznej sieci telefonicznej (sieci telefonicznej w stałej lokalizacji) </w:t>
      </w:r>
      <w:r>
        <w:t>Netii</w:t>
      </w:r>
      <w:r w:rsidRPr="00021586">
        <w:t xml:space="preserve">, dotyczących </w:t>
      </w:r>
      <w:r>
        <w:t>specyfikacji technicznych sieci</w:t>
      </w:r>
      <w:r>
        <w:br/>
      </w:r>
      <w:r w:rsidRPr="00021586">
        <w:lastRenderedPageBreak/>
        <w:t>i urządzeń telekomunikacyjnych, charakterystyki sieci, zasad i warunków świadczenia usług oraz korzystania z sieci, a także opłat, przy czym:</w:t>
      </w:r>
    </w:p>
    <w:p w:rsidR="00203DFD" w:rsidRPr="00021586" w:rsidRDefault="00203DFD" w:rsidP="003565CD">
      <w:pPr>
        <w:numPr>
          <w:ilvl w:val="0"/>
          <w:numId w:val="14"/>
        </w:numPr>
        <w:spacing w:after="120"/>
        <w:jc w:val="both"/>
      </w:pPr>
      <w:r w:rsidRPr="00021586">
        <w:t xml:space="preserve">zakres ogłaszanych informacji obejmuje wszystkie informacje dotyczące specyfikacji technicznych sieci i urządzeń telekomunikacyjnych, charakterystyki sieci, zasad i warunków świadczenia usług oraz korzystania </w:t>
      </w:r>
      <w:r w:rsidRPr="00021586">
        <w:br/>
        <w:t xml:space="preserve">z sieci, a także opłat, niezbędne do przygotowania przez zainteresowanych przedsiębiorców telekomunikacyjnych wniosku w sprawie zapewnienia dostępu telekomunikacyjnego w zakresie usługi zakańczania połączeń </w:t>
      </w:r>
      <w:r w:rsidRPr="00021586">
        <w:br/>
        <w:t xml:space="preserve">w stacjonarnej publicznej sieci telefonicznej (sieci telefonicznej w stałej lokalizacji) </w:t>
      </w:r>
      <w:r>
        <w:t>Netii</w:t>
      </w:r>
      <w:r w:rsidRPr="00021586">
        <w:t>,</w:t>
      </w:r>
    </w:p>
    <w:p w:rsidR="00203DFD" w:rsidRPr="00021586" w:rsidRDefault="00203DFD" w:rsidP="003565CD">
      <w:pPr>
        <w:numPr>
          <w:ilvl w:val="0"/>
          <w:numId w:val="14"/>
        </w:numPr>
        <w:spacing w:after="120"/>
        <w:jc w:val="both"/>
      </w:pPr>
      <w:r w:rsidRPr="00021586">
        <w:t xml:space="preserve">publikacja wskazanych powyżej informacji następuje w formie elektronicznej na oficjalnej stronie internetowej (www) </w:t>
      </w:r>
      <w:r>
        <w:t>Netii</w:t>
      </w:r>
      <w:r w:rsidRPr="00021586">
        <w:t>,</w:t>
      </w:r>
    </w:p>
    <w:p w:rsidR="00203DFD" w:rsidRDefault="00203DFD" w:rsidP="003565CD">
      <w:pPr>
        <w:numPr>
          <w:ilvl w:val="0"/>
          <w:numId w:val="14"/>
        </w:numPr>
        <w:spacing w:after="120"/>
        <w:jc w:val="both"/>
      </w:pPr>
      <w:r w:rsidRPr="00021586">
        <w:t xml:space="preserve">powyższe informacje </w:t>
      </w:r>
      <w:r>
        <w:t>Netii</w:t>
      </w:r>
      <w:r w:rsidRPr="00021586">
        <w:t xml:space="preserve"> ogłasza niezwł</w:t>
      </w:r>
      <w:r>
        <w:t>ocznie, nie później jednak niż</w:t>
      </w:r>
      <w:r>
        <w:br/>
      </w:r>
      <w:r w:rsidRPr="00021586">
        <w:t>w terminie trzech miesięcy od dnia doręczenia Decyzji SMP</w:t>
      </w:r>
      <w:r>
        <w:t xml:space="preserve"> Netii,</w:t>
      </w:r>
      <w:r>
        <w:br/>
      </w:r>
      <w:r w:rsidRPr="00021586">
        <w:t xml:space="preserve">a w przypadku zmiany zakresu bądź treści publikowanej informacji </w:t>
      </w:r>
      <w:r>
        <w:br/>
        <w:t xml:space="preserve">Netia </w:t>
      </w:r>
      <w:r w:rsidRPr="00021586">
        <w:t xml:space="preserve">jest zobowiązana ją ogłosić niezwłocznie, nie później jednak niż </w:t>
      </w:r>
      <w:r>
        <w:br/>
      </w:r>
      <w:r w:rsidRPr="00021586">
        <w:t>w terminie 1 tygodnia od wprowadzonej zmiany;</w:t>
      </w:r>
    </w:p>
    <w:p w:rsidR="00203DFD" w:rsidRDefault="00203DFD" w:rsidP="000D3148">
      <w:pPr>
        <w:pStyle w:val="Tekstpodstawowy3"/>
        <w:tabs>
          <w:tab w:val="left" w:pos="0"/>
        </w:tabs>
        <w:spacing w:before="120"/>
        <w:jc w:val="both"/>
        <w:rPr>
          <w:sz w:val="24"/>
          <w:szCs w:val="24"/>
        </w:rPr>
      </w:pPr>
      <w:r w:rsidRPr="000D3148">
        <w:rPr>
          <w:sz w:val="24"/>
          <w:szCs w:val="24"/>
        </w:rPr>
        <w:t xml:space="preserve">Podkreślenia wymaga również fakt, iż w przeciwieństwie do OPL na </w:t>
      </w:r>
      <w:r>
        <w:rPr>
          <w:sz w:val="24"/>
          <w:szCs w:val="24"/>
        </w:rPr>
        <w:t>Netię</w:t>
      </w:r>
      <w:r w:rsidRPr="000D3148">
        <w:rPr>
          <w:sz w:val="24"/>
          <w:szCs w:val="24"/>
        </w:rPr>
        <w:t xml:space="preserve"> nie został nałożony obowiązek z art. 42 Pt,</w:t>
      </w:r>
      <w:r>
        <w:rPr>
          <w:sz w:val="24"/>
          <w:szCs w:val="24"/>
        </w:rPr>
        <w:t xml:space="preserve"> co oznacza m.in., że Netia</w:t>
      </w:r>
      <w:r w:rsidRPr="000D3148">
        <w:rPr>
          <w:sz w:val="24"/>
          <w:szCs w:val="24"/>
        </w:rPr>
        <w:t xml:space="preserve"> nie jest obowiązan</w:t>
      </w:r>
      <w:r>
        <w:rPr>
          <w:sz w:val="24"/>
          <w:szCs w:val="24"/>
        </w:rPr>
        <w:t>a</w:t>
      </w:r>
      <w:r>
        <w:rPr>
          <w:sz w:val="24"/>
          <w:szCs w:val="24"/>
        </w:rPr>
        <w:br/>
      </w:r>
      <w:r w:rsidRPr="000D3148">
        <w:rPr>
          <w:sz w:val="24"/>
          <w:szCs w:val="24"/>
        </w:rPr>
        <w:t xml:space="preserve">do świadczenia usług w oparciu o ofertę ramową, w szczególności o Ofertę SOR, która dotyczy wyłącznie usług hurtowych świadczonych przez OPL. </w:t>
      </w:r>
      <w:r>
        <w:rPr>
          <w:sz w:val="24"/>
          <w:szCs w:val="24"/>
        </w:rPr>
        <w:t>Netia</w:t>
      </w:r>
      <w:r w:rsidRPr="000D3148">
        <w:rPr>
          <w:sz w:val="24"/>
          <w:szCs w:val="24"/>
        </w:rPr>
        <w:t xml:space="preserve"> nie jest również zobligowan</w:t>
      </w:r>
      <w:r>
        <w:rPr>
          <w:sz w:val="24"/>
          <w:szCs w:val="24"/>
        </w:rPr>
        <w:t>a</w:t>
      </w:r>
      <w:r w:rsidRPr="000D3148">
        <w:rPr>
          <w:sz w:val="24"/>
          <w:szCs w:val="24"/>
        </w:rPr>
        <w:t xml:space="preserve"> do oferowania takich samych warunków dostępu do własnej siec</w:t>
      </w:r>
      <w:r>
        <w:rPr>
          <w:sz w:val="24"/>
          <w:szCs w:val="24"/>
        </w:rPr>
        <w:t>i jak OPL, a jedynie zobowiązana</w:t>
      </w:r>
      <w:r w:rsidRPr="000D3148">
        <w:rPr>
          <w:sz w:val="24"/>
          <w:szCs w:val="24"/>
        </w:rPr>
        <w:t xml:space="preserve"> jest do oferowania niedyskryminujących warunków, zgodnych z </w:t>
      </w:r>
      <w:r w:rsidRPr="000D3148">
        <w:rPr>
          <w:i/>
          <w:sz w:val="24"/>
          <w:szCs w:val="24"/>
        </w:rPr>
        <w:t>„Informacją w sprawach zapewnienia dostępu telekomunikacyjnego w zakresie świadczenia usługi zakańczania połączeń</w:t>
      </w:r>
      <w:r>
        <w:rPr>
          <w:i/>
          <w:sz w:val="24"/>
          <w:szCs w:val="24"/>
        </w:rPr>
        <w:br/>
      </w:r>
      <w:r w:rsidRPr="000D3148">
        <w:rPr>
          <w:i/>
          <w:sz w:val="24"/>
          <w:szCs w:val="24"/>
        </w:rPr>
        <w:t>w stacjonarnej publicznej sieci telefonicznej Netii S.A. (Oferta IC Netii)”</w:t>
      </w:r>
      <w:r w:rsidRPr="000D3148">
        <w:rPr>
          <w:sz w:val="24"/>
          <w:szCs w:val="24"/>
        </w:rPr>
        <w:t xml:space="preserve"> (zwanej dalej „Informacją”)</w:t>
      </w:r>
      <w:r w:rsidRPr="000D3148">
        <w:rPr>
          <w:rStyle w:val="Odwoanieprzypisudolnego"/>
          <w:sz w:val="24"/>
          <w:szCs w:val="24"/>
        </w:rPr>
        <w:footnoteReference w:id="5"/>
      </w:r>
      <w:r>
        <w:rPr>
          <w:sz w:val="24"/>
          <w:szCs w:val="24"/>
        </w:rPr>
        <w:t xml:space="preserve"> </w:t>
      </w:r>
      <w:r w:rsidRPr="000D3148">
        <w:rPr>
          <w:sz w:val="24"/>
          <w:szCs w:val="24"/>
        </w:rPr>
        <w:t xml:space="preserve">opublikowaną na stronie </w:t>
      </w:r>
      <w:r>
        <w:rPr>
          <w:sz w:val="24"/>
          <w:szCs w:val="24"/>
        </w:rPr>
        <w:t xml:space="preserve">Netii </w:t>
      </w:r>
      <w:r w:rsidRPr="000D3148">
        <w:rPr>
          <w:sz w:val="24"/>
          <w:szCs w:val="24"/>
        </w:rPr>
        <w:t>i załączoną do akt niniejszej sprawy.</w:t>
      </w:r>
    </w:p>
    <w:p w:rsidR="00203DFD" w:rsidRPr="00350B90" w:rsidRDefault="00203DFD" w:rsidP="008E08AD">
      <w:pPr>
        <w:tabs>
          <w:tab w:val="right" w:pos="360"/>
        </w:tabs>
        <w:spacing w:before="120"/>
        <w:jc w:val="both"/>
      </w:pPr>
      <w:r w:rsidRPr="00701382">
        <w:t xml:space="preserve">Uwzględniając zatem stan prawny i faktyczny na dzień wydania niniejszej decyzji, Prezes UKE wskazuje, że na OPL, od dnia zatwierdzenia Oferty SOR, ciąży obowiązek zawierania umów o dostępie telekomunikacyjnym na warunkach </w:t>
      </w:r>
      <w:r w:rsidR="0048073D">
        <w:br/>
      </w:r>
      <w:r w:rsidRPr="00701382">
        <w:t>nie gorszych dla pozostałych stron umowy niż określone w tej ofercie. Powyższe wynika z nałożenia na OPL w Decyzjach SMP OPL, obowiązku regulacyjnego</w:t>
      </w:r>
      <w:r>
        <w:t>,</w:t>
      </w:r>
      <w:r w:rsidRPr="00701382">
        <w:t xml:space="preserve"> </w:t>
      </w:r>
      <w:r w:rsidR="0048073D">
        <w:br/>
      </w:r>
      <w:r w:rsidRPr="00701382">
        <w:t xml:space="preserve">o którym mowa w art. 42 ust. 1 Pt, a więc obowiązku stosowania oferty ramowej. </w:t>
      </w:r>
      <w:r>
        <w:t>Natomiast, j</w:t>
      </w:r>
      <w:r w:rsidRPr="00701382">
        <w:t>ak zostało</w:t>
      </w:r>
      <w:r>
        <w:t xml:space="preserve"> to</w:t>
      </w:r>
      <w:r w:rsidRPr="00701382">
        <w:t xml:space="preserve"> już nadmienione, na </w:t>
      </w:r>
      <w:r>
        <w:t>Netii</w:t>
      </w:r>
      <w:r w:rsidRPr="00701382">
        <w:t xml:space="preserve"> ciąży wynikający z art. 36</w:t>
      </w:r>
      <w:r>
        <w:t xml:space="preserve"> </w:t>
      </w:r>
      <w:r w:rsidR="0048073D">
        <w:br/>
      </w:r>
      <w:r>
        <w:t>w związku z art. 37</w:t>
      </w:r>
      <w:r w:rsidRPr="00701382">
        <w:t xml:space="preserve"> Pt obowiązek stosowania we</w:t>
      </w:r>
      <w:r w:rsidRPr="00C15682">
        <w:t> </w:t>
      </w:r>
      <w:r w:rsidRPr="00701382">
        <w:t xml:space="preserve">współpracy międzyoperatorskiej Informacji </w:t>
      </w:r>
      <w:r>
        <w:t>Netii z uwzględnieniem reguł niedyskryminacji</w:t>
      </w:r>
      <w:r w:rsidRPr="00701382">
        <w:t xml:space="preserve">. W związku z nałożeniem powyższego obowiązku </w:t>
      </w:r>
      <w:r>
        <w:t xml:space="preserve">Netia </w:t>
      </w:r>
      <w:r w:rsidRPr="00701382">
        <w:t>został</w:t>
      </w:r>
      <w:r>
        <w:t>a</w:t>
      </w:r>
      <w:r w:rsidRPr="00701382">
        <w:t xml:space="preserve"> zobligowany</w:t>
      </w:r>
      <w:r>
        <w:t xml:space="preserve"> </w:t>
      </w:r>
      <w:r w:rsidRPr="00701382">
        <w:t xml:space="preserve">do równego traktowania przedsiębiorców telekomunikacyjnych w zakresie dostępu telekomunikacyjnego polegającego w szczególności na oferowaniu jednakowych warunków dostępu </w:t>
      </w:r>
      <w:r>
        <w:br/>
      </w:r>
      <w:r w:rsidRPr="00701382">
        <w:t xml:space="preserve">w jednakowych okolicznościach. Ponieważ </w:t>
      </w:r>
      <w:r>
        <w:t>Netia</w:t>
      </w:r>
      <w:r w:rsidRPr="00701382">
        <w:t xml:space="preserve"> ustalił</w:t>
      </w:r>
      <w:r>
        <w:t>a</w:t>
      </w:r>
      <w:r w:rsidRPr="00701382">
        <w:t xml:space="preserve"> zasady dostępu do swojej sieci w Informacji </w:t>
      </w:r>
      <w:r>
        <w:t>Netii</w:t>
      </w:r>
      <w:r w:rsidRPr="00701382">
        <w:t xml:space="preserve">, zasady te </w:t>
      </w:r>
      <w:r>
        <w:t>Netia powinna</w:t>
      </w:r>
      <w:r w:rsidRPr="00701382">
        <w:t xml:space="preserve"> stosować w relacjach międzyoperatorskich, w tym wobec OPL. </w:t>
      </w:r>
      <w:r>
        <w:t>W takiej sytuacji</w:t>
      </w:r>
      <w:r w:rsidRPr="00701382">
        <w:t xml:space="preserve"> oferowanie przez </w:t>
      </w:r>
      <w:r>
        <w:t>Netię</w:t>
      </w:r>
      <w:r w:rsidRPr="00701382">
        <w:t xml:space="preserve"> wszystkim podmiotom warunków technicznych i finansowych określonych </w:t>
      </w:r>
      <w:r>
        <w:br/>
      </w:r>
      <w:r w:rsidRPr="00701382">
        <w:t xml:space="preserve">w Informacji </w:t>
      </w:r>
      <w:r>
        <w:t>Netii</w:t>
      </w:r>
      <w:r w:rsidRPr="00701382">
        <w:t xml:space="preserve"> może zapewnić realizację obowiązku niedyskryminacji określonego w art. 36 Pt.</w:t>
      </w:r>
      <w:r>
        <w:t xml:space="preserve"> Podsumowując powyższe należy wskazać, że z uwagi </w:t>
      </w:r>
      <w:r>
        <w:br/>
        <w:t xml:space="preserve">na fakt, iż obowiązek stosowania Oferty SOR ciąży wyłącznie na OPL, ustalenie </w:t>
      </w:r>
      <w:r>
        <w:lastRenderedPageBreak/>
        <w:t>warunków świadczenia usług przez Netię na rzecz OPL w oparciu o zapisy Oferty SOR byłoby w istocie nałożeniem na Netię obowiązku stosowania oferty ramowej, do czego Netia nie jest zobowiązana na mocy Decyzji SMP Netii.</w:t>
      </w:r>
    </w:p>
    <w:p w:rsidR="00203DFD" w:rsidRDefault="00203DFD" w:rsidP="00F40BC2">
      <w:pPr>
        <w:tabs>
          <w:tab w:val="right" w:pos="360"/>
        </w:tabs>
        <w:spacing w:before="120"/>
        <w:jc w:val="both"/>
      </w:pPr>
      <w:r>
        <w:t>Prezes UKE wskazuje również, że niezależnie od określonych wyżej, a ciążących</w:t>
      </w:r>
      <w:r>
        <w:br/>
        <w:t>na stronach obowiązków, zgodnie z art. 71 Pt OPL i Neti</w:t>
      </w:r>
      <w:r w:rsidR="0048073D">
        <w:t>a</w:t>
      </w:r>
      <w:r>
        <w:t xml:space="preserve"> są zobowiązani</w:t>
      </w:r>
      <w:r>
        <w:br/>
        <w:t xml:space="preserve">do zapewnienia </w:t>
      </w:r>
      <w:r w:rsidRPr="00DA7BC2">
        <w:t>realizacji uprawnień</w:t>
      </w:r>
      <w:r>
        <w:t xml:space="preserve"> abonentów do zachowania numeru </w:t>
      </w:r>
      <w:r w:rsidRPr="00DA7BC2">
        <w:t>w przypadku zmiany operatora</w:t>
      </w:r>
      <w:r>
        <w:t xml:space="preserve">. Współpraca stron w tym zakresie odbywa się na zasadach określonych w </w:t>
      </w:r>
      <w:r w:rsidR="00835145">
        <w:t>Umowie o Połączeniu Sieci</w:t>
      </w:r>
      <w:r>
        <w:t xml:space="preserve">, przy czym zasady realizacji obsługi przeniesienia numeru przez OPL zostały dostosowane do treści Oferty SOR wraz </w:t>
      </w:r>
      <w:r w:rsidR="00F8631B">
        <w:br/>
      </w:r>
      <w:r>
        <w:t xml:space="preserve">z zawarciem przez strony Umowy SOR. Oznacza to, że łączące strony źródła zobowiązań gwarantują realizację obowiązku określonego w art. 71 ust. 1 Pt, </w:t>
      </w:r>
      <w:r w:rsidR="00F8631B">
        <w:br/>
      </w:r>
      <w:r>
        <w:t>a interwencja Prezesa UKE mająca na celu zapewnienie jego spełnienia byłaby całkowicie bezzasadna. Istotne jest przy tym, że zgodnie z poczynionymi powyżej uwagami na Netii nie ciąży obowiązek świadczenia usług na zasadach określonych</w:t>
      </w:r>
      <w:r>
        <w:br/>
        <w:t>w Ofercie SOR, dlatego Netia nie jest zobowiązana do realizowania usługi przenoszenia numerów wedle zasad określonych w Ofercie SOR.</w:t>
      </w:r>
    </w:p>
    <w:p w:rsidR="00203DFD" w:rsidRPr="00350B90" w:rsidRDefault="00203DFD" w:rsidP="00B3322F">
      <w:pPr>
        <w:tabs>
          <w:tab w:val="right" w:pos="360"/>
        </w:tabs>
        <w:spacing w:before="120"/>
        <w:jc w:val="both"/>
      </w:pPr>
      <w:r w:rsidRPr="00701382">
        <w:t>Reasumując, z zastrzeżeniem zmiany dotyczącej opłat związanych z realizacją przenoszenia numeru, która została uzasadniona w dalszej części niniejszej decyzji, Prezes UKE nie przychylił się do Wniosku w zakresie wprowadzenia</w:t>
      </w:r>
      <w:r w:rsidRPr="00C15682">
        <w:br/>
      </w:r>
      <w:r w:rsidRPr="00701382">
        <w:t xml:space="preserve">do regulujących współpracę międzyoperatorską aktów prawnych symetrycznych warunków świadczenia usług dostępu do sieci </w:t>
      </w:r>
      <w:r>
        <w:t>Netii</w:t>
      </w:r>
      <w:r w:rsidRPr="00701382">
        <w:t>, gdyż obowiązek regulacyjny nałożony na OPL w zakresie stosowania oferty ramowej (art. 42</w:t>
      </w:r>
      <w:r>
        <w:t xml:space="preserve"> </w:t>
      </w:r>
      <w:r w:rsidRPr="00701382">
        <w:t>ust. 1 Pt) dotyczy jedynie warunków świadczenia usług przez OPL. Nie należy</w:t>
      </w:r>
      <w:r>
        <w:t xml:space="preserve"> </w:t>
      </w:r>
      <w:r w:rsidRPr="00701382">
        <w:t>go interpretować rozszerzająco, jako obowiązku dostosowania obowiązujących umów międzyoperatorskich do ustalonej oferty ramowej w sposób symetryczny, gdyż</w:t>
      </w:r>
      <w:r>
        <w:t xml:space="preserve"> </w:t>
      </w:r>
      <w:r>
        <w:br/>
        <w:t>w sytuacji dokonania objętej Wnioskiem zmiany w zakresie usług świadczonych przez Netię na rzecz OPL,</w:t>
      </w:r>
      <w:r w:rsidRPr="00701382">
        <w:t xml:space="preserve"> adresatem tego obowiązku byłby nie tylko podmiot posiadający znaczącą</w:t>
      </w:r>
      <w:r>
        <w:t xml:space="preserve"> </w:t>
      </w:r>
      <w:r w:rsidRPr="00701382">
        <w:t xml:space="preserve">pozycję na rynku, ale także każdy operator pozostający </w:t>
      </w:r>
      <w:r>
        <w:br/>
      </w:r>
      <w:r w:rsidRPr="00701382">
        <w:t>w relacji umownej</w:t>
      </w:r>
      <w:r>
        <w:t xml:space="preserve"> </w:t>
      </w:r>
      <w:r w:rsidRPr="00701382">
        <w:t>z operatorem o znaczącej pozycji rynkowej</w:t>
      </w:r>
      <w:r>
        <w:t xml:space="preserve"> (tu: Netia niezależnie od nałożonych na niego obowiązków regulacyjnych, w szczególności braku obowiązku przedstawienia do zatwierdzenia oferty ramowej, a następnie </w:t>
      </w:r>
      <w:r w:rsidR="00486A01">
        <w:br/>
      </w:r>
      <w:r>
        <w:t>jej stosowania)</w:t>
      </w:r>
      <w:r w:rsidRPr="00701382">
        <w:t>. Ponadto wydanie decyzji zgodnie</w:t>
      </w:r>
      <w:r>
        <w:t xml:space="preserve"> </w:t>
      </w:r>
      <w:r w:rsidRPr="00701382">
        <w:t xml:space="preserve">ze zmodyfikowanym Wnioskiem stałoby w sprzeczności z ciążącym na </w:t>
      </w:r>
      <w:r>
        <w:t>Netii</w:t>
      </w:r>
      <w:r w:rsidRPr="00701382">
        <w:t xml:space="preserve"> obowiązkiem równego traktowania </w:t>
      </w:r>
      <w:r w:rsidR="00572FC2">
        <w:br/>
      </w:r>
      <w:r w:rsidRPr="00701382">
        <w:t>(art. 36 Pt) oraz obowiązkiem, o którym mowa</w:t>
      </w:r>
      <w:r>
        <w:t xml:space="preserve"> </w:t>
      </w:r>
      <w:r w:rsidRPr="00701382">
        <w:t xml:space="preserve">w art. 37 Pt, polegającym </w:t>
      </w:r>
      <w:r w:rsidR="00572FC2">
        <w:br/>
      </w:r>
      <w:r w:rsidRPr="00701382">
        <w:t>na ogłaszaniu informacji w sprawach zapewnienia dostępu telekomunikacyjnego</w:t>
      </w:r>
      <w:r>
        <w:t xml:space="preserve">, bowiem warunki świadczenia usług przez Netię na rzecz OPL zaproponowane przez OPL w zmodyfikowanym Wniosku odbiegają w swojej treści od warunków określonych w opublikowanej na stronie internetowej Netii Informacji, które zgodnie </w:t>
      </w:r>
      <w:r>
        <w:br/>
        <w:t>z obowiązkiem równego traktowania (art. 36 Pt) Netia jest zobligowana stosować wobec wszystkich swoich kontrahentów</w:t>
      </w:r>
      <w:r w:rsidRPr="00701382">
        <w:t>. W związku z tym Prezes UKE, kierując się przewidzianymi</w:t>
      </w:r>
      <w:r>
        <w:t xml:space="preserve"> </w:t>
      </w:r>
      <w:r w:rsidRPr="00701382">
        <w:t xml:space="preserve">w art. 28 ust. 1 pkt 2 Pt przesłanką obowiązków nałożonych </w:t>
      </w:r>
      <w:r>
        <w:br/>
      </w:r>
      <w:r w:rsidRPr="00701382">
        <w:t>na przedsiębiorców telekomunikacyjnych oraz w art. 28 ust. 1 pkt 6 Pt przesłanką pozycji rynkowej przedsiębiorców telekomunikacyjnych, odmówił wydania decyzji zgodnie</w:t>
      </w:r>
      <w:r>
        <w:t xml:space="preserve"> </w:t>
      </w:r>
      <w:r w:rsidRPr="00701382">
        <w:t xml:space="preserve">ze zmodyfikowanym Wnioskiem, w zakresie usługi dostępu do sieci </w:t>
      </w:r>
      <w:r>
        <w:t>Netii.</w:t>
      </w:r>
    </w:p>
    <w:p w:rsidR="00203DFD" w:rsidRPr="00350B90" w:rsidRDefault="00203DFD" w:rsidP="00E24A39">
      <w:pPr>
        <w:spacing w:before="120" w:after="120"/>
        <w:jc w:val="both"/>
      </w:pPr>
      <w:r w:rsidRPr="00701382">
        <w:t xml:space="preserve">Przy podejmowaniu rozstrzygnięcia zawartego w pkt I sentencji niniejszej decyzji Prezes UKE uwzględnił także charakter zaistniałych kwestii spornych, opierając </w:t>
      </w:r>
      <w:r>
        <w:br/>
      </w:r>
      <w:r w:rsidRPr="00701382">
        <w:t>się w tym zakresie na</w:t>
      </w:r>
      <w:r w:rsidRPr="00C15682">
        <w:t> </w:t>
      </w:r>
      <w:r w:rsidRPr="00701382">
        <w:t xml:space="preserve">zgromadzonym w toku postępowania administracyjnego materiale dowodowym (art. 28 ust. 1 pkt 4 Pt). Prezes UKE ma możliwość oddziaływania na stosunki prawne łączące strony poprzez wydanie decyzji </w:t>
      </w:r>
      <w:r w:rsidRPr="00701382">
        <w:lastRenderedPageBreak/>
        <w:t xml:space="preserve">rozstrzygającej kwestie sporne lub określającej warunki współpracy. Za kwestie sporne uznaje się te części umowy dotyczące warunków zapewnienia dostępu, </w:t>
      </w:r>
      <w:r>
        <w:br/>
      </w:r>
      <w:r w:rsidRPr="00701382">
        <w:t>co do których strony nie doszły do porozumienia</w:t>
      </w:r>
      <w:r>
        <w:t xml:space="preserve"> </w:t>
      </w:r>
      <w:r w:rsidRPr="00701382">
        <w:t>w wyniku negocjacji</w:t>
      </w:r>
      <w:r>
        <w:t>,</w:t>
      </w:r>
      <w:r w:rsidRPr="00701382">
        <w:t xml:space="preserve"> </w:t>
      </w:r>
      <w:r>
        <w:br/>
      </w:r>
      <w:r w:rsidRPr="00701382">
        <w:t>jakie prowadziły między sobą (</w:t>
      </w:r>
      <w:r>
        <w:t xml:space="preserve">por. </w:t>
      </w:r>
      <w:r w:rsidRPr="00701382">
        <w:t>wyrok NSA w Warszawie</w:t>
      </w:r>
      <w:r>
        <w:t xml:space="preserve"> </w:t>
      </w:r>
      <w:r w:rsidRPr="00701382">
        <w:t xml:space="preserve">z dnia 21 czerwca 2007 r., syng. akt </w:t>
      </w:r>
      <w:r w:rsidRPr="00701382">
        <w:rPr>
          <w:bCs/>
        </w:rPr>
        <w:t>II GSK 67/07).</w:t>
      </w:r>
      <w:r w:rsidRPr="00701382">
        <w:t xml:space="preserve"> Mając na względzie powyższe Prezes UKE wskazuje, że uwzględnienie wniosku OPL w zakresie, w jakim zmiana warunków dostępu telekomunikacyjnego do sieci </w:t>
      </w:r>
      <w:r>
        <w:t>Netii</w:t>
      </w:r>
      <w:r w:rsidRPr="00701382">
        <w:t xml:space="preserve"> nie jest podyktowana pozycją rynkową </w:t>
      </w:r>
      <w:r>
        <w:t>Netii</w:t>
      </w:r>
      <w:r w:rsidRPr="00701382">
        <w:t xml:space="preserve"> </w:t>
      </w:r>
      <w:r>
        <w:t xml:space="preserve">(art. 28 ust. 1 pkt 1 Pt) </w:t>
      </w:r>
      <w:r w:rsidRPr="00701382">
        <w:t xml:space="preserve">ani nałożonymi na ten podmiot obowiązkami regulacyjnymi, godzi w słuszny interes </w:t>
      </w:r>
      <w:r>
        <w:t>Netii</w:t>
      </w:r>
      <w:r w:rsidRPr="00701382">
        <w:t>. Nie będąc</w:t>
      </w:r>
      <w:r>
        <w:t xml:space="preserve"> bowiem</w:t>
      </w:r>
      <w:r w:rsidRPr="00701382">
        <w:t xml:space="preserve"> związan</w:t>
      </w:r>
      <w:r>
        <w:t>a</w:t>
      </w:r>
      <w:r w:rsidRPr="00701382">
        <w:t xml:space="preserve"> takimi samymi obowiązkami jak OPL, </w:t>
      </w:r>
      <w:r>
        <w:t>Netia</w:t>
      </w:r>
      <w:r w:rsidRPr="00701382">
        <w:t xml:space="preserve"> ma możliwość kształtowania swojej sytuacji </w:t>
      </w:r>
      <w:r>
        <w:br/>
      </w:r>
      <w:r w:rsidRPr="00701382">
        <w:t xml:space="preserve">w relacjach z OPL, nie ograniczając się do przyjmowania rozwiązań symetrycznych względem tych, do których stosowania, ze względu na swoją znaczącą pozycję rynkową, zobowiązana jest OPL. W kontekście rozpatrywania niniejszej sprawy przez Prezesa UKE oznacza to, że możliwość symetryzacji warunków, na jakich współpracują OPL i </w:t>
      </w:r>
      <w:r>
        <w:t>Netia</w:t>
      </w:r>
      <w:r w:rsidRPr="00701382">
        <w:t xml:space="preserve">, jest w sposób zasadniczy ograniczona z uwagi </w:t>
      </w:r>
      <w:r>
        <w:br/>
      </w:r>
      <w:r w:rsidRPr="00701382">
        <w:t>na odmienną sytuację obu stron postępowania. Co istotne, w toku prowadzonego postępowania Prezes UKE nie dostrzegł przesłanek, ze względu na które interes OPL wyrażony w zmodyfikowanym Wniosku znajduje na tyle silne uzasadnienie z punktu widzenia kryteriów określonych w art. 28</w:t>
      </w:r>
      <w:r>
        <w:t xml:space="preserve"> </w:t>
      </w:r>
      <w:r w:rsidRPr="00701382">
        <w:t xml:space="preserve">ust. 1 Pt, aby uznać, że ustalenie wnioskowanych warunków dostępu telekomunikacyjnego do sieci </w:t>
      </w:r>
      <w:r>
        <w:t>Netii</w:t>
      </w:r>
      <w:r w:rsidRPr="00701382">
        <w:t xml:space="preserve"> jest konieczne i słuszne pomimo sprzeczności z interesem </w:t>
      </w:r>
      <w:r>
        <w:t>Netii</w:t>
      </w:r>
      <w:r w:rsidRPr="00701382">
        <w:t>. Wobec powyższego należy uznać, że Prezes UKE</w:t>
      </w:r>
      <w:r>
        <w:t>,</w:t>
      </w:r>
      <w:r w:rsidRPr="00701382">
        <w:t xml:space="preserve"> rozstrzygając merytorycznie Wniosek</w:t>
      </w:r>
      <w:r w:rsidRPr="00C15682">
        <w:t> </w:t>
      </w:r>
      <w:r w:rsidRPr="00701382">
        <w:t>i wydając decyzję częściowo odmowną</w:t>
      </w:r>
      <w:r>
        <w:t xml:space="preserve"> (w zakresie określenia warunków świadczenia usług przez Netię</w:t>
      </w:r>
      <w:r w:rsidRPr="00701382">
        <w:t xml:space="preserve"> </w:t>
      </w:r>
      <w:r>
        <w:t>na rzecz OPL)</w:t>
      </w:r>
      <w:r w:rsidRPr="00701382">
        <w:t xml:space="preserve"> po rozpatrzeniu wszystkich aspektów sprawy, wypełnił przesłankę rozstrzygnięcia zaistniałych kwestii spornych, z</w:t>
      </w:r>
      <w:r w:rsidRPr="00C15682">
        <w:t> </w:t>
      </w:r>
      <w:r w:rsidRPr="00701382">
        <w:t xml:space="preserve">uwzględnieniem </w:t>
      </w:r>
      <w:r w:rsidR="00572FC2">
        <w:br/>
      </w:r>
      <w:r w:rsidRPr="00701382">
        <w:t>ich charakteru</w:t>
      </w:r>
      <w:r>
        <w:t xml:space="preserve"> </w:t>
      </w:r>
      <w:r w:rsidRPr="00701382">
        <w:t>(art. 28 ust. 1 pkt 4 Pt).</w:t>
      </w:r>
    </w:p>
    <w:p w:rsidR="00203DFD" w:rsidRDefault="00203DFD" w:rsidP="00C436B1">
      <w:pPr>
        <w:spacing w:before="120"/>
        <w:jc w:val="both"/>
      </w:pPr>
      <w:r w:rsidRPr="008171D6">
        <w:rPr>
          <w:bCs/>
        </w:rPr>
        <w:t>Jednocześnie Prezes UKE</w:t>
      </w:r>
      <w:r>
        <w:rPr>
          <w:bCs/>
        </w:rPr>
        <w:t>,</w:t>
      </w:r>
      <w:r w:rsidRPr="008171D6">
        <w:rPr>
          <w:bCs/>
        </w:rPr>
        <w:t xml:space="preserve"> rozstrzygając w niniejszej sprawie</w:t>
      </w:r>
      <w:r>
        <w:rPr>
          <w:bCs/>
        </w:rPr>
        <w:t xml:space="preserve">, w zakresie, o którym mowa w pkt I sentencji niniejszej decyzji </w:t>
      </w:r>
      <w:r w:rsidRPr="008171D6">
        <w:rPr>
          <w:bCs/>
        </w:rPr>
        <w:t xml:space="preserve">zobligowany był do wzięcia pod uwagę przesłanki wynikającej z art. 28 ust. 1 pkt 5 lit. </w:t>
      </w:r>
      <w:r>
        <w:rPr>
          <w:bCs/>
        </w:rPr>
        <w:t>b Pt, tj. zobligowany był</w:t>
      </w:r>
      <w:r>
        <w:rPr>
          <w:bCs/>
        </w:rPr>
        <w:br/>
      </w:r>
      <w:r w:rsidRPr="008171D6">
        <w:rPr>
          <w:bCs/>
        </w:rPr>
        <w:t xml:space="preserve">do zapewnienia niniejszą </w:t>
      </w:r>
      <w:r>
        <w:rPr>
          <w:bCs/>
        </w:rPr>
        <w:t>decyzją niedyskryminują</w:t>
      </w:r>
      <w:r w:rsidRPr="008171D6">
        <w:rPr>
          <w:bCs/>
        </w:rPr>
        <w:t>cych warunków dostępu telekomunikacyjnego. Jak wskazuje się w doktrynie „</w:t>
      </w:r>
      <w:r w:rsidRPr="008171D6">
        <w:rPr>
          <w:bCs/>
          <w:i/>
        </w:rPr>
        <w:t>wymóg zapewnienia niedyskryminujących warunków dostępu oznacza w odniesieniu</w:t>
      </w:r>
      <w:r>
        <w:rPr>
          <w:bCs/>
          <w:i/>
        </w:rPr>
        <w:t xml:space="preserve"> </w:t>
      </w:r>
      <w:r w:rsidRPr="008171D6">
        <w:rPr>
          <w:bCs/>
          <w:i/>
        </w:rPr>
        <w:t>do przedsiębiorcy nakaz jednakowego traktowania przedsiębiorców znajdujących się</w:t>
      </w:r>
      <w:r>
        <w:rPr>
          <w:bCs/>
          <w:i/>
        </w:rPr>
        <w:t xml:space="preserve"> </w:t>
      </w:r>
      <w:r w:rsidRPr="008171D6">
        <w:rPr>
          <w:bCs/>
          <w:i/>
        </w:rPr>
        <w:t>w podobnych sytuacjach, przy ubieganiu się o d</w:t>
      </w:r>
      <w:r>
        <w:rPr>
          <w:bCs/>
          <w:i/>
        </w:rPr>
        <w:t xml:space="preserve">ostęp do sieci objętej decyzją. </w:t>
      </w:r>
      <w:r w:rsidRPr="008171D6">
        <w:rPr>
          <w:bCs/>
          <w:i/>
        </w:rPr>
        <w:t>W szczególności wymóg ten oznacza obowiązek oferowania warunków nie gorszych od stosowanych w ramach własnego prz</w:t>
      </w:r>
      <w:r>
        <w:rPr>
          <w:bCs/>
          <w:i/>
        </w:rPr>
        <w:t>edsiębiorstwa lub w stosunkach z podmiotami zależnymi</w:t>
      </w:r>
      <w:r>
        <w:rPr>
          <w:bCs/>
          <w:i/>
        </w:rPr>
        <w:br/>
      </w:r>
      <w:r w:rsidRPr="008171D6">
        <w:rPr>
          <w:bCs/>
          <w:i/>
        </w:rPr>
        <w:t xml:space="preserve">(art. 36). </w:t>
      </w:r>
      <w:r w:rsidRPr="008171D6">
        <w:rPr>
          <w:bCs/>
        </w:rPr>
        <w:t>[...]</w:t>
      </w:r>
      <w:r w:rsidRPr="008171D6">
        <w:rPr>
          <w:bCs/>
          <w:i/>
        </w:rPr>
        <w:t xml:space="preserve"> wymóg niedyskryminacji należy adresować raczej do Prezesa URTiP </w:t>
      </w:r>
      <w:r w:rsidRPr="008171D6">
        <w:rPr>
          <w:bCs/>
        </w:rPr>
        <w:t>[UKE]</w:t>
      </w:r>
      <w:r w:rsidRPr="008171D6">
        <w:rPr>
          <w:bCs/>
          <w:i/>
        </w:rPr>
        <w:t>, który nie powinien ustal</w:t>
      </w:r>
      <w:r>
        <w:rPr>
          <w:bCs/>
          <w:i/>
        </w:rPr>
        <w:t xml:space="preserve">ać warunków dostępu </w:t>
      </w:r>
      <w:r w:rsidRPr="008171D6">
        <w:rPr>
          <w:bCs/>
          <w:i/>
        </w:rPr>
        <w:t>w sposób zasadniczo odmienny od tych jakie są ustalone w innych podobnych przypadkach</w:t>
      </w:r>
      <w:r>
        <w:rPr>
          <w:bCs/>
        </w:rPr>
        <w:t>” (S</w:t>
      </w:r>
      <w:r w:rsidRPr="008171D6">
        <w:rPr>
          <w:bCs/>
        </w:rPr>
        <w:t>. Piątek, Prawo telekomunikacyjne. Komentarz, C.H. Beck, Warszawa 2005, s. 280). Dlatego też, Pre</w:t>
      </w:r>
      <w:r>
        <w:rPr>
          <w:bCs/>
        </w:rPr>
        <w:t xml:space="preserve">zes UKE wydając rozstrzygnięcie </w:t>
      </w:r>
      <w:r w:rsidRPr="008171D6">
        <w:rPr>
          <w:bCs/>
        </w:rPr>
        <w:t>w niniejszej spra</w:t>
      </w:r>
      <w:r>
        <w:rPr>
          <w:bCs/>
        </w:rPr>
        <w:t>wie, musiał mieć</w:t>
      </w:r>
      <w:r>
        <w:rPr>
          <w:bCs/>
        </w:rPr>
        <w:br/>
      </w:r>
      <w:r w:rsidRPr="008171D6">
        <w:rPr>
          <w:bCs/>
        </w:rPr>
        <w:t>na uwadze</w:t>
      </w:r>
      <w:r>
        <w:rPr>
          <w:bCs/>
        </w:rPr>
        <w:t>, że</w:t>
      </w:r>
      <w:r>
        <w:t xml:space="preserve"> </w:t>
      </w:r>
      <w:r w:rsidRPr="006E4968">
        <w:t xml:space="preserve">Decyzją SMP </w:t>
      </w:r>
      <w:r>
        <w:t>Netia</w:t>
      </w:r>
      <w:r w:rsidRPr="006E4968">
        <w:t xml:space="preserve"> na </w:t>
      </w:r>
      <w:r>
        <w:t>Netię</w:t>
      </w:r>
      <w:r w:rsidRPr="006E4968">
        <w:t xml:space="preserve"> został nałożon</w:t>
      </w:r>
      <w:r>
        <w:t>y</w:t>
      </w:r>
      <w:r w:rsidRPr="006E4968">
        <w:t xml:space="preserve"> obowiąz</w:t>
      </w:r>
      <w:r>
        <w:t>ek</w:t>
      </w:r>
      <w:r w:rsidRPr="006E4968">
        <w:t xml:space="preserve"> regulacyjn</w:t>
      </w:r>
      <w:r>
        <w:t>y</w:t>
      </w:r>
      <w:r w:rsidRPr="006E4968">
        <w:t xml:space="preserve"> wynikając</w:t>
      </w:r>
      <w:r>
        <w:t>y</w:t>
      </w:r>
      <w:r w:rsidRPr="006E4968">
        <w:t xml:space="preserve"> z art. 36 Pt. </w:t>
      </w:r>
      <w:r>
        <w:t xml:space="preserve">Jak zostało już wyjaśnione, w świetle tego przepisu Netia została zobligowana </w:t>
      </w:r>
      <w:r w:rsidRPr="006E4968">
        <w:t>do równego traktowania przedsiębiorców telekomunikacyjnych w zakresie dostępu telekomunikacyjnego.</w:t>
      </w:r>
      <w:r w:rsidRPr="00F352A0">
        <w:t xml:space="preserve"> </w:t>
      </w:r>
      <w:r>
        <w:t>Realizacja wskazanego obowiązku następuje w szczególności poprzez stosowanie przez Netię Informacji. Wydanie decyzji zgodnej ze zmodyfikowanym Wnioskiem doprowadziłoby do zrównania warunków świadczenia usług, w tym opłat Netii, z warunkami i opłatami OPL,</w:t>
      </w:r>
      <w:r>
        <w:br/>
        <w:t>do czego, biorąc pod uwagę treść Informacji, Netia nie jest zobowiązana. Także</w:t>
      </w:r>
      <w:r>
        <w:br/>
        <w:t xml:space="preserve">w zakresie usługi, której warunki świadczenia nie są opisane w tejże informacji </w:t>
      </w:r>
      <w:r>
        <w:br/>
      </w:r>
      <w:r>
        <w:lastRenderedPageBreak/>
        <w:t>– tj. usługi realizacji przenoszenia numerów – symetryzacja warunków współpracy nie zmierzałaby, z zastrzeżeniem zmian wprowadzonych w pkt II sentencji niniejszej decyzji, do spełnienia kryterium zapewnienia niedyskryminujących warunków dostępu telekomunikacyjnego. W rozpatrywanej sytuacji utrzymanie odmienności</w:t>
      </w:r>
      <w:r>
        <w:br/>
        <w:t xml:space="preserve">w zakresie warunków świadczenia usług przez strony prowadzi do realizacji przesłanki określonej w </w:t>
      </w:r>
      <w:r w:rsidRPr="00421953">
        <w:t xml:space="preserve">art. 28 ust. 1 pkt </w:t>
      </w:r>
      <w:r>
        <w:t>5 lit. b P</w:t>
      </w:r>
      <w:r w:rsidRPr="00421953">
        <w:t>t</w:t>
      </w:r>
      <w:r>
        <w:t>, zaś symetryzacja tych warunków ma charakter dyskryminujący, gdyż nie uwzględnia uzasadnionych różnic pomiędzy stronami wynikających zarówno z pozycji rynkowej, jak i z treści nałożonych obowiązków regulacyjnych. Z wyżej wskazanych względów należy uznać, iż </w:t>
      </w:r>
      <w:r w:rsidRPr="00421953">
        <w:t xml:space="preserve">przesłanka zawarta w art. 28 ust. 1 pkt </w:t>
      </w:r>
      <w:r>
        <w:t>5 lit. b P</w:t>
      </w:r>
      <w:r w:rsidRPr="00421953">
        <w:t xml:space="preserve">t nie przemawia za </w:t>
      </w:r>
      <w:r>
        <w:t>wydaniem decyzji zgodnie ze zmodyfikowanym Wnioskiem</w:t>
      </w:r>
      <w:r w:rsidRPr="00421953">
        <w:t>.</w:t>
      </w:r>
      <w:r>
        <w:t xml:space="preserve"> Tak jak wskazano powyżej, wyjątkiem jest kwestia opłaty za przenośność numerów, która została omówiona szczegółowo w dalszej części uzasadnienia.</w:t>
      </w:r>
    </w:p>
    <w:p w:rsidR="00203DFD" w:rsidRPr="00350B90" w:rsidRDefault="00203DFD" w:rsidP="009D7235">
      <w:pPr>
        <w:spacing w:before="120" w:after="120"/>
        <w:jc w:val="both"/>
      </w:pPr>
      <w:r w:rsidRPr="00AB53DC">
        <w:t>Prezes UKE</w:t>
      </w:r>
      <w:r>
        <w:t>,</w:t>
      </w:r>
      <w:r w:rsidRPr="00AB53DC">
        <w:t xml:space="preserve"> wydając niniejszą decyzję w zakresie</w:t>
      </w:r>
      <w:r w:rsidRPr="00AB53DC">
        <w:rPr>
          <w:color w:val="000000"/>
        </w:rPr>
        <w:t>, o którym mowa w pkt I sentencji</w:t>
      </w:r>
      <w:r w:rsidRPr="00AB53DC">
        <w:t xml:space="preserve"> wziął również pod szczególną rozwagę przesłankę z art. 28 ust. 1 pkt 5 lit. c Pt,</w:t>
      </w:r>
      <w:r w:rsidRPr="00C15682">
        <w:br/>
      </w:r>
      <w:r w:rsidRPr="00C649E2">
        <w:t>tj. rozwój konkurencyjnego rynku usług telekomunikacyjnych. W szczególności Prezes UKE miał na uwadze obecną sytuację związaną z koniecznością podtrzymania, pozytywnego z punktu widzenia użytkowników końcowych</w:t>
      </w:r>
      <w:r w:rsidRPr="00C15682">
        <w:br/>
      </w:r>
      <w:r w:rsidRPr="00C649E2">
        <w:t>usług telefonii stacjonarnej, trendu otwierania się krajowego rynku telefonii stacjonarnej na alternatywnych, względem operatora zasiedziałego, operatorów telekomunikacyjnych</w:t>
      </w:r>
      <w:r>
        <w:rPr>
          <w:vertAlign w:val="superscript"/>
        </w:rPr>
        <w:footnoteReference w:id="6"/>
      </w:r>
      <w:r w:rsidRPr="00C649E2">
        <w:t xml:space="preserve">. </w:t>
      </w:r>
      <w:r>
        <w:t>Umożliwienie prowadzenia przez operatorów alternatywnych</w:t>
      </w:r>
      <w:r w:rsidRPr="00C649E2">
        <w:t xml:space="preserve"> (w tym </w:t>
      </w:r>
      <w:r>
        <w:t>Netię</w:t>
      </w:r>
      <w:r w:rsidRPr="00C649E2">
        <w:t>)</w:t>
      </w:r>
      <w:r>
        <w:t xml:space="preserve"> intensywnej działalności</w:t>
      </w:r>
      <w:r w:rsidRPr="00C649E2">
        <w:t xml:space="preserve"> na krajowym rynku usług telefonii stacjonarnej operatorów alternatywnych z całą pewnością przyczynia się do</w:t>
      </w:r>
      <w:r>
        <w:t xml:space="preserve"> rozwoju konkurencyjnego rynku usług telekomunikacyjnych (art. 28 ust. 1 pkt 5 lit. c Pt), </w:t>
      </w:r>
      <w:r>
        <w:br/>
        <w:t xml:space="preserve">a w konsekwencji do </w:t>
      </w:r>
      <w:r w:rsidRPr="00C649E2">
        <w:t xml:space="preserve">maksymalizacji korzyści dla odbiorców końcowych tych usług </w:t>
      </w:r>
      <w:r w:rsidRPr="00C649E2">
        <w:rPr>
          <w:bCs/>
        </w:rPr>
        <w:t>(art. 28 ust. 1 pkt 1 Pt)</w:t>
      </w:r>
      <w:r w:rsidRPr="00C649E2">
        <w:t xml:space="preserve">. Korzyści te występują przede wszystkim w zakresie cen </w:t>
      </w:r>
      <w:r w:rsidRPr="00662867">
        <w:t xml:space="preserve">oraz różnorodności i jakości usług. </w:t>
      </w:r>
      <w:r>
        <w:t>Powyższe</w:t>
      </w:r>
      <w:r w:rsidRPr="00C649E2">
        <w:t xml:space="preserve"> przemawia </w:t>
      </w:r>
      <w:r w:rsidRPr="00701382">
        <w:t xml:space="preserve">za pozostawieniem </w:t>
      </w:r>
      <w:r>
        <w:t>Netii</w:t>
      </w:r>
      <w:r w:rsidRPr="00701382">
        <w:t xml:space="preserve"> możliwości rozliczania się z OPL na warunkach dotychczasowych, a co się z tym wiąże </w:t>
      </w:r>
      <w:r w:rsidRPr="00C15682">
        <w:t>–</w:t>
      </w:r>
      <w:r w:rsidRPr="00701382">
        <w:t xml:space="preserve"> umożl</w:t>
      </w:r>
      <w:r>
        <w:t>iwi Netii</w:t>
      </w:r>
      <w:r w:rsidRPr="00701382">
        <w:t xml:space="preserve"> </w:t>
      </w:r>
      <w:r>
        <w:t>swobodne konstruowanie oferty detalicznej</w:t>
      </w:r>
      <w:r w:rsidRPr="00701382">
        <w:t xml:space="preserve">, która </w:t>
      </w:r>
      <w:r>
        <w:t>dzięki temu może być</w:t>
      </w:r>
      <w:r w:rsidRPr="00701382">
        <w:t xml:space="preserve"> konkurencyjna względem ofert innych operatorów telekomunikacyjnych</w:t>
      </w:r>
      <w:r>
        <w:t>.</w:t>
      </w:r>
      <w:r w:rsidRPr="00701382">
        <w:t xml:space="preserve"> </w:t>
      </w:r>
    </w:p>
    <w:p w:rsidR="00203DFD" w:rsidRDefault="00203DFD" w:rsidP="005F5BB3">
      <w:pPr>
        <w:spacing w:before="120" w:after="120"/>
        <w:jc w:val="both"/>
      </w:pPr>
      <w:r>
        <w:t>Podejmując rozstrzygnięcie w pkt I sentencji niniejszej decyzji</w:t>
      </w:r>
      <w:r w:rsidRPr="00D02073">
        <w:t xml:space="preserve"> Prezes UKE</w:t>
      </w:r>
      <w:r>
        <w:t xml:space="preserve"> realizuje</w:t>
      </w:r>
      <w:r w:rsidRPr="00D02073">
        <w:t xml:space="preserve"> konsekwentnie cele polityki regulacyjnej wynikające</w:t>
      </w:r>
      <w:r>
        <w:t xml:space="preserve"> </w:t>
      </w:r>
      <w:r w:rsidRPr="00D02073">
        <w:t>z Pt</w:t>
      </w:r>
      <w:r>
        <w:t>,</w:t>
      </w:r>
      <w:r w:rsidRPr="00D02073">
        <w:t xml:space="preserve"> działa na rze</w:t>
      </w:r>
      <w:r>
        <w:t>cz poprawy stanu konkurencji na </w:t>
      </w:r>
      <w:r w:rsidRPr="00D02073">
        <w:t xml:space="preserve">krajowym rynku, a także kieruje się interesem </w:t>
      </w:r>
      <w:r>
        <w:t>publicznym, gdyż finalnie, to </w:t>
      </w:r>
      <w:r w:rsidRPr="00D02073">
        <w:t>użytkownicy końcowi będą beneficjentami postanowień niniejszej decyzji.</w:t>
      </w:r>
      <w:r w:rsidRPr="003029FD">
        <w:t xml:space="preserve"> </w:t>
      </w:r>
      <w:r>
        <w:t>W tym zakresie należy wskazać, iż odmowa zobowiązania Netii</w:t>
      </w:r>
      <w:r>
        <w:br/>
        <w:t>do świadczenia usług hurtowych na warunkach wynikających z Oferty SOR</w:t>
      </w:r>
      <w:r>
        <w:br/>
        <w:t>będzie działaniem w interesie i z korzyścią dla konsumentów, a więc będzie</w:t>
      </w:r>
      <w:r>
        <w:br/>
        <w:t>zgodne z interesem publicznym. Wynika to z faktu, iż Netia nie będzie zmuszona</w:t>
      </w:r>
      <w:r>
        <w:br/>
        <w:t xml:space="preserve">do zmodyfikowania opracowywanej przez siebie oferty detalicznej jedynie </w:t>
      </w:r>
      <w:r w:rsidR="008027B0">
        <w:br/>
      </w:r>
      <w:r>
        <w:t>pod wpływem zmiany swojej sytuacji ekonomicznej związanej z koniecznością świadczenia usług na rynku hurtowym na zasadach odmiennych</w:t>
      </w:r>
      <w:r>
        <w:br/>
        <w:t xml:space="preserve">od dotychczasowych. Innymi słowy zapewnienie Netii możliwości świadczenia usług na rynku hurtowym w dalszym ciągu na zasadach określonych w Informacji, nie zaś na zasadach określonych w Ofercie SOR, w konsekwencji będzie miało </w:t>
      </w:r>
      <w:r>
        <w:lastRenderedPageBreak/>
        <w:t>pozytywny wpływ na warunki świadczenia przez Netię usług detalicznych.</w:t>
      </w:r>
      <w:r>
        <w:br/>
        <w:t>W związku z powyższym należy uznać, iż Prezes UKE rozstrzygając w niniejszej sprawie miał również na uwadze przesłankę wynikającą z art. 28 ust. 1 pkt 7 Pt,</w:t>
      </w:r>
      <w:r>
        <w:br/>
        <w:t>a więc interes publiczny.</w:t>
      </w:r>
    </w:p>
    <w:p w:rsidR="00203DFD" w:rsidRPr="00A62649" w:rsidRDefault="00203DFD" w:rsidP="00E24A39">
      <w:pPr>
        <w:spacing w:before="120" w:after="120"/>
        <w:jc w:val="both"/>
      </w:pPr>
      <w:r>
        <w:t xml:space="preserve">Podsumowując powyższe rozważania dotyczące rozstrzygnięcia zawartego w pkt I sentencji niniejszej decyzji Prezes UKE wskazuje, że wobec faktu, </w:t>
      </w:r>
      <w:r>
        <w:br/>
        <w:t xml:space="preserve">iż za uwzględnieniem zmodyfikowanego Wniosku nie przemawia żadna </w:t>
      </w:r>
      <w:r>
        <w:br/>
        <w:t>z przesłanek, o których mowa w art. 28 ust. 1 Pt,</w:t>
      </w:r>
      <w:r w:rsidRPr="00A62649">
        <w:t xml:space="preserve"> </w:t>
      </w:r>
      <w:r>
        <w:t xml:space="preserve">Prezes UKE zobligowany </w:t>
      </w:r>
      <w:r>
        <w:br/>
        <w:t>był odmówić</w:t>
      </w:r>
      <w:r w:rsidRPr="00A62649">
        <w:t xml:space="preserve"> ustalenia warunków świadczenia usług przez </w:t>
      </w:r>
      <w:r>
        <w:t>Netię</w:t>
      </w:r>
      <w:r w:rsidRPr="00A62649">
        <w:t xml:space="preserve"> na rzecz OPL</w:t>
      </w:r>
      <w:r>
        <w:t xml:space="preserve"> </w:t>
      </w:r>
      <w:r>
        <w:br/>
        <w:t>(za wyjątkiem kwestii, o której mowa w pkt II sentencji niniejszej decyzji).</w:t>
      </w:r>
    </w:p>
    <w:p w:rsidR="00203DFD" w:rsidRPr="00350B90" w:rsidRDefault="00203DFD" w:rsidP="009D7235">
      <w:pPr>
        <w:spacing w:after="120"/>
        <w:jc w:val="both"/>
      </w:pPr>
      <w:r w:rsidRPr="00701382">
        <w:t xml:space="preserve">W pkt II sentencji niniejszej decyzji Prezes UKE wprowadził do współpracy międzyoperatorskiej stron należną </w:t>
      </w:r>
      <w:r>
        <w:t>Netii</w:t>
      </w:r>
      <w:r w:rsidRPr="00701382">
        <w:t xml:space="preserve"> jednorazową opłatę za usługę przeniesienia numer</w:t>
      </w:r>
      <w:r>
        <w:t>u</w:t>
      </w:r>
      <w:r w:rsidRPr="00701382">
        <w:t xml:space="preserve"> do sieci OPL oraz </w:t>
      </w:r>
      <w:r w:rsidR="00F8631B">
        <w:t xml:space="preserve">zmodyfikował istniejącą po stronie Netii </w:t>
      </w:r>
      <w:r w:rsidRPr="00701382">
        <w:t xml:space="preserve">opłatę </w:t>
      </w:r>
      <w:r w:rsidR="00523B5C">
        <w:br/>
      </w:r>
      <w:r w:rsidRPr="00701382">
        <w:t xml:space="preserve">za kierowanie ruchu do numerów przeniesionych metodą Onward Routing. Zastosowanie wskazanego rozwiązania zostało podyktowane koniecznością zapewnienia przez Prezesa UKE niedyskryminujących warunków dostępu telekomunikacyjnego (art. 28 ust. 1 pkt 5 lit. b Pt). </w:t>
      </w:r>
      <w:r w:rsidR="00D16395">
        <w:t xml:space="preserve">W tym miejscu konieczne jest wyjaśnienie, że Prezes UKE wprowadził </w:t>
      </w:r>
      <w:r w:rsidR="00D16395" w:rsidRPr="00701382">
        <w:t>opłatę za usługę przeniesienia numer</w:t>
      </w:r>
      <w:r w:rsidR="00D16395">
        <w:t xml:space="preserve">u </w:t>
      </w:r>
      <w:r w:rsidR="00D16395">
        <w:br/>
      </w:r>
      <w:r w:rsidR="000042ED">
        <w:t xml:space="preserve">właśnie </w:t>
      </w:r>
      <w:r w:rsidR="00D16395">
        <w:t>w Umowie o Połączeniu Sieci, gdyż wnosiła o to Netia w równolegle toczącym się postęp</w:t>
      </w:r>
      <w:r w:rsidR="001D6F00">
        <w:t xml:space="preserve">owaniu nr DHRT-WWM-6080-119/13. W skierowanym </w:t>
      </w:r>
      <w:r w:rsidR="000042ED">
        <w:br/>
      </w:r>
      <w:r w:rsidR="00F318C4">
        <w:t>do Prezesa UKE</w:t>
      </w:r>
      <w:r w:rsidR="001D6F00">
        <w:t xml:space="preserve"> „wniosku o wydanie decyzji w przedmiocie zmiany umowy </w:t>
      </w:r>
      <w:r w:rsidR="000042ED">
        <w:br/>
      </w:r>
      <w:r w:rsidR="001D6F00">
        <w:t>o połączeniu sieci”</w:t>
      </w:r>
      <w:r w:rsidR="00D16395">
        <w:t xml:space="preserve"> z dnia 16 września 2014 r. (w przytoczonym postępowaniu) Netia </w:t>
      </w:r>
      <w:r w:rsidR="001D6F00">
        <w:t>jasno wskazała,</w:t>
      </w:r>
      <w:r w:rsidR="000042ED">
        <w:t xml:space="preserve"> </w:t>
      </w:r>
      <w:r w:rsidR="001D6F00">
        <w:t xml:space="preserve">że wnosi o </w:t>
      </w:r>
      <w:r w:rsidR="001D6F00" w:rsidRPr="001D6F00">
        <w:rPr>
          <w:i/>
        </w:rPr>
        <w:t xml:space="preserve">„wydanie decyzji w przedmiocie zmiany umowy </w:t>
      </w:r>
      <w:r w:rsidR="000042ED">
        <w:rPr>
          <w:i/>
        </w:rPr>
        <w:br/>
      </w:r>
      <w:r w:rsidR="001D6F00" w:rsidRPr="001D6F00">
        <w:rPr>
          <w:i/>
        </w:rPr>
        <w:t xml:space="preserve">o połączeniu sieci zawartej z Telekomunikacją Polską S.A. w dniu 30 czerwca </w:t>
      </w:r>
      <w:r w:rsidR="000042ED">
        <w:rPr>
          <w:i/>
        </w:rPr>
        <w:br/>
      </w:r>
      <w:r w:rsidR="001D6F00" w:rsidRPr="001D6F00">
        <w:rPr>
          <w:i/>
        </w:rPr>
        <w:t>2007 r.</w:t>
      </w:r>
      <w:r w:rsidR="000042ED">
        <w:rPr>
          <w:i/>
        </w:rPr>
        <w:t>, w zakresie wprowadzenia na rzecz Netii opłaty jednorazowej z tytułu przeniesienia numeru do TP</w:t>
      </w:r>
      <w:r w:rsidR="001D6F00" w:rsidRPr="001D6F00">
        <w:rPr>
          <w:i/>
        </w:rPr>
        <w:t>”</w:t>
      </w:r>
      <w:r w:rsidR="000042ED">
        <w:rPr>
          <w:i/>
        </w:rPr>
        <w:t xml:space="preserve">. </w:t>
      </w:r>
      <w:r w:rsidRPr="00701382">
        <w:t>Dotychczas strony świadczyły sobie wzajemnie usługę przeniesienia numeru ze swojej sieci, przy czym OPL pobierała z tego tytułu opłaty w wysokości wynika</w:t>
      </w:r>
      <w:r>
        <w:t>jącej z treści Oferty SOR, zaś Netia</w:t>
      </w:r>
      <w:r w:rsidRPr="00701382">
        <w:t xml:space="preserve"> świadczył</w:t>
      </w:r>
      <w:r>
        <w:t>a</w:t>
      </w:r>
      <w:r w:rsidRPr="00701382">
        <w:t xml:space="preserve"> tę usługę nieodpłatnie. Taka sytuacja jednoznacznie świadczyła o braku wzajemności</w:t>
      </w:r>
      <w:r>
        <w:t xml:space="preserve"> </w:t>
      </w:r>
      <w:r w:rsidR="000042ED">
        <w:br/>
      </w:r>
      <w:r w:rsidRPr="00701382">
        <w:t xml:space="preserve">w zakresie współpracy stron przy spełnianiu tego samego, określonego w art. 71 Pt obowiązku zapewnienia abonentom możliwości przeniesienia numeru przy zmianie dostawcy usług. Wydanie decyzji odmawiającej zmiany </w:t>
      </w:r>
      <w:r w:rsidR="005A7F92">
        <w:t>Umowy o Połączeniu Sieci</w:t>
      </w:r>
      <w:r>
        <w:t xml:space="preserve"> </w:t>
      </w:r>
      <w:r w:rsidRPr="00701382">
        <w:t>w zakresie ustalenia opłat związanych z przeniesieniem numeru spowodowałoby,</w:t>
      </w:r>
      <w:r>
        <w:t xml:space="preserve"> </w:t>
      </w:r>
      <w:r w:rsidR="000042ED">
        <w:br/>
      </w:r>
      <w:r w:rsidRPr="00701382">
        <w:t xml:space="preserve">że opisany stan pozostałby bez zmian, a co za tym idzie Prezes UKE zaakceptowałby jawną nierównoważność pozycji stron przy świadczeniu tej samej usługi. Należy przy tym wyraźnie zaznaczyć, że </w:t>
      </w:r>
      <w:r>
        <w:t>Netia</w:t>
      </w:r>
      <w:r w:rsidRPr="00701382">
        <w:t xml:space="preserve"> może świadczyć usługę przenoszenia numerów na innych warunkach niż OPL, a zróżnicowanie sytuacji stron co do zasady nie jest niedopuszczalne. Jednakże w tym przypadku związanie OPL treścią Oferty SOR i niezwiązanie nią </w:t>
      </w:r>
      <w:r>
        <w:t>Netii</w:t>
      </w:r>
      <w:r w:rsidRPr="00701382">
        <w:t xml:space="preserve"> byłoby korzystne tylko i wyłącznie dla OPL</w:t>
      </w:r>
      <w:r>
        <w:t xml:space="preserve">, </w:t>
      </w:r>
      <w:r w:rsidR="002C40F0">
        <w:br/>
      </w:r>
      <w:r>
        <w:t xml:space="preserve">co powodowałoby nierówność pozycji stron w stosunkach międzyoperatorskich </w:t>
      </w:r>
      <w:r w:rsidR="002C40F0">
        <w:br/>
      </w:r>
      <w:r>
        <w:t>i tym samym stałoby w sprzeczności z przesłanką zapewnienia niedyskryminujących warunków dostępu telekomunikacyjnego</w:t>
      </w:r>
      <w:r w:rsidRPr="00701382">
        <w:t>.</w:t>
      </w:r>
      <w:r>
        <w:t xml:space="preserve"> </w:t>
      </w:r>
      <w:r w:rsidRPr="00701382">
        <w:t>Wydając decyzję odmawiającą uwzględniania Wniosku w omawianym zakresie, Prezes UKE potwierdziłby,</w:t>
      </w:r>
      <w:r w:rsidR="002C40F0">
        <w:br/>
      </w:r>
      <w:r w:rsidRPr="00701382">
        <w:t>że z uwagi na związanie tylko jednej strony obowiązkiem stosowania oferty ramowej całkowicie asymetryczne rozwiązanie działające na korzyść OPL i ze szkod</w:t>
      </w:r>
      <w:r>
        <w:t>ą</w:t>
      </w:r>
      <w:r w:rsidRPr="00701382">
        <w:t xml:space="preserve"> </w:t>
      </w:r>
      <w:r w:rsidR="002C40F0">
        <w:br/>
      </w:r>
      <w:r w:rsidRPr="00701382">
        <w:t xml:space="preserve">dla </w:t>
      </w:r>
      <w:r>
        <w:t>Netii</w:t>
      </w:r>
      <w:r w:rsidRPr="00701382">
        <w:t xml:space="preserve"> jest dopuszczalne. Tym samym Prezes UKE uczyniłby obowiązek OPL </w:t>
      </w:r>
      <w:r w:rsidR="002C40F0">
        <w:br/>
      </w:r>
      <w:r w:rsidRPr="00701382">
        <w:t>jej faktycznym przywilejem</w:t>
      </w:r>
      <w:r>
        <w:t xml:space="preserve"> w toku współpracy międzyoperatorskiej, co byłoby </w:t>
      </w:r>
      <w:r w:rsidR="002C40F0">
        <w:br/>
      </w:r>
      <w:r>
        <w:t>nie do pogodzenia z przesłanką zapewnienia niedyskryminujących warunków dostępu telekomunikacyjnego</w:t>
      </w:r>
      <w:r w:rsidRPr="00701382">
        <w:t>.</w:t>
      </w:r>
      <w:r>
        <w:t xml:space="preserve"> </w:t>
      </w:r>
      <w:r w:rsidRPr="00701382">
        <w:t>W związku z powyższym, celem realizacji przesłanki określonej w art. 28 ust. 1</w:t>
      </w:r>
      <w:r>
        <w:t xml:space="preserve"> </w:t>
      </w:r>
      <w:r w:rsidRPr="00701382">
        <w:t xml:space="preserve">pkt 5 lit. b Pt Prezes UKE zdecydował się wprowadzić </w:t>
      </w:r>
      <w:r w:rsidRPr="00701382">
        <w:lastRenderedPageBreak/>
        <w:t xml:space="preserve">niniejszą decyzją obie opłaty związane z realizowaniem przenoszenia numerów </w:t>
      </w:r>
      <w:r w:rsidR="002C40F0">
        <w:br/>
      </w:r>
      <w:r w:rsidRPr="00701382">
        <w:t xml:space="preserve">z sieci </w:t>
      </w:r>
      <w:r>
        <w:t>Netii</w:t>
      </w:r>
      <w:r w:rsidRPr="00701382">
        <w:t xml:space="preserve"> do sieci OPL. </w:t>
      </w:r>
      <w:r>
        <w:t xml:space="preserve">Należy jednocześnie zwrócić uwagę, że pomimo, </w:t>
      </w:r>
      <w:r w:rsidR="002C40F0">
        <w:br/>
      </w:r>
      <w:r>
        <w:t xml:space="preserve">iż wysokość ww. opłat jest taka sama, jak w przypadku wynikających z treści Oferty SOR opłat należnych OPL, nie oznacza to, że opłaty na rzecz Netii ustalone w pkt II sentencji niniejszej decyzji wynikają wprost z Oferty SOR, do której stosowania, </w:t>
      </w:r>
      <w:r w:rsidR="002C40F0">
        <w:br/>
      </w:r>
      <w:r>
        <w:t xml:space="preserve">jak już wcześniej wyjaśniono, Netia nie jest zobowiązana. Należy bowiem wyjaśnić, iż wysokość opłat należnych Netii jest analogiczna do tych, które stosuje OPL, </w:t>
      </w:r>
      <w:r w:rsidR="002C40F0">
        <w:br/>
      </w:r>
      <w:r>
        <w:t xml:space="preserve">ze względu na konieczność uwzględnienia brzmienia art. 41 Pt, o czym szerzej będzie mowa poniżej. </w:t>
      </w:r>
    </w:p>
    <w:p w:rsidR="00203DFD" w:rsidRDefault="00203DFD" w:rsidP="00230383">
      <w:pPr>
        <w:spacing w:before="120" w:after="120"/>
        <w:jc w:val="both"/>
      </w:pPr>
      <w:r w:rsidRPr="00BF3E35">
        <w:t>Okr</w:t>
      </w:r>
      <w:r>
        <w:t>eślając wysokość wprowadzonych opłat</w:t>
      </w:r>
      <w:r w:rsidRPr="00BF3E35">
        <w:t xml:space="preserve"> z</w:t>
      </w:r>
      <w:r>
        <w:t>wiązanych z</w:t>
      </w:r>
      <w:r w:rsidRPr="00BF3E35">
        <w:t xml:space="preserve"> przeniesienie</w:t>
      </w:r>
      <w:r>
        <w:t>m</w:t>
      </w:r>
      <w:r w:rsidRPr="00BF3E35">
        <w:t xml:space="preserve"> numeru</w:t>
      </w:r>
      <w:r>
        <w:br/>
      </w:r>
      <w:r w:rsidRPr="00BF3E35">
        <w:t xml:space="preserve">z sieci </w:t>
      </w:r>
      <w:r>
        <w:t xml:space="preserve">Netii </w:t>
      </w:r>
      <w:r w:rsidRPr="00BF3E35">
        <w:t>do sieci OPL</w:t>
      </w:r>
      <w:r>
        <w:t xml:space="preserve"> (opłaty jednorazowej za przeniesienie numeru</w:t>
      </w:r>
      <w:r>
        <w:br/>
        <w:t>do OPL i opłaty za kierowanie metodą Onward Routing przez Netię)</w:t>
      </w:r>
      <w:r w:rsidRPr="00BF3E35">
        <w:t>,</w:t>
      </w:r>
      <w:r>
        <w:t xml:space="preserve"> Prezes UKE postanowił ustalić ją</w:t>
      </w:r>
      <w:r w:rsidRPr="00BF3E35">
        <w:t xml:space="preserve"> </w:t>
      </w:r>
      <w:r>
        <w:t>na poziomie symetrycznym względem analogicznych opłat</w:t>
      </w:r>
      <w:r>
        <w:br/>
        <w:t>po stronie OPL.</w:t>
      </w:r>
      <w:r w:rsidRPr="00184E0C">
        <w:t xml:space="preserve"> </w:t>
      </w:r>
      <w:r>
        <w:t xml:space="preserve"> W ocenie Prezesa UKE p</w:t>
      </w:r>
      <w:r w:rsidRPr="00BF3E35">
        <w:t>rzyjęcie rozwiązania asymetrycznego</w:t>
      </w:r>
      <w:r>
        <w:t>, podobnie jak niewprowadzanie opłat w ogóle, oznaczałoby ustalenie dyskryminujących warunków dostępu telekomunikacyjnego</w:t>
      </w:r>
      <w:r w:rsidRPr="00BF3E35">
        <w:t>, a więc</w:t>
      </w:r>
      <w:r>
        <w:t xml:space="preserve"> wydanie </w:t>
      </w:r>
      <w:r w:rsidRPr="00BF3E35">
        <w:t>decyzji z naruszeniem art. 28 ust. 1 pkt 5 lit. b Pt.</w:t>
      </w:r>
      <w:r>
        <w:t xml:space="preserve"> </w:t>
      </w:r>
      <w:r w:rsidRPr="004774DD">
        <w:t>W tym zakresie, Prezes UKE zwraca uwagę, że zgodnie z art. 41 ust. 1 Pt opłaty za wzajemne korzystanie</w:t>
      </w:r>
      <w:r>
        <w:br/>
      </w:r>
      <w:r w:rsidRPr="004774DD">
        <w:t xml:space="preserve">z połączonych sieci związane z realizacją procesu przeniesienia numeru między sieciami powinny uwzględniać ponoszone koszty. Należy zauważyć, że w art. 41 Pt została zaimplementowana do polskiego porządku prawnego norma </w:t>
      </w:r>
      <w:r>
        <w:br/>
      </w:r>
      <w:r w:rsidRPr="004774DD">
        <w:t xml:space="preserve">art. 30 Dyrektywy nr 2002/22/WE Parlamentu Europejskiego i Rady z dnia 7 marca 2002 r. w sprawie usługi powszechnej i związanych z sieciami i usługami łączności elektronicznej praw użytkowników (Dz. Urz. UE L 02.108.51; Dz. Urz. UE-sp. </w:t>
      </w:r>
      <w:r>
        <w:br/>
      </w:r>
      <w:r w:rsidRPr="004774DD">
        <w:t>13-29-367, zwanej dalej „DPU”). Przepis art. 30 ust. 2 DPU wskazuje, iż  „</w:t>
      </w:r>
      <w:r w:rsidRPr="004774DD">
        <w:rPr>
          <w:i/>
        </w:rPr>
        <w:t xml:space="preserve">krajowe organy regulacyjne zapewniają, aby ceny ustalane przez operatorów lub dostawców usług związane z przenoszeniem numerów były </w:t>
      </w:r>
      <w:r w:rsidRPr="004774DD">
        <w:rPr>
          <w:i/>
          <w:u w:val="single"/>
        </w:rPr>
        <w:t>zorientowane na koszty</w:t>
      </w:r>
      <w:r w:rsidRPr="004774DD">
        <w:rPr>
          <w:i/>
        </w:rPr>
        <w:t xml:space="preserve"> oraz </w:t>
      </w:r>
      <w:r w:rsidR="004E281E">
        <w:rPr>
          <w:i/>
        </w:rPr>
        <w:br/>
      </w:r>
      <w:r w:rsidRPr="004774DD">
        <w:rPr>
          <w:i/>
        </w:rPr>
        <w:t>aby bezpośrednie obciążenia abonentów, jeśli takie są, nie zniechęcały abonentów</w:t>
      </w:r>
      <w:r>
        <w:rPr>
          <w:i/>
        </w:rPr>
        <w:br/>
      </w:r>
      <w:r w:rsidRPr="004774DD">
        <w:rPr>
          <w:i/>
        </w:rPr>
        <w:t xml:space="preserve">do zmiany dostawcy usług”. </w:t>
      </w:r>
      <w:r w:rsidRPr="004774DD">
        <w:t>W tym względzie Prezes UKE wziął również pod uwagę fakt, iż zgodnie z art. 41 ust. 1 Pt opłaty</w:t>
      </w:r>
      <w:r>
        <w:t xml:space="preserve"> </w:t>
      </w:r>
      <w:r w:rsidRPr="004774DD">
        <w:t>za przeniesienie numeru nie muszą uwzględniać zwrotu uzasadnionych kosztów operatora (jak to wskazuje przepis</w:t>
      </w:r>
      <w:r>
        <w:br/>
      </w:r>
      <w:r w:rsidRPr="004774DD">
        <w:t xml:space="preserve">art. 39 ust. 1 pkt 2 Pt), </w:t>
      </w:r>
      <w:r>
        <w:t xml:space="preserve">nie muszą też </w:t>
      </w:r>
      <w:r w:rsidRPr="004774DD">
        <w:t>być ustalone w oparciu o ponoszone koszty</w:t>
      </w:r>
      <w:r>
        <w:br/>
      </w:r>
      <w:r w:rsidRPr="004774DD">
        <w:t>(art. 40 ust. 1 Pt)</w:t>
      </w:r>
      <w:r>
        <w:t>. Powinny</w:t>
      </w:r>
      <w:r w:rsidRPr="004774DD">
        <w:t xml:space="preserve"> jedynie uwzględniać ponoszone koszty. Zgodnie</w:t>
      </w:r>
      <w:r>
        <w:br/>
      </w:r>
      <w:r w:rsidRPr="004774DD">
        <w:t>z poglądem przyjętym</w:t>
      </w:r>
      <w:r>
        <w:t xml:space="preserve"> </w:t>
      </w:r>
      <w:r w:rsidRPr="004774DD">
        <w:t>w piśmiennictwie</w:t>
      </w:r>
      <w:r>
        <w:t>,</w:t>
      </w:r>
      <w:r w:rsidRPr="004774DD">
        <w:t xml:space="preserve"> przedsiębiorcy telekomunikacyjni mogą pobierać opłaty z tego tytułu i równocześnie opłaty</w:t>
      </w:r>
      <w:r>
        <w:t xml:space="preserve"> </w:t>
      </w:r>
      <w:r w:rsidRPr="004774DD">
        <w:t>te powinny uwzględniać ponoszone koszty, czyli koszty, jakie ponosi przedsiębiorca w związku</w:t>
      </w:r>
      <w:r>
        <w:br/>
      </w:r>
      <w:r w:rsidRPr="004774DD">
        <w:t>ze świadczeniem omawianej usługi</w:t>
      </w:r>
      <w:r>
        <w:t xml:space="preserve"> </w:t>
      </w:r>
      <w:r w:rsidRPr="004774DD">
        <w:t>(por. Komentarz do art. 41 ustawy</w:t>
      </w:r>
      <w:r>
        <w:t xml:space="preserve"> </w:t>
      </w:r>
      <w:r w:rsidRPr="004774DD">
        <w:t>z dnia</w:t>
      </w:r>
      <w:r>
        <w:br/>
      </w:r>
      <w:r w:rsidRPr="004774DD">
        <w:t>16 lipca 2004 r. Prawo telekomunikacyjne (Dz.U.04.171.1800),</w:t>
      </w:r>
      <w:r>
        <w:t xml:space="preserve"> </w:t>
      </w:r>
      <w:r w:rsidRPr="004774DD">
        <w:t>[w:] M. Rogalski,</w:t>
      </w:r>
      <w:r>
        <w:br/>
      </w:r>
      <w:r w:rsidRPr="004774DD">
        <w:t>K. Kawałek, Prawo telekomunikacyjne. Komentarz, LEX 2010).</w:t>
      </w:r>
      <w:r>
        <w:t xml:space="preserve"> Należy podkreślić jednak, że ani z przepisu art. 30 DPU ani z art. 41 ust. 1 Pt nie wynika, aby</w:t>
      </w:r>
      <w:r w:rsidRPr="004774DD">
        <w:t xml:space="preserve"> opłata</w:t>
      </w:r>
      <w:r>
        <w:br/>
      </w:r>
      <w:r w:rsidRPr="004774DD">
        <w:t>za przeniesienie numeru musi</w:t>
      </w:r>
      <w:r>
        <w:t>ała</w:t>
      </w:r>
      <w:r w:rsidRPr="004774DD">
        <w:t xml:space="preserve"> być kalkulowana i ustalana następnie przez Prezesa UKE dla każdego operatora indywidualnie. Zgodnie z wyżej przytoczonym przepisem art. 30 DPU, w świetle którego należy wykładać przepisy prawa krajowego, a w szczególności implementującego tą normę art. 41 ust. 1 Pt,</w:t>
      </w:r>
      <w:r>
        <w:br/>
      </w:r>
      <w:r w:rsidRPr="004774DD">
        <w:t xml:space="preserve">na Prezesie UKE ciąży obowiązek zapewnienia, aby ceny ustalane przez operatorów lub dostawców usług związane z przeniesieniem numeru uwzględniały ponoszone koszty. </w:t>
      </w:r>
      <w:r>
        <w:t xml:space="preserve">Biorąc zatem pod uwagę analogiczny mechanizm procedury przeniesienia numeru w sieciach stacjonarnych, w tym udział w tym procesie analogicznych elementów sieci oraz analogiczny sposób ich zaangażowania w proces przeniesienia numeru, należy, zdaniem Prezesa UKE, uznać, że nie istnieją zasadnicze różnice </w:t>
      </w:r>
      <w:r>
        <w:br/>
      </w:r>
      <w:r>
        <w:lastRenderedPageBreak/>
        <w:t>w koszcie przeniesienia numeru w poszczególnych sieciach stacjonarnych,</w:t>
      </w:r>
      <w:r>
        <w:br/>
        <w:t>tj. różnice, które uzasadniałyby wprowadzenie opłat związanych z przeniesieniem numeru w różnej wysokości dla różnych przedsiębiorców telekomunikacyjnych. Tym samym możliwe do przyjęcia jest ustalenie opłaty za przeniesienie numeru</w:t>
      </w:r>
      <w:r>
        <w:br/>
        <w:t>w sieci Netii oraz opłaty za kierowanie metodą Onward Routing przez Netię</w:t>
      </w:r>
      <w:r>
        <w:br/>
        <w:t xml:space="preserve">w wysokościach równych wysokościom analogicznych opłat stosowanych przez OPL. Wysokość tych opłat wynika z Oferty SOR i z uwagi na ciążący na OPL obowiązek kosztowy, o którym mowa w art. 40 ust. 1 Pt, z pewnością uwzględnia ponoszone koszty. </w:t>
      </w:r>
      <w:r w:rsidRPr="004774DD">
        <w:t>Należy zdecydowanie podkreślić,</w:t>
      </w:r>
      <w:r>
        <w:t xml:space="preserve"> </w:t>
      </w:r>
      <w:r w:rsidRPr="004774DD">
        <w:t>że rozwiązanie, zgodnie</w:t>
      </w:r>
      <w:r>
        <w:br/>
      </w:r>
      <w:r w:rsidRPr="004774DD">
        <w:t xml:space="preserve">z którym Prezes UKE określa </w:t>
      </w:r>
      <w:r>
        <w:t>w danym wypadku wysokość opłaty, odnosząc się</w:t>
      </w:r>
      <w:r>
        <w:br/>
        <w:t xml:space="preserve">do wysokości opłaty zawartej w </w:t>
      </w:r>
      <w:r w:rsidRPr="004774DD">
        <w:t>ofer</w:t>
      </w:r>
      <w:r>
        <w:t xml:space="preserve">cie </w:t>
      </w:r>
      <w:r w:rsidRPr="004774DD">
        <w:t>ramowej, do stosowania której obowiązany jest operator zasiedziały i która określa wysokość opłaty</w:t>
      </w:r>
      <w:r>
        <w:t xml:space="preserve"> </w:t>
      </w:r>
      <w:r w:rsidRPr="004774DD">
        <w:t>za przeniesienie numeru</w:t>
      </w:r>
      <w:r>
        <w:br/>
      </w:r>
      <w:r w:rsidRPr="004774DD">
        <w:t xml:space="preserve">w oparciu o ponoszone koszty, </w:t>
      </w:r>
      <w:r>
        <w:t>jest zgodne z przesłankami określonymi</w:t>
      </w:r>
      <w:r>
        <w:br/>
        <w:t>w</w:t>
      </w:r>
      <w:r w:rsidRPr="004774DD">
        <w:t xml:space="preserve"> art. 30 DPU i </w:t>
      </w:r>
      <w:r>
        <w:t xml:space="preserve">w </w:t>
      </w:r>
      <w:r w:rsidRPr="004774DD">
        <w:t>art. 41 ust. 1 Pt.</w:t>
      </w:r>
    </w:p>
    <w:p w:rsidR="00203DFD" w:rsidRDefault="00203DFD" w:rsidP="0087625C">
      <w:pPr>
        <w:spacing w:after="120"/>
        <w:jc w:val="both"/>
      </w:pPr>
      <w:r w:rsidRPr="004774DD">
        <w:t>Biorąc</w:t>
      </w:r>
      <w:r>
        <w:t xml:space="preserve"> </w:t>
      </w:r>
      <w:r w:rsidRPr="004774DD">
        <w:t>pod uwagę powyższe rozważ</w:t>
      </w:r>
      <w:r>
        <w:t xml:space="preserve">ania, Prezes UKE </w:t>
      </w:r>
      <w:r w:rsidRPr="004774DD">
        <w:t>uznał</w:t>
      </w:r>
      <w:r>
        <w:t xml:space="preserve"> zatem</w:t>
      </w:r>
      <w:r w:rsidRPr="004774DD">
        <w:t xml:space="preserve">, iż za rozwiązanie </w:t>
      </w:r>
      <w:r>
        <w:t>niedyskryminujące a zarazem zgodne z nałożonymi na strony obowiązkami regulacyjnymi</w:t>
      </w:r>
      <w:r w:rsidRPr="004774DD">
        <w:t xml:space="preserve"> należy uznać ustalenie opłat</w:t>
      </w:r>
      <w:r>
        <w:t>y</w:t>
      </w:r>
      <w:r w:rsidRPr="004774DD">
        <w:t xml:space="preserve"> za przeniesienie numeru z sieci </w:t>
      </w:r>
      <w:r>
        <w:t>Netii</w:t>
      </w:r>
      <w:r>
        <w:br/>
      </w:r>
      <w:r w:rsidRPr="004774DD">
        <w:t>w wysokości 25,39 zł</w:t>
      </w:r>
      <w:r>
        <w:t xml:space="preserve"> (</w:t>
      </w:r>
      <w:r w:rsidRPr="004774DD">
        <w:t>na poziomie symetrycznym</w:t>
      </w:r>
      <w:r>
        <w:t xml:space="preserve"> względem opłaty za przeniesienie numeru z sieci OPL), zaś ustalenie opłaty za kierowanie metodą Onward Routing przez Netię w wysokości 2942,49 zł (</w:t>
      </w:r>
      <w:r w:rsidRPr="004774DD">
        <w:t>na poziomie symetrycznym</w:t>
      </w:r>
      <w:r>
        <w:t xml:space="preserve"> względem opłaty za kierowanie metodą Onward Routing przez OPL)</w:t>
      </w:r>
      <w:r w:rsidRPr="004774DD">
        <w:t>.</w:t>
      </w:r>
      <w:r>
        <w:t xml:space="preserve"> </w:t>
      </w:r>
    </w:p>
    <w:p w:rsidR="00203DFD" w:rsidRDefault="00203DFD" w:rsidP="00335403">
      <w:pPr>
        <w:spacing w:after="120"/>
        <w:jc w:val="both"/>
      </w:pPr>
      <w:r>
        <w:t xml:space="preserve">Z kolei w zakresie wysokości opłaty za wykorzystanie numerów przeniesionych </w:t>
      </w:r>
      <w:r>
        <w:br/>
        <w:t xml:space="preserve">– numery geograficzne i numery niegeograficzne, Prezes UKE wprowadził </w:t>
      </w:r>
      <w:r>
        <w:br/>
        <w:t xml:space="preserve">do </w:t>
      </w:r>
      <w:r w:rsidR="005A7F92">
        <w:t>Umowy o Połączeniu Sieci</w:t>
      </w:r>
      <w:r>
        <w:t xml:space="preserve"> jedynie odwołanie </w:t>
      </w:r>
      <w:r w:rsidRPr="00FF71D0">
        <w:t xml:space="preserve">do </w:t>
      </w:r>
      <w:r w:rsidRPr="00184E0C">
        <w:t>Rozporządzenia Ministra Administracji</w:t>
      </w:r>
      <w:r>
        <w:t xml:space="preserve"> </w:t>
      </w:r>
      <w:r w:rsidRPr="00184E0C">
        <w:t>i Cyfryzacji z dnia 18 grudnia 2013 r</w:t>
      </w:r>
      <w:r>
        <w:t>.</w:t>
      </w:r>
      <w:r w:rsidRPr="00184E0C">
        <w:t xml:space="preserve"> w sprawie wysokości, term</w:t>
      </w:r>
      <w:r>
        <w:t xml:space="preserve">inów i sposobu uiszczania opłat </w:t>
      </w:r>
      <w:r w:rsidRPr="00184E0C">
        <w:t>za prawo</w:t>
      </w:r>
      <w:r>
        <w:t xml:space="preserve"> </w:t>
      </w:r>
      <w:r w:rsidRPr="00184E0C">
        <w:t>do wykorzystywania zasobów numeracji</w:t>
      </w:r>
      <w:r>
        <w:t xml:space="preserve"> </w:t>
      </w:r>
      <w:r w:rsidR="005A7F92">
        <w:br/>
      </w:r>
      <w:r>
        <w:t>(Dz. U. z 2013 r., poz. 1697, zwane dalej „Rozporządzeniem”), gdyż wysokość wskazanych opłat określona jest wprost w przepisach prawa powszechnie obowiązującego. Należy wyjaśnić, że zgodnie z art. 184 ust. 1 Pt p</w:t>
      </w:r>
      <w:r w:rsidRPr="00A57395">
        <w:t>odmiot, który uzyskał prawo do wykorzystywania zasobów numeracji w przydziale numeracji, uiszcza roczne opłaty za prawo do wykorzystywania zasobów numeracji.</w:t>
      </w:r>
      <w:r>
        <w:t xml:space="preserve"> W sytuacji, gdy dany numer zostaje przeniesiony do sieci innego przedsiębiorcy telekomunikacyjnego, dotychczasowy dostawca usług jest nadal zobowiązany </w:t>
      </w:r>
      <w:r w:rsidR="005A7F92">
        <w:br/>
      </w:r>
      <w:r>
        <w:t>do uiszczania ww. opłat</w:t>
      </w:r>
      <w:r w:rsidR="005A7F92">
        <w:t xml:space="preserve"> </w:t>
      </w:r>
      <w:r>
        <w:t xml:space="preserve">za prawo do wykorzystywania zasobów numeracji, podczas gdy dany numer, po jego przeniesieniu, wykorzystywany jest przez innego przedsiębiorcę telekomunikacyjnego. W celu zrekompensowania ww. obowiązku, mając na względzie przede wszystkim przesłankę obowiązków nałożonych </w:t>
      </w:r>
      <w:r>
        <w:br/>
        <w:t xml:space="preserve">na przedsiębiorców telekomunikacyjnych (art. 28 ust. 1 pkt 2 Pt) oraz konieczność zapewnienia niedyskryminujących warunków dostępu telekomunikacyjnego </w:t>
      </w:r>
      <w:r>
        <w:br/>
        <w:t xml:space="preserve">(art. 28 ust. 1 pkt 5 lit. b) Prezes UKE zdecydował się na wprowadzenie </w:t>
      </w:r>
      <w:r w:rsidR="00ED57FE">
        <w:br/>
      </w:r>
      <w:r>
        <w:t xml:space="preserve">ww. odesłania do Rozporządzenia. Należy bowiem jednocześnie mieć na uwadze, </w:t>
      </w:r>
      <w:r>
        <w:br/>
        <w:t>że do pobierania analogicznych opłat uprawniona jest OPL w oparciu o zapisy łączącej OPL i Netii Umowy SOR.</w:t>
      </w:r>
      <w:r w:rsidRPr="00701382">
        <w:t xml:space="preserve"> </w:t>
      </w:r>
    </w:p>
    <w:p w:rsidR="00203DFD" w:rsidRPr="00350B90" w:rsidRDefault="00203DFD" w:rsidP="00F96890">
      <w:pPr>
        <w:spacing w:after="120"/>
        <w:jc w:val="both"/>
      </w:pPr>
      <w:r>
        <w:t xml:space="preserve">Mając na uwadze przedstawioną wyżej argumentację odnoszącą się </w:t>
      </w:r>
      <w:r>
        <w:br/>
        <w:t xml:space="preserve">do rozstrzygnięcia zawartego w pkt II sentencji niniejszej decyzji, </w:t>
      </w:r>
      <w:r w:rsidRPr="00701382">
        <w:t>Prezes UKE zdecydował się uwzględnić zmodyfikowany Wniosek jedynie w zakresie wskazanym w pkt II sentencji niniejszej decyzji.</w:t>
      </w:r>
    </w:p>
    <w:p w:rsidR="00203DFD" w:rsidRPr="00350B90" w:rsidRDefault="00203DFD" w:rsidP="00A915EC">
      <w:pPr>
        <w:pStyle w:val="Tekstpodstawowy3"/>
        <w:jc w:val="both"/>
        <w:rPr>
          <w:sz w:val="24"/>
          <w:szCs w:val="24"/>
        </w:rPr>
      </w:pPr>
      <w:r w:rsidRPr="00701382">
        <w:rPr>
          <w:sz w:val="24"/>
          <w:szCs w:val="24"/>
        </w:rPr>
        <w:t>W odniesieniu do rozstrzygnięcia zawartego w pkt III sentencji niniejszej decyzji  Prezes UKE wyjaśnia na wstępie, że zgodnie z art. 105 § 1 kpa</w:t>
      </w:r>
      <w:r w:rsidRPr="00701382">
        <w:rPr>
          <w:i/>
          <w:sz w:val="24"/>
          <w:szCs w:val="24"/>
        </w:rPr>
        <w:t xml:space="preserve"> „gdy postępowanie </w:t>
      </w:r>
      <w:r w:rsidRPr="00701382">
        <w:rPr>
          <w:i/>
          <w:sz w:val="24"/>
          <w:szCs w:val="24"/>
        </w:rPr>
        <w:lastRenderedPageBreak/>
        <w:t>z</w:t>
      </w:r>
      <w:r w:rsidRPr="00C15682">
        <w:rPr>
          <w:i/>
          <w:sz w:val="24"/>
          <w:szCs w:val="24"/>
        </w:rPr>
        <w:t> </w:t>
      </w:r>
      <w:r w:rsidRPr="00C649E2">
        <w:rPr>
          <w:i/>
          <w:sz w:val="24"/>
          <w:szCs w:val="24"/>
        </w:rPr>
        <w:t>jakiejkolwiek przyczyny stało się bezprzedmiotowe w całości albo w części, organ administracji publicznej wydaje decyzję o umorzeniu postępowania odpowiednio w</w:t>
      </w:r>
      <w:r w:rsidRPr="00C15682">
        <w:rPr>
          <w:i/>
          <w:sz w:val="24"/>
          <w:szCs w:val="24"/>
        </w:rPr>
        <w:t> </w:t>
      </w:r>
      <w:r w:rsidRPr="00C649E2">
        <w:rPr>
          <w:i/>
          <w:sz w:val="24"/>
          <w:szCs w:val="24"/>
        </w:rPr>
        <w:t>całości albo w części.”.</w:t>
      </w:r>
    </w:p>
    <w:p w:rsidR="00203DFD" w:rsidRPr="00350B90" w:rsidRDefault="00203DFD" w:rsidP="00A915EC">
      <w:pPr>
        <w:pStyle w:val="Tekstpodstawowy3"/>
        <w:jc w:val="both"/>
        <w:rPr>
          <w:sz w:val="24"/>
          <w:szCs w:val="24"/>
        </w:rPr>
      </w:pPr>
      <w:r w:rsidRPr="00701382">
        <w:rPr>
          <w:iCs/>
          <w:color w:val="000000"/>
          <w:sz w:val="24"/>
          <w:szCs w:val="24"/>
        </w:rPr>
        <w:t>Bezprzedmiotowość postępowania administracyjnego, o której mowa w art. 105</w:t>
      </w:r>
      <w:r w:rsidRPr="00C15682">
        <w:rPr>
          <w:iCs/>
          <w:color w:val="000000"/>
          <w:sz w:val="24"/>
          <w:szCs w:val="24"/>
        </w:rPr>
        <w:br/>
      </w:r>
      <w:r w:rsidRPr="00701382">
        <w:rPr>
          <w:iCs/>
          <w:color w:val="000000"/>
          <w:sz w:val="24"/>
          <w:szCs w:val="24"/>
        </w:rPr>
        <w:t>§ 1 kpa, to brak przedmiotu postępowania. Tym przedmiotem jest zaś</w:t>
      </w:r>
      <w:r>
        <w:rPr>
          <w:iCs/>
          <w:color w:val="000000"/>
          <w:sz w:val="24"/>
          <w:szCs w:val="24"/>
        </w:rPr>
        <w:t xml:space="preserve"> </w:t>
      </w:r>
      <w:r w:rsidRPr="00701382">
        <w:rPr>
          <w:iCs/>
          <w:color w:val="000000"/>
          <w:sz w:val="24"/>
          <w:szCs w:val="24"/>
        </w:rPr>
        <w:t>konkretna sprawa, w której organ administracji p</w:t>
      </w:r>
      <w:r>
        <w:rPr>
          <w:iCs/>
          <w:color w:val="000000"/>
          <w:sz w:val="24"/>
          <w:szCs w:val="24"/>
        </w:rPr>
        <w:t>ublicznej</w:t>
      </w:r>
      <w:r w:rsidRPr="00701382">
        <w:rPr>
          <w:iCs/>
          <w:color w:val="000000"/>
          <w:sz w:val="24"/>
          <w:szCs w:val="24"/>
        </w:rPr>
        <w:t xml:space="preserve"> jest władny</w:t>
      </w:r>
      <w:r>
        <w:rPr>
          <w:iCs/>
          <w:color w:val="000000"/>
          <w:sz w:val="24"/>
          <w:szCs w:val="24"/>
        </w:rPr>
        <w:t xml:space="preserve"> </w:t>
      </w:r>
      <w:r w:rsidRPr="00701382">
        <w:rPr>
          <w:iCs/>
          <w:color w:val="000000"/>
          <w:sz w:val="24"/>
          <w:szCs w:val="24"/>
        </w:rPr>
        <w:t>i jednocześnie zobowiązany rozstrzygnąć na podstawie przepisów prawa materialnego</w:t>
      </w:r>
      <w:r>
        <w:rPr>
          <w:iCs/>
          <w:color w:val="000000"/>
          <w:sz w:val="24"/>
          <w:szCs w:val="24"/>
        </w:rPr>
        <w:t xml:space="preserve">  </w:t>
      </w:r>
      <w:r>
        <w:rPr>
          <w:iCs/>
          <w:color w:val="000000"/>
          <w:sz w:val="24"/>
          <w:szCs w:val="24"/>
        </w:rPr>
        <w:br/>
      </w:r>
      <w:r w:rsidRPr="00701382">
        <w:rPr>
          <w:iCs/>
          <w:color w:val="000000"/>
          <w:sz w:val="24"/>
          <w:szCs w:val="24"/>
        </w:rPr>
        <w:t>o</w:t>
      </w:r>
      <w:r w:rsidRPr="00C15682">
        <w:rPr>
          <w:iCs/>
          <w:color w:val="000000"/>
          <w:sz w:val="24"/>
          <w:szCs w:val="24"/>
        </w:rPr>
        <w:t> </w:t>
      </w:r>
      <w:r w:rsidRPr="00701382">
        <w:rPr>
          <w:iCs/>
          <w:color w:val="000000"/>
          <w:sz w:val="24"/>
          <w:szCs w:val="24"/>
        </w:rPr>
        <w:t>uprawnieniach lub obowiązkach indywidualnego podmiotu.</w:t>
      </w:r>
      <w:r>
        <w:rPr>
          <w:iCs/>
          <w:color w:val="000000"/>
          <w:sz w:val="24"/>
          <w:szCs w:val="24"/>
        </w:rPr>
        <w:t xml:space="preserve"> </w:t>
      </w:r>
      <w:r w:rsidRPr="00701382">
        <w:rPr>
          <w:iCs/>
          <w:color w:val="000000"/>
          <w:sz w:val="24"/>
          <w:szCs w:val="24"/>
        </w:rPr>
        <w:t>Sprawa administracyjna jest więc konsekwencją istnienia stosunku  administracyjno</w:t>
      </w:r>
      <w:r>
        <w:rPr>
          <w:iCs/>
          <w:color w:val="000000"/>
          <w:sz w:val="24"/>
          <w:szCs w:val="24"/>
        </w:rPr>
        <w:t>-</w:t>
      </w:r>
      <w:r w:rsidRPr="00701382">
        <w:rPr>
          <w:iCs/>
          <w:color w:val="000000"/>
          <w:sz w:val="24"/>
          <w:szCs w:val="24"/>
        </w:rPr>
        <w:t xml:space="preserve">prawnego, a więc takiej sytuacji prawnej, w której strona ma prawo żądać od organu administracyjnego skonkretyzowania jej indywidualnych uprawnień wynikających </w:t>
      </w:r>
      <w:r>
        <w:rPr>
          <w:iCs/>
          <w:color w:val="000000"/>
          <w:sz w:val="24"/>
          <w:szCs w:val="24"/>
        </w:rPr>
        <w:br/>
      </w:r>
      <w:r w:rsidRPr="00701382">
        <w:rPr>
          <w:iCs/>
          <w:color w:val="000000"/>
          <w:sz w:val="24"/>
          <w:szCs w:val="24"/>
        </w:rPr>
        <w:t xml:space="preserve">z prawa materialnego. </w:t>
      </w:r>
      <w:r w:rsidRPr="00701382">
        <w:rPr>
          <w:sz w:val="24"/>
          <w:szCs w:val="24"/>
        </w:rPr>
        <w:t>Na stosunek materialno-prawny składają się cztery elementy:</w:t>
      </w:r>
    </w:p>
    <w:p w:rsidR="00203DFD" w:rsidRDefault="00203DFD" w:rsidP="003565CD">
      <w:pPr>
        <w:pStyle w:val="Tekstpodstawowy3"/>
        <w:numPr>
          <w:ilvl w:val="0"/>
          <w:numId w:val="21"/>
        </w:numPr>
        <w:tabs>
          <w:tab w:val="clear" w:pos="1440"/>
          <w:tab w:val="num" w:pos="540"/>
        </w:tabs>
        <w:ind w:left="540" w:hanging="540"/>
        <w:jc w:val="both"/>
        <w:rPr>
          <w:sz w:val="24"/>
          <w:szCs w:val="24"/>
        </w:rPr>
      </w:pPr>
      <w:r w:rsidRPr="00701382">
        <w:rPr>
          <w:sz w:val="24"/>
          <w:szCs w:val="24"/>
        </w:rPr>
        <w:t>podmiot stosunku,</w:t>
      </w:r>
    </w:p>
    <w:p w:rsidR="00203DFD" w:rsidRDefault="00203DFD" w:rsidP="003565CD">
      <w:pPr>
        <w:pStyle w:val="Tekstpodstawowy3"/>
        <w:numPr>
          <w:ilvl w:val="0"/>
          <w:numId w:val="21"/>
        </w:numPr>
        <w:tabs>
          <w:tab w:val="clear" w:pos="1440"/>
          <w:tab w:val="num" w:pos="540"/>
        </w:tabs>
        <w:ind w:left="540" w:hanging="540"/>
        <w:jc w:val="both"/>
        <w:rPr>
          <w:sz w:val="24"/>
          <w:szCs w:val="24"/>
        </w:rPr>
      </w:pPr>
      <w:r w:rsidRPr="00701382">
        <w:rPr>
          <w:sz w:val="24"/>
          <w:szCs w:val="24"/>
        </w:rPr>
        <w:t>przedmiot stosunku,</w:t>
      </w:r>
    </w:p>
    <w:p w:rsidR="00203DFD" w:rsidRDefault="00203DFD" w:rsidP="003565CD">
      <w:pPr>
        <w:pStyle w:val="Tekstpodstawowy3"/>
        <w:numPr>
          <w:ilvl w:val="0"/>
          <w:numId w:val="21"/>
        </w:numPr>
        <w:tabs>
          <w:tab w:val="clear" w:pos="1440"/>
          <w:tab w:val="num" w:pos="540"/>
        </w:tabs>
        <w:ind w:left="540" w:hanging="540"/>
        <w:jc w:val="both"/>
        <w:rPr>
          <w:sz w:val="24"/>
          <w:szCs w:val="24"/>
        </w:rPr>
      </w:pPr>
      <w:r w:rsidRPr="00701382">
        <w:rPr>
          <w:sz w:val="24"/>
          <w:szCs w:val="24"/>
        </w:rPr>
        <w:t>sfera faktów mających znaczenie dla możliwości konkretyzacji stosunku,</w:t>
      </w:r>
    </w:p>
    <w:p w:rsidR="00203DFD" w:rsidRDefault="00203DFD" w:rsidP="003565CD">
      <w:pPr>
        <w:pStyle w:val="Tekstpodstawowy3"/>
        <w:numPr>
          <w:ilvl w:val="0"/>
          <w:numId w:val="21"/>
        </w:numPr>
        <w:tabs>
          <w:tab w:val="clear" w:pos="1440"/>
          <w:tab w:val="num" w:pos="540"/>
        </w:tabs>
        <w:ind w:left="540" w:hanging="540"/>
        <w:jc w:val="both"/>
        <w:rPr>
          <w:sz w:val="24"/>
          <w:szCs w:val="24"/>
        </w:rPr>
      </w:pPr>
      <w:r w:rsidRPr="00701382">
        <w:rPr>
          <w:sz w:val="24"/>
          <w:szCs w:val="24"/>
        </w:rPr>
        <w:t xml:space="preserve">sfera prawna, z której wywodzi się określony stosunek prawny (interes prawny) </w:t>
      </w:r>
      <w:r w:rsidRPr="00C15682">
        <w:rPr>
          <w:sz w:val="24"/>
          <w:szCs w:val="24"/>
        </w:rPr>
        <w:br/>
      </w:r>
      <w:r w:rsidRPr="00701382">
        <w:rPr>
          <w:sz w:val="24"/>
          <w:szCs w:val="24"/>
        </w:rPr>
        <w:t>i który przesądza o możliwości i kształcie konkretyzacji tego stosunku.</w:t>
      </w:r>
    </w:p>
    <w:p w:rsidR="00203DFD" w:rsidRPr="00350B90" w:rsidRDefault="00203DFD" w:rsidP="00A915EC">
      <w:pPr>
        <w:autoSpaceDE w:val="0"/>
        <w:spacing w:after="120"/>
        <w:jc w:val="both"/>
      </w:pPr>
      <w:r w:rsidRPr="00701382">
        <w:rPr>
          <w:iCs/>
          <w:color w:val="000000"/>
        </w:rPr>
        <w:t xml:space="preserve">Brak któregokolwiek z wyżej wymienionych elementów tego stosunku materialnoprawnego </w:t>
      </w:r>
      <w:r>
        <w:rPr>
          <w:iCs/>
          <w:color w:val="000000"/>
        </w:rPr>
        <w:t>przesądza</w:t>
      </w:r>
      <w:r w:rsidRPr="00701382">
        <w:rPr>
          <w:iCs/>
          <w:color w:val="000000"/>
        </w:rPr>
        <w:t xml:space="preserve"> o bezprzedmiotowości postępowania</w:t>
      </w:r>
      <w:r w:rsidRPr="00701382">
        <w:rPr>
          <w:i/>
          <w:iCs/>
          <w:color w:val="000000"/>
        </w:rPr>
        <w:t xml:space="preserve"> </w:t>
      </w:r>
      <w:r>
        <w:rPr>
          <w:i/>
          <w:iCs/>
          <w:color w:val="000000"/>
        </w:rPr>
        <w:br/>
      </w:r>
      <w:r w:rsidRPr="00701382">
        <w:rPr>
          <w:color w:val="000000"/>
        </w:rPr>
        <w:t>(por. m.in.</w:t>
      </w:r>
      <w:r w:rsidRPr="00701382">
        <w:t xml:space="preserve"> wyrok Naczelnego Sądu Administracyjnego w Warszawie z dnia </w:t>
      </w:r>
      <w:r>
        <w:br/>
      </w:r>
      <w:r w:rsidRPr="00701382">
        <w:t>26 marca 1998 r., sygn. akt II</w:t>
      </w:r>
      <w:r w:rsidRPr="00C15682">
        <w:t> </w:t>
      </w:r>
      <w:r w:rsidRPr="00701382">
        <w:t xml:space="preserve">SA 70/98, LEX Nr 43205). Taki brak skutkuje tym, </w:t>
      </w:r>
      <w:r>
        <w:br/>
      </w:r>
      <w:r w:rsidRPr="00701382">
        <w:rPr>
          <w:i/>
          <w:iCs/>
        </w:rPr>
        <w:t>„iż nie można załatwić sprawy przez rozstrzygnięcie jej co do istoty”</w:t>
      </w:r>
      <w:r w:rsidRPr="00701382">
        <w:t xml:space="preserve">. </w:t>
      </w:r>
      <w:r>
        <w:t>Umorzenie</w:t>
      </w:r>
      <w:r w:rsidRPr="00701382">
        <w:t xml:space="preserve"> postępowania jest to zatem </w:t>
      </w:r>
      <w:r w:rsidRPr="00701382">
        <w:rPr>
          <w:i/>
        </w:rPr>
        <w:t>„orzeczenie formalne, kończące postępowanie bez jego merytorycznego rozstrzygnięcia”</w:t>
      </w:r>
      <w:r w:rsidRPr="00701382">
        <w:t xml:space="preserve"> (tak wyrok Naczelnego Sądu Administracyjnego </w:t>
      </w:r>
      <w:r>
        <w:br/>
      </w:r>
      <w:r w:rsidRPr="00701382">
        <w:t xml:space="preserve">z dnia 24 kwietnia 2003 r., sygn. akt II SA 2225/01, publ. Biuletyn Skarbowy 2003/6/25; podobnie Naczelny Sąd Administracyjny w wyroku z dnia 18 kwietnia 1995 r., sygn. akt SA/Łd 2424/94, publ. ONSA 1996/2/80). </w:t>
      </w:r>
      <w:r w:rsidRPr="00701382">
        <w:rPr>
          <w:color w:val="000000"/>
        </w:rPr>
        <w:t>Należy ponadto wskazać, że przesłanką umorzenia postępowania na podstawie art. 105 § 1 kpa jest bezprzedmiotowość postępowania „z jakiejkolwiek przyczyny”, czyli z każdej przyczyny powodującej brak jednego z</w:t>
      </w:r>
      <w:r w:rsidRPr="00C15682">
        <w:rPr>
          <w:color w:val="000000"/>
        </w:rPr>
        <w:t> </w:t>
      </w:r>
      <w:r w:rsidRPr="00701382">
        <w:rPr>
          <w:color w:val="000000"/>
        </w:rPr>
        <w:t>elementów materialnego stosunku prawnego w odniesieniu do jego strony podmiotowej lub</w:t>
      </w:r>
      <w:r w:rsidRPr="00C15682">
        <w:rPr>
          <w:color w:val="000000"/>
        </w:rPr>
        <w:t> </w:t>
      </w:r>
      <w:r w:rsidRPr="00701382">
        <w:rPr>
          <w:color w:val="000000"/>
        </w:rPr>
        <w:t>przedmiotowej (tak</w:t>
      </w:r>
      <w:r>
        <w:rPr>
          <w:color w:val="000000"/>
        </w:rPr>
        <w:t>:</w:t>
      </w:r>
      <w:r w:rsidRPr="00701382">
        <w:rPr>
          <w:color w:val="000000"/>
        </w:rPr>
        <w:t xml:space="preserve"> wyrok </w:t>
      </w:r>
      <w:r w:rsidRPr="00701382">
        <w:t>Wojewódzkiego</w:t>
      </w:r>
      <w:r w:rsidRPr="00701382">
        <w:rPr>
          <w:color w:val="FF0000"/>
        </w:rPr>
        <w:t xml:space="preserve"> </w:t>
      </w:r>
      <w:r w:rsidRPr="00701382">
        <w:t>Sądu Administracyjnego w Szczecinie</w:t>
      </w:r>
      <w:r w:rsidRPr="00701382">
        <w:rPr>
          <w:color w:val="000000"/>
        </w:rPr>
        <w:t xml:space="preserve"> z dnia 21 stycznia 1999 r., sygn. akt </w:t>
      </w:r>
      <w:r w:rsidRPr="00701382">
        <w:t>SA/Sz 1029/97, LEX Nr 36139).</w:t>
      </w:r>
    </w:p>
    <w:p w:rsidR="00203DFD" w:rsidRPr="00350B90" w:rsidRDefault="00203DFD" w:rsidP="00A915EC">
      <w:pPr>
        <w:pStyle w:val="Tekstpodstawowy3"/>
        <w:jc w:val="both"/>
        <w:rPr>
          <w:sz w:val="24"/>
          <w:szCs w:val="24"/>
        </w:rPr>
      </w:pPr>
      <w:r w:rsidRPr="00701382">
        <w:rPr>
          <w:sz w:val="24"/>
          <w:szCs w:val="24"/>
        </w:rPr>
        <w:t>Biorąc powyższe pod uwagę, Prezes UKE, przy załatwieniu niniejszej sprawy, uwzględnił w szczególności to, że „</w:t>
      </w:r>
      <w:r w:rsidRPr="00701382">
        <w:rPr>
          <w:i/>
          <w:sz w:val="24"/>
          <w:szCs w:val="24"/>
        </w:rPr>
        <w:t xml:space="preserve">decyzję o umorzeniu postępowania organ administracji państwowej wydaje zgodnie z art. 105 § 1 kpa wówczas, </w:t>
      </w:r>
      <w:r w:rsidRPr="00C15682">
        <w:rPr>
          <w:i/>
          <w:sz w:val="24"/>
          <w:szCs w:val="24"/>
        </w:rPr>
        <w:br/>
      </w:r>
      <w:r w:rsidRPr="00701382">
        <w:rPr>
          <w:i/>
          <w:sz w:val="24"/>
          <w:szCs w:val="24"/>
        </w:rPr>
        <w:t xml:space="preserve">gdy postępowanie z jakiejkolwiek przyczyny stało się bezprzedmiotowe, </w:t>
      </w:r>
      <w:r w:rsidRPr="00C15682">
        <w:rPr>
          <w:i/>
          <w:sz w:val="24"/>
          <w:szCs w:val="24"/>
        </w:rPr>
        <w:br/>
      </w:r>
      <w:r w:rsidRPr="00701382">
        <w:rPr>
          <w:i/>
          <w:sz w:val="24"/>
          <w:szCs w:val="24"/>
        </w:rPr>
        <w:t xml:space="preserve">w szczególności wówczas, gdy strona rezygnuje z ubiegania się o rozstrzygnięcie określonej treści, gdy przyznanie określonego uprawnienia stało się zbędne </w:t>
      </w:r>
      <w:r>
        <w:rPr>
          <w:i/>
          <w:sz w:val="24"/>
          <w:szCs w:val="24"/>
        </w:rPr>
        <w:br/>
      </w:r>
      <w:r w:rsidRPr="00701382">
        <w:rPr>
          <w:i/>
          <w:sz w:val="24"/>
          <w:szCs w:val="24"/>
        </w:rPr>
        <w:t xml:space="preserve">lub gdy organ administracyjny stwierdzi oczywisty brak podstaw prawnych </w:t>
      </w:r>
      <w:r>
        <w:rPr>
          <w:i/>
          <w:sz w:val="24"/>
          <w:szCs w:val="24"/>
        </w:rPr>
        <w:br/>
      </w:r>
      <w:r w:rsidRPr="00701382">
        <w:rPr>
          <w:i/>
          <w:sz w:val="24"/>
          <w:szCs w:val="24"/>
        </w:rPr>
        <w:t>i faktycznych do merytorycznego rozpatrzenia sprawy</w:t>
      </w:r>
      <w:r w:rsidRPr="00701382">
        <w:rPr>
          <w:sz w:val="24"/>
          <w:szCs w:val="24"/>
        </w:rPr>
        <w:t xml:space="preserve">” (uzasadnienie wyroku Naczelnego Sądu Administracyjnego w Warszawie z dnia 26 września 2001 r., </w:t>
      </w:r>
      <w:r>
        <w:rPr>
          <w:sz w:val="24"/>
          <w:szCs w:val="24"/>
        </w:rPr>
        <w:br/>
      </w:r>
      <w:r w:rsidRPr="00701382">
        <w:rPr>
          <w:sz w:val="24"/>
          <w:szCs w:val="24"/>
        </w:rPr>
        <w:t xml:space="preserve">sygn. akt V SA 381/01, LEX Nr 78917). </w:t>
      </w:r>
    </w:p>
    <w:p w:rsidR="00203DFD" w:rsidRPr="00350B90" w:rsidRDefault="00203DFD" w:rsidP="00A915EC">
      <w:pPr>
        <w:spacing w:after="120"/>
        <w:jc w:val="both"/>
      </w:pPr>
      <w:r w:rsidRPr="00701382">
        <w:t xml:space="preserve">W nauce przedmiotu przyjmuje się ponadto, iż: </w:t>
      </w:r>
      <w:r w:rsidRPr="00701382">
        <w:rPr>
          <w:i/>
        </w:rPr>
        <w:t xml:space="preserve">„Z bezprzedmiotowością postępowania administracyjnego w rozumieniu art. 105 § 1 mamy do czynienia wówczas, gdy odpadł jeden z konstytutywnych elementów sprawy administracyjnej, </w:t>
      </w:r>
      <w:r w:rsidRPr="00C15682">
        <w:rPr>
          <w:i/>
        </w:rPr>
        <w:br/>
      </w:r>
      <w:r w:rsidRPr="00701382">
        <w:rPr>
          <w:i/>
        </w:rPr>
        <w:t xml:space="preserve">o której mowa w art. 1 pkt 1. Przyczyny, dla których sprawa będąca przedmiotem </w:t>
      </w:r>
      <w:r w:rsidRPr="00701382">
        <w:rPr>
          <w:i/>
        </w:rPr>
        <w:lastRenderedPageBreak/>
        <w:t xml:space="preserve">postępowania administracyjnego utraciła charakter sprawy administracyjnej </w:t>
      </w:r>
      <w:r>
        <w:rPr>
          <w:i/>
        </w:rPr>
        <w:br/>
      </w:r>
      <w:r w:rsidRPr="00701382">
        <w:rPr>
          <w:i/>
        </w:rPr>
        <w:t>lub nie miała takiego charakteru jeszcze przed wszczęciem postępowania mogą być różnorodnej natury.”</w:t>
      </w:r>
      <w:r w:rsidRPr="00701382">
        <w:t xml:space="preserve"> (tak: A. Wróbel, Komentarz aktualizowany do art. 105 kpa, LEX). Jak wynika z powyższego, postacie umorzenia postępowania mogą mieć charakter pierwotny lub wtórny [w ten sposób również: Grzegorz Łaszczyca</w:t>
      </w:r>
      <w:r w:rsidRPr="00C15682">
        <w:br/>
      </w:r>
      <w:r w:rsidRPr="00701382">
        <w:rPr>
          <w:i/>
        </w:rPr>
        <w:t>[w:]</w:t>
      </w:r>
      <w:r w:rsidRPr="00701382">
        <w:t xml:space="preserve"> Komentarz do art. 105 Kodeksu postępowania administracyjnego, Martysz Czesław, Matan Andrzej, Łaszczyca Grzegorz, Komentarz, LEX 2010, </w:t>
      </w:r>
      <w:r w:rsidRPr="00701382">
        <w:rPr>
          <w:i/>
        </w:rPr>
        <w:t>„Bezprzedmiotowość postępowania administracyjnego może mieć różne postacie […] c)</w:t>
      </w:r>
      <w:r w:rsidRPr="00C15682">
        <w:rPr>
          <w:i/>
        </w:rPr>
        <w:t> </w:t>
      </w:r>
      <w:r w:rsidRPr="00701382">
        <w:rPr>
          <w:i/>
        </w:rPr>
        <w:t xml:space="preserve">uprzednią (pierwotną - wszczęto postępowanie administracyjne w sprawie, która nie jest sprawą indywidualną w rozumieniu art. 1 pkt 1 kodeksu, np. w sprawie ustanowienia drogi koniecznej) i wtórną (następczą - np. ustaje byt prawny osoby prawnej ubiegającej się o zezwolenie)”]. </w:t>
      </w:r>
    </w:p>
    <w:p w:rsidR="00203DFD" w:rsidRPr="00350B90" w:rsidRDefault="00203DFD" w:rsidP="00A915EC">
      <w:pPr>
        <w:pStyle w:val="NormalnyWeb"/>
        <w:spacing w:before="0" w:beforeAutospacing="0" w:after="120" w:afterAutospacing="0"/>
        <w:jc w:val="both"/>
      </w:pPr>
      <w:r w:rsidRPr="00701382">
        <w:t>Jak podkreśla się w orzecznictwie Naczelnego Sądu Administracyjnego (zwanego dalej „NSA”), wycofanie wniosku przez wnioskodawcę w toku postępowania administracyjnego skutkuje jego bezprzedmiotowością i podlega umorzeniu w trybie art. 105 § 1 kpa. Jak podkreślił NSA w wyroku z dnia 4 lutego 2011 r.: „</w:t>
      </w:r>
      <w:r w:rsidRPr="00701382">
        <w:rPr>
          <w:i/>
        </w:rPr>
        <w:t xml:space="preserve">Powyższe wynika z faktu, że zgodnie z art. 61 § 1 kpa postępowanie administracyjne wszczyna się na żądanie strony lub z urzędu. Jeżeli przepisy administracyjnego prawa materialnego stanowią, że w danej sprawie postępowanie administracyjne może zostać wszczęte wyłącznie na żądanie strony (zasada skargowości), to wówczas taki wniosek strony zakreśla ramy podmiotowe i przedmiotowe tego postępowania. Wnioskodawca domaga się bowiem od organu w określonej sytuacji faktycznej konkretyzacji w formie decyzji administracyjnej jego uprawnień lub obowiązków wynikających z przepisów prawa materialnego. W przypadku, gdy postępowanie administracyjne może być wszczęte tylko na wniosek strony, cofnięcie wniosku przez jedynego wnioskodawcę lub wszystkich wnioskodawców oznacza, że przestaje istnieć przedmiot postępowania administracyjnego, ponieważ brak jest żądania uprawnionego podmiotu konkretyzacji jego praw lub obowiązków w określonych okolicznościach faktycznych. W takiej sytuacji organ administracji publicznej traci kompetencje do dalszego prowadzenia postępowania i wydania decyzji rozstrzygającej sprawę co do istoty wbrew woli wnioskodawcy, powinien </w:t>
      </w:r>
      <w:r>
        <w:rPr>
          <w:i/>
        </w:rPr>
        <w:br/>
      </w:r>
      <w:r w:rsidRPr="00701382">
        <w:rPr>
          <w:i/>
        </w:rPr>
        <w:t>więc umorzyć postępowanie na podstawie art. 105 § 1 kpa</w:t>
      </w:r>
      <w:r w:rsidRPr="00701382">
        <w:t xml:space="preserve">” (wyrok NSA sygn. akt II OSK 246/10 z dnia 4 lutego 2011 r.). </w:t>
      </w:r>
    </w:p>
    <w:p w:rsidR="00203DFD" w:rsidRDefault="00203DFD" w:rsidP="00A915EC">
      <w:pPr>
        <w:pStyle w:val="Tekstpodstawowy3"/>
        <w:jc w:val="both"/>
        <w:rPr>
          <w:sz w:val="24"/>
          <w:szCs w:val="24"/>
        </w:rPr>
      </w:pPr>
      <w:r w:rsidRPr="00701382">
        <w:rPr>
          <w:sz w:val="24"/>
          <w:szCs w:val="24"/>
        </w:rPr>
        <w:t xml:space="preserve">Za powyższą interpretacją, NSA opowiedział się w wyroku z dnia 4 sierpnia </w:t>
      </w:r>
      <w:r w:rsidRPr="00C15682">
        <w:rPr>
          <w:sz w:val="24"/>
          <w:szCs w:val="24"/>
        </w:rPr>
        <w:br/>
      </w:r>
      <w:r w:rsidRPr="00701382">
        <w:rPr>
          <w:sz w:val="24"/>
          <w:szCs w:val="24"/>
        </w:rPr>
        <w:t>2011 r.: „</w:t>
      </w:r>
      <w:r w:rsidRPr="00701382">
        <w:rPr>
          <w:i/>
          <w:sz w:val="24"/>
          <w:szCs w:val="24"/>
        </w:rPr>
        <w:t>N</w:t>
      </w:r>
      <w:r>
        <w:rPr>
          <w:rStyle w:val="info-list-value-uzasadnienie"/>
          <w:i/>
          <w:sz w:val="24"/>
          <w:szCs w:val="24"/>
        </w:rPr>
        <w:t xml:space="preserve">ie mieści się natomiast w dyspozycji przepisu art. 105 § 2 k.p.a. sytuacja, w której wnioskodawca składa wyraźne oświadczenie o wycofaniu wniosku. </w:t>
      </w:r>
      <w:r>
        <w:rPr>
          <w:rStyle w:val="info-list-value-uzasadnienie"/>
          <w:i/>
          <w:sz w:val="24"/>
          <w:szCs w:val="24"/>
        </w:rPr>
        <w:br/>
        <w:t xml:space="preserve">Na skutek wycofania wniosku przestaje istnieć element warunkujący nawiązanie stosunku materialnego, a organ prowadzący postępowanie pozbawiony wniosku strony nie może orzekać w sposób merytoryczny o żądaniu nieistniejącym. </w:t>
      </w:r>
      <w:r>
        <w:rPr>
          <w:rStyle w:val="info-list-value-uzasadnienie"/>
          <w:i/>
          <w:sz w:val="24"/>
          <w:szCs w:val="24"/>
        </w:rPr>
        <w:br/>
        <w:t>W przeciwnym razie zaistniałby przypadek, gdzie dalsze prowadzenie postępowania byłoby działaniem z urzędu, które w postępowaniach określanych jako wnioskowe, jest wyraźnie zakazane w art. 61 § 2 k.p.a. Wycofanie pierwotnie złożonego wniosku można porównać więc do niewyrażenia zgody na kontynuowanie postępowania wszczętego z urzędu przez organ w sytuacji, gdy przepis wymaga złożenia wniosku przez uprawniony podmiot. Jeżeli strona nie wyraża zgody na kontynuowanie wszczętego postępowania, to ustawodawca w treści art. 61 § 2 k.p.a. nie zobowiązuje organu do pytania o opinię pozostałych stron wszczętego procesu, tylko nakazuje umorzyć postępowanie na podstawie art. 61 § 2 i art. 105 § 1 k.p.a. Zatem cofnięcie wniosku powoduje powstanie obiektywnej okoliczności bezprzedmiotowości postępowania.</w:t>
      </w:r>
      <w:r>
        <w:rPr>
          <w:rStyle w:val="info-list-value-uzasadnienie"/>
          <w:sz w:val="24"/>
          <w:szCs w:val="24"/>
        </w:rPr>
        <w:t xml:space="preserve">” </w:t>
      </w:r>
      <w:r>
        <w:rPr>
          <w:sz w:val="24"/>
          <w:szCs w:val="24"/>
        </w:rPr>
        <w:t xml:space="preserve"> (wyrok NSA z dnia 4 sierpnia 2011 r., sygn. akt. I OSK 1397/10). </w:t>
      </w:r>
      <w:r>
        <w:rPr>
          <w:sz w:val="24"/>
          <w:szCs w:val="24"/>
        </w:rPr>
        <w:lastRenderedPageBreak/>
        <w:t>Stanowisko to zostało następnie potwierdzone w wyroku NSA z dnia 14 września 2011 r.: „</w:t>
      </w:r>
      <w:r>
        <w:rPr>
          <w:i/>
          <w:sz w:val="24"/>
          <w:szCs w:val="24"/>
        </w:rPr>
        <w:t xml:space="preserve">Jeżeli bowiem jedyny wnioskodawca cofa wniosek i wnosi o umorzenie postępowania, które może być wszczęte i prowadzone tylko na wniosek, to wówczas ma zastosowanie art. 105 § 1 k.p.a., tj. zachodzi obiektywna przeszkoda - </w:t>
      </w:r>
      <w:r>
        <w:rPr>
          <w:i/>
          <w:sz w:val="24"/>
          <w:szCs w:val="24"/>
        </w:rPr>
        <w:br/>
        <w:t>brak wniosku - do dalszego prowadzenia postępowania administracyjnego i musi być ono umorzone (Mariusz Kotulski, Kilka uwag o sposobach zakończenia postępowania administracyjnego. Casus z 2008 r., nr 1, str. 38).</w:t>
      </w:r>
      <w:r>
        <w:rPr>
          <w:sz w:val="24"/>
          <w:szCs w:val="24"/>
        </w:rPr>
        <w:t>[…]</w:t>
      </w:r>
      <w:r>
        <w:rPr>
          <w:i/>
          <w:sz w:val="24"/>
          <w:szCs w:val="24"/>
        </w:rPr>
        <w:t xml:space="preserve"> Wycofanie </w:t>
      </w:r>
      <w:r>
        <w:rPr>
          <w:i/>
          <w:sz w:val="24"/>
          <w:szCs w:val="24"/>
        </w:rPr>
        <w:br/>
        <w:t xml:space="preserve">więc przez stronę wniosku o wydanie decyzji i wszczęcie postępowania, a tym samym cofnięcie zgody na jego prowadzenie skutkuje jego bezprzedmiotowością, </w:t>
      </w:r>
      <w:r>
        <w:rPr>
          <w:i/>
          <w:sz w:val="24"/>
          <w:szCs w:val="24"/>
        </w:rPr>
        <w:br/>
        <w:t>to zaś wymaga umorzenia postępowania na podstawie art. 105 § 1 k.p.a.</w:t>
      </w:r>
      <w:r>
        <w:rPr>
          <w:sz w:val="24"/>
          <w:szCs w:val="24"/>
        </w:rPr>
        <w:t xml:space="preserve">” (wyrok NSA z dnia 14 września 2011 r., sygn. akt II OSK 1339/10). Podobne stanowisko </w:t>
      </w:r>
      <w:r>
        <w:rPr>
          <w:sz w:val="24"/>
          <w:szCs w:val="24"/>
        </w:rPr>
        <w:br/>
        <w:t>w przedmiotowej kwestii zajmuje też Sąd Najwyższy: „</w:t>
      </w:r>
      <w:r>
        <w:rPr>
          <w:i/>
          <w:sz w:val="24"/>
          <w:szCs w:val="24"/>
        </w:rPr>
        <w:t xml:space="preserve">Cofnięcie zaś wniosku czyni bezprzedmiotowym postępowanie administracyjne, wobec czego stosownie </w:t>
      </w:r>
      <w:r>
        <w:rPr>
          <w:i/>
          <w:sz w:val="24"/>
          <w:szCs w:val="24"/>
        </w:rPr>
        <w:br/>
        <w:t>do art. 105 par. 1 KPA zachodzą podstawy do obligatoryjnego umorzenia postępowania”</w:t>
      </w:r>
      <w:r>
        <w:rPr>
          <w:sz w:val="24"/>
          <w:szCs w:val="24"/>
        </w:rPr>
        <w:t xml:space="preserve"> (wyrok z dnia 16 lutego 1994 r., sygn. III ARN 78/93).</w:t>
      </w:r>
    </w:p>
    <w:p w:rsidR="00203DFD" w:rsidRPr="00350B90" w:rsidRDefault="00203DFD" w:rsidP="008E18D9">
      <w:pPr>
        <w:spacing w:before="120" w:after="120"/>
        <w:jc w:val="both"/>
      </w:pPr>
      <w:r>
        <w:t>Odnosząc powyższe rozważania do niniejszej sprawy Prezes UKE zważył,</w:t>
      </w:r>
      <w:r>
        <w:br/>
        <w:t>co następuje.</w:t>
      </w:r>
    </w:p>
    <w:p w:rsidR="00203DFD" w:rsidRPr="00350B90" w:rsidRDefault="00203DFD" w:rsidP="008E18D9">
      <w:pPr>
        <w:spacing w:before="120" w:after="120"/>
        <w:jc w:val="both"/>
      </w:pPr>
      <w:r>
        <w:t xml:space="preserve">Jak już wskazano we wcześniejszej części uzasadnienia niniejszej decyzji dotyczącej ustalenia zakresu postępowania, OPL pismem z dnia 10 maja 2013 r., zmodyfikowała Wniosek ograniczając go jedynie do usług świadczonych przez Netię, które miałby być świadczone na warunkach symetrycznych do usług świadczonych przez OPL. OPL wskazała, iż wynika to z faktu zawarcia przez strony niniejszej decyzji Umowy SOR w zakresie dostępu telekomunikacyjnego w oparciu o Ofertę SOR zastępującą dotychczasowe umowy i porozumienia zawarte między stronami i wskazane we Wniosku, jedynie w zakresie usług świadczonych przez OPL. W odniesieniu do powyższej okoliczności Prezes UKE wskazuje, </w:t>
      </w:r>
      <w:r>
        <w:br/>
        <w:t xml:space="preserve">że ograniczenie Wniosku w zakresie określonym w piśmie OPL z dnia 29 kwietnia 2013 r. stanowiło faktycznie wycofanie Wniosku w zakresie, w jakim dotyczył </w:t>
      </w:r>
      <w:r w:rsidR="00ED57FE">
        <w:br/>
      </w:r>
      <w:r>
        <w:t>on usług świadczonych przez OPL. Należy zatem wskazać, że</w:t>
      </w:r>
      <w:r w:rsidRPr="00EA0D04">
        <w:t xml:space="preserve"> </w:t>
      </w:r>
      <w:r>
        <w:t xml:space="preserve">zawarcie przez strony niniejszej decyzji Umowy SOR w zakresie dostępu telekomunikacyjnego w oparciu o Ofertę SOR zastępującą dotychczasowe umowy i porozumienia zawarte między stronami i wskazane we Wniosku, jedynie w zakresie usług świadczonych przez OPL, czego konsekwencją było wycofanie przez OPL Wniosku w części spowodowało, że w zakresie usług świadczonych przez OPL na rzecz Netii brak jest kwestii spornych, które Prezes UKE byłby zobowiązany odpowiednio rozstrzygnąć oraz brak jest potrzeby ustalenia warunków współpracy, które Prezes UKE mógłby określić w niniejszym postępowaniu. </w:t>
      </w:r>
    </w:p>
    <w:p w:rsidR="00203DFD" w:rsidRPr="00350B90" w:rsidRDefault="00203DFD" w:rsidP="008E18D9">
      <w:pPr>
        <w:spacing w:before="120" w:after="120"/>
        <w:jc w:val="both"/>
      </w:pPr>
      <w:r>
        <w:t xml:space="preserve">W związku z powyższym, wobec cofnięcia Wniosku w zakresie usług świadczonych przez OPL na rzecz Netii brak jest podstawy faktycznej do rozstrzygnięcia merytorycznego w tej części w ramach niniejszego postępowania. Oznacza </w:t>
      </w:r>
      <w:r w:rsidR="00F83C4C">
        <w:br/>
      </w:r>
      <w:r>
        <w:t>to,</w:t>
      </w:r>
      <w:r w:rsidR="00BF47ED">
        <w:t xml:space="preserve"> </w:t>
      </w:r>
      <w:r>
        <w:t xml:space="preserve">że wraz z cofnięciem Wniosku przez OPL w ww. zakresie, mając na względzie przytoczone powyżej stanowisko orzecznictwa i nauki przedmiotu, stwierdzić należy, że co do części niniejszego postępowania odpadł jeden z koniecznych elementów sprawy administracyjnej, jakim jest </w:t>
      </w:r>
      <w:r w:rsidR="00F83C4C">
        <w:t>przedmiot stosunku</w:t>
      </w:r>
      <w:r>
        <w:t xml:space="preserve">. W części dotyczącej rozstrzygnięcia kwestii spornych lub ustalenia warunków świadczenia usług przez OPL na rzecz Netii przestał zatem istnieć przedmiot niniejszego postępowania, co zobligowało Prezesa UKE do umorzenia postępowania w tym zakresie. Bezprzedmiotowość postępowania, o której w tym przypadku mowa, została więc spowodowana wystąpieniem obiektywnych okoliczności, </w:t>
      </w:r>
      <w:r w:rsidR="00F83C4C">
        <w:br/>
      </w:r>
      <w:r>
        <w:lastRenderedPageBreak/>
        <w:t xml:space="preserve">tj. zaistnieniem braku przedmiotu postępowania wobec częściowego cofnięcia Wniosku przez OPL. Zatem zaistniała obligatoryjna przesłanka z art. 105 § 1 kpa, skutkująca koniecznością umorzenia niniejszego postępowania w części dotyczącej rozstrzygnięcia kwestii spornych lub ustalenia warunków świadczenia usług </w:t>
      </w:r>
      <w:r w:rsidR="00F97BF4">
        <w:br/>
      </w:r>
      <w:r>
        <w:t>przez OPL na rzecz Netii.</w:t>
      </w:r>
    </w:p>
    <w:p w:rsidR="00203DFD" w:rsidRPr="00350B90" w:rsidRDefault="00203DFD" w:rsidP="008E18D9">
      <w:pPr>
        <w:spacing w:before="120" w:after="120"/>
        <w:jc w:val="both"/>
      </w:pPr>
      <w:r>
        <w:t xml:space="preserve">Mając na uwadze powyższe należy również wskazać, że w niniejszej sprawie jeden </w:t>
      </w:r>
      <w:r>
        <w:br/>
        <w:t xml:space="preserve">z koniecznych elementów sprawy administracyjnej, jakim jest </w:t>
      </w:r>
      <w:r w:rsidR="00F97BF4">
        <w:t>przedmiot stosunku</w:t>
      </w:r>
      <w:r>
        <w:t xml:space="preserve">, przestał istnieć w toku postępowania tj. dopiero z chwilą częściowego cofnięcia Wniosku przez OPL. Stwierdzić zatem należy, że opisana wyżej częściowa bezprzedmiotowość niniejszego postępowania ma charakter wtórny. </w:t>
      </w:r>
    </w:p>
    <w:p w:rsidR="00203DFD" w:rsidRPr="00350B90" w:rsidRDefault="00203DFD" w:rsidP="008E18D9">
      <w:pPr>
        <w:spacing w:before="120" w:after="120"/>
        <w:jc w:val="both"/>
      </w:pPr>
      <w:r>
        <w:t xml:space="preserve">Biorąc zatem pod uwagę przytoczone orzecznictwo, stanowisko doktryny </w:t>
      </w:r>
      <w:r w:rsidR="00783E2D">
        <w:br/>
      </w:r>
      <w:r>
        <w:t xml:space="preserve">oraz opisany stan faktyczny, Prezes UKE postanowił w pkt III sentencji niniejszej decyzji, na podstawie art. 105 § 1 kpa, umorzyć w postępowanie administracyjne </w:t>
      </w:r>
      <w:r w:rsidR="00783E2D">
        <w:br/>
      </w:r>
      <w:r>
        <w:t xml:space="preserve">w niniejszej sprawie w części dotyczącej rozstrzygnięcia kwestii spornych </w:t>
      </w:r>
      <w:r w:rsidR="00783E2D">
        <w:br/>
      </w:r>
      <w:r>
        <w:t>lub ustalenia warunków świadczenia usług przez OPL na rzecz Netii.</w:t>
      </w:r>
    </w:p>
    <w:p w:rsidR="00203DFD" w:rsidRDefault="00203DFD" w:rsidP="0082201B">
      <w:pPr>
        <w:pStyle w:val="Tekstpodstawowy3"/>
        <w:spacing w:before="120"/>
        <w:jc w:val="both"/>
        <w:rPr>
          <w:sz w:val="24"/>
          <w:szCs w:val="24"/>
        </w:rPr>
      </w:pPr>
      <w:r>
        <w:rPr>
          <w:sz w:val="24"/>
          <w:szCs w:val="24"/>
        </w:rPr>
        <w:t xml:space="preserve">Odnosząc się do podnoszonych przez Netię w piśmie z dnia 18 stycznia </w:t>
      </w:r>
      <w:r>
        <w:rPr>
          <w:sz w:val="24"/>
          <w:szCs w:val="24"/>
        </w:rPr>
        <w:br/>
        <w:t xml:space="preserve">2013 r. argumentów zmierzających do umorzenia przedmiotowego postępowania </w:t>
      </w:r>
      <w:r>
        <w:rPr>
          <w:sz w:val="24"/>
          <w:szCs w:val="24"/>
        </w:rPr>
        <w:br/>
        <w:t xml:space="preserve">w zakresie w jakim dotyczy ono warunków świadczenia usług przez Netię na rzecz OPL należy zgodzić się z Netią, iż faktycznie Prezes UKE nie posiada kompetencji </w:t>
      </w:r>
      <w:r>
        <w:rPr>
          <w:sz w:val="24"/>
          <w:szCs w:val="24"/>
        </w:rPr>
        <w:br/>
        <w:t>do wydawania decyzji rozwiązujących lub wygaszających dotychczasowy stosunek prawny łączący strony. Jednak należy zdecydowanie podkreślić, że niniejsza decyzja w żadnym przypadku (w szczególności w przypadku uregulowania warunków świadczenia usług przez Netię na rze</w:t>
      </w:r>
      <w:r w:rsidR="00BF47ED">
        <w:rPr>
          <w:sz w:val="24"/>
          <w:szCs w:val="24"/>
        </w:rPr>
        <w:t>c</w:t>
      </w:r>
      <w:r>
        <w:rPr>
          <w:sz w:val="24"/>
          <w:szCs w:val="24"/>
        </w:rPr>
        <w:t xml:space="preserve">z OPL) nie spowodowałaby takich skutków, </w:t>
      </w:r>
      <w:r>
        <w:rPr>
          <w:sz w:val="24"/>
          <w:szCs w:val="24"/>
        </w:rPr>
        <w:br/>
        <w:t xml:space="preserve">o jakich wspomina Netia, a zatem ani nie skutkowałaby rozwiązaniem, </w:t>
      </w:r>
      <w:r w:rsidR="00783E2D">
        <w:rPr>
          <w:sz w:val="24"/>
          <w:szCs w:val="24"/>
        </w:rPr>
        <w:br/>
      </w:r>
      <w:r>
        <w:rPr>
          <w:sz w:val="24"/>
          <w:szCs w:val="24"/>
        </w:rPr>
        <w:t xml:space="preserve">ani wygaśnięciem dotychczasowych stosunków prawnych regulujących warunki współpracy stron, rozumianym jako zakończenie współpracy stron w określonym zakresie. Skutkiem niniejszej decyzji uwzględniającej Wniosek OPL w zakresie </w:t>
      </w:r>
      <w:r>
        <w:rPr>
          <w:sz w:val="24"/>
          <w:szCs w:val="24"/>
        </w:rPr>
        <w:br/>
        <w:t xml:space="preserve">w jakim podlegał on merytorycznemu rozpoznaniu (tzn. w zakresie warunków świadczenia usług przez Netię na rzecz OPL), jest zmiana dotychczasowych umów </w:t>
      </w:r>
      <w:r>
        <w:rPr>
          <w:sz w:val="24"/>
          <w:szCs w:val="24"/>
        </w:rPr>
        <w:br/>
        <w:t xml:space="preserve">i  porozumień regulujących współpracę Netii i OPL. Inaczej rzecz ujmując zakres współpracy stron jaki obowiązywał uprzednio (przed wydaniem niniejszej decyzji) pozostał niezmieniony, a zmianie uległy jedynie warunki tej współpracy (dostosowaniu do aktualnego brzmienia Oferty SOR). Faktem jest natomiast, </w:t>
      </w:r>
      <w:r>
        <w:rPr>
          <w:sz w:val="24"/>
          <w:szCs w:val="24"/>
        </w:rPr>
        <w:br/>
        <w:t xml:space="preserve">że dotychczasowe umowy i porozumienia regulujące współpracę między Netią </w:t>
      </w:r>
      <w:r>
        <w:rPr>
          <w:sz w:val="24"/>
          <w:szCs w:val="24"/>
        </w:rPr>
        <w:br/>
        <w:t xml:space="preserve">i OPL w omawianym przypadku zostały zastąpione jednym aktem prawnym </w:t>
      </w:r>
      <w:r>
        <w:rPr>
          <w:sz w:val="24"/>
          <w:szCs w:val="24"/>
        </w:rPr>
        <w:br/>
        <w:t xml:space="preserve">– decyzją Prezesa UKE. Niemniej podkreślić należy, że takie rozstrzygniecie również nie oznacza wygaśnięcia jakichkolwiek stosunków prawnych łączących Netię i OPL, a jedynie zmianę źródła tych stosunków - dotychczasowe umowy </w:t>
      </w:r>
      <w:r>
        <w:rPr>
          <w:sz w:val="24"/>
          <w:szCs w:val="24"/>
        </w:rPr>
        <w:br/>
        <w:t xml:space="preserve">i  porozumienia  regulujące współpracę stron zastąpione zostały decyzją administracyjną. Jest to jednak oczywista konsekwencja stosowania przepisów dotyczących rozstrzygania sporów międzyoperatorskich przez Prezesa UKE </w:t>
      </w:r>
      <w:r>
        <w:rPr>
          <w:sz w:val="24"/>
          <w:szCs w:val="24"/>
        </w:rPr>
        <w:br/>
        <w:t xml:space="preserve">(art. 27 – 30 Pt) a nie, jak wskazuje Netia, naruszenie przepisów kompetencyjnych przez Prezesa UKE.   </w:t>
      </w:r>
    </w:p>
    <w:p w:rsidR="00203DFD" w:rsidRDefault="00203DFD" w:rsidP="0082201B">
      <w:pPr>
        <w:pStyle w:val="Tekstpodstawowy3"/>
        <w:spacing w:before="120"/>
        <w:jc w:val="both"/>
        <w:rPr>
          <w:sz w:val="24"/>
          <w:szCs w:val="24"/>
        </w:rPr>
      </w:pPr>
      <w:r>
        <w:rPr>
          <w:sz w:val="24"/>
          <w:szCs w:val="24"/>
        </w:rPr>
        <w:t xml:space="preserve">Należy także podkreślić, że wbrew twierdzeniom Netii wyrażonym w stanowisku Netii z dnia 18 stycznia 2013 r., rozwiązanie dotychczasowych stosunków prawnych regulujących warunki współpracy stron nie było przedmiotem Wniosku złożonego przez OPL (i w rezultacie przedmiotem niniejszego postępowania). Zostało </w:t>
      </w:r>
      <w:r>
        <w:rPr>
          <w:sz w:val="24"/>
          <w:szCs w:val="24"/>
        </w:rPr>
        <w:br/>
        <w:t xml:space="preserve">to wyraźnie wskazane  w stanowiskach OPL z dnia 10 maja 2013 r. oraz z dnia </w:t>
      </w:r>
      <w:r>
        <w:rPr>
          <w:sz w:val="24"/>
          <w:szCs w:val="24"/>
        </w:rPr>
        <w:br/>
        <w:t xml:space="preserve">20 maja 2013 r., w których OPL wyjaśniła, </w:t>
      </w:r>
      <w:r w:rsidRPr="008710D1">
        <w:rPr>
          <w:sz w:val="24"/>
          <w:szCs w:val="24"/>
        </w:rPr>
        <w:t xml:space="preserve">że intencją Wniosku jest zastąpienie </w:t>
      </w:r>
      <w:r w:rsidRPr="008710D1">
        <w:rPr>
          <w:sz w:val="24"/>
          <w:szCs w:val="24"/>
        </w:rPr>
        <w:lastRenderedPageBreak/>
        <w:t>wszystkich dotychczasowych umów (porozumień</w:t>
      </w:r>
      <w:r>
        <w:rPr>
          <w:sz w:val="24"/>
          <w:szCs w:val="24"/>
        </w:rPr>
        <w:t xml:space="preserve"> i decyzji, z tym, że jak już wyżej ustalono merytoryczne rozstrzygnięcie na Wniosek nie obejmowało decyzji Prezesa UKE</w:t>
      </w:r>
      <w:r w:rsidRPr="008710D1">
        <w:rPr>
          <w:sz w:val="24"/>
          <w:szCs w:val="24"/>
        </w:rPr>
        <w:t>) jedną umową obejmują</w:t>
      </w:r>
      <w:r>
        <w:rPr>
          <w:sz w:val="24"/>
          <w:szCs w:val="24"/>
        </w:rPr>
        <w:t xml:space="preserve">cą swym zakresem umowy, porozumienia i decyzje wskazane </w:t>
      </w:r>
      <w:r w:rsidRPr="008710D1">
        <w:rPr>
          <w:sz w:val="24"/>
          <w:szCs w:val="24"/>
        </w:rPr>
        <w:t>we Wniosku</w:t>
      </w:r>
      <w:r>
        <w:rPr>
          <w:sz w:val="24"/>
          <w:szCs w:val="24"/>
        </w:rPr>
        <w:t>.</w:t>
      </w:r>
    </w:p>
    <w:p w:rsidR="00203DFD" w:rsidRDefault="00203DFD" w:rsidP="0034552B">
      <w:pPr>
        <w:pStyle w:val="Tekstpodstawowy3"/>
        <w:spacing w:before="120"/>
        <w:jc w:val="both"/>
        <w:rPr>
          <w:sz w:val="24"/>
          <w:szCs w:val="24"/>
        </w:rPr>
      </w:pPr>
      <w:r>
        <w:rPr>
          <w:sz w:val="24"/>
          <w:szCs w:val="24"/>
        </w:rPr>
        <w:t xml:space="preserve">Ponadto, poza zakresem merytorycznego rozstrzygnięcia w niniejszej sprawie pozostaje również kwestia usług nieregulowanych. Netia wskazała, że Wniosek obejmował swym zakresem usługi, które nie podlegają regulacji (np. usługę tranzytu połączeń, usługi zakańczania połączeń międzynarodowych). W odniesieniu </w:t>
      </w:r>
      <w:r>
        <w:rPr>
          <w:sz w:val="24"/>
          <w:szCs w:val="24"/>
        </w:rPr>
        <w:br/>
        <w:t xml:space="preserve">do powyższego należy wyjaśnić, że w związku z podpisaniem przez strony Umowy SOR oraz dokonaną przez OPL modyfikacją Wniosku, usługi świadczone przez OPL w tym zakresie, pozostają poza zakresem przedmiotowym merytorycznego rozstrzygnięcia przyjętego w niniejszej decyzji (postępowanie w tym zakresie podlegało bowiem umorzeniu, o czym mowa w pkt III sentencji niniejszej decyzji). W związku z powyższym zarzut przedstawiony przez Netię w zakresie usług nieregulowanych świadczonych przez OPL jest nieaktualny. </w:t>
      </w:r>
    </w:p>
    <w:p w:rsidR="00203DFD" w:rsidRDefault="00203DFD" w:rsidP="00146C5D">
      <w:pPr>
        <w:spacing w:after="120"/>
        <w:jc w:val="both"/>
      </w:pPr>
      <w:r>
        <w:t>Odnosząc się do licznych wniosków Netii o przeprowadzenie dowodu i o załączenie do akt postępowania dokumentów potwierdzających argumentację przedstawioną</w:t>
      </w:r>
      <w:r>
        <w:br/>
        <w:t>w stanowiskach Netii, Prezes UKE wyjaśnia, że wnioski dowodowe Netii</w:t>
      </w:r>
      <w:r>
        <w:br/>
        <w:t xml:space="preserve">zostały rozpatrzone i rozstrzygnięte postanowieniem z dnia 19 kwietnia </w:t>
      </w:r>
      <w:r>
        <w:br/>
        <w:t xml:space="preserve">2013 r. W pozostałym zakresie, jak słusznie zauważyła Netia wnioski zgłoszone przez Netię dotyczyły okoliczności faktycznych znanych Prezesowi UKE z urzędu </w:t>
      </w:r>
      <w:r>
        <w:br/>
        <w:t>i nie wymagały one przeprowadzenia dowodu (zgodnie bowiem z art. 77 § 4 kpa fakty powszechnie znane oraz fakty znane organowi z urzędu nie wymagają dowodu). Prezes UKE potraktował zatem wnioski Netii o załączenie do akt sprawy dokumentów znanych Prezesowi UKE z urzędu jako wskazanie przez stronę istotnych jej zdaniem okoliczności faktycznych i poddanie ich pod rozwagę organu.</w:t>
      </w:r>
    </w:p>
    <w:p w:rsidR="00203DFD" w:rsidRDefault="00203DFD" w:rsidP="00C436B1">
      <w:pPr>
        <w:autoSpaceDE w:val="0"/>
        <w:autoSpaceDN w:val="0"/>
        <w:adjustRightInd w:val="0"/>
        <w:spacing w:before="120" w:after="120"/>
        <w:jc w:val="both"/>
      </w:pPr>
      <w:r>
        <w:t>Biorąc powyższe pod uwagę, Prezes UKE uwzględniając cały materiał dowodowy przedstawiony w sprawie orzekł jak w sentencji.</w:t>
      </w:r>
    </w:p>
    <w:p w:rsidR="00203DFD" w:rsidRDefault="00BF39E9" w:rsidP="00C436B1">
      <w:pPr>
        <w:spacing w:before="120" w:after="120"/>
        <w:jc w:val="both"/>
        <w:rPr>
          <w:lang w:eastAsia="ar-SA"/>
        </w:rPr>
      </w:pPr>
      <w:r>
        <w:rPr>
          <w:lang w:eastAsia="ar-SA"/>
        </w:rPr>
        <w:t>Na podstawie art. 206 ust. 2</w:t>
      </w:r>
      <w:r w:rsidR="00203DFD">
        <w:rPr>
          <w:lang w:eastAsia="ar-SA"/>
        </w:rPr>
        <w:t>a w związku z art. 206 ust. 2 pkt 5 Pt niniejsza decyzja podlega natychmiastowemu wykonaniu.</w:t>
      </w:r>
    </w:p>
    <w:p w:rsidR="004662E5" w:rsidRDefault="004662E5" w:rsidP="00C436B1">
      <w:pPr>
        <w:spacing w:before="120" w:after="120"/>
        <w:jc w:val="center"/>
        <w:rPr>
          <w:b/>
        </w:rPr>
      </w:pPr>
    </w:p>
    <w:p w:rsidR="004662E5" w:rsidRDefault="004662E5" w:rsidP="00C436B1">
      <w:pPr>
        <w:spacing w:before="120" w:after="120"/>
        <w:jc w:val="center"/>
        <w:rPr>
          <w:b/>
        </w:rPr>
      </w:pPr>
    </w:p>
    <w:p w:rsidR="004662E5" w:rsidRDefault="004662E5" w:rsidP="00C436B1">
      <w:pPr>
        <w:spacing w:before="120" w:after="120"/>
        <w:jc w:val="center"/>
        <w:rPr>
          <w:b/>
        </w:rPr>
      </w:pPr>
    </w:p>
    <w:p w:rsidR="006110F5" w:rsidRDefault="006110F5" w:rsidP="002072D8">
      <w:pPr>
        <w:spacing w:before="120" w:after="120" w:line="120" w:lineRule="auto"/>
        <w:jc w:val="center"/>
        <w:rPr>
          <w:b/>
        </w:rPr>
      </w:pPr>
    </w:p>
    <w:p w:rsidR="00203DFD" w:rsidRPr="000940AB" w:rsidRDefault="00203DFD" w:rsidP="00C436B1">
      <w:pPr>
        <w:spacing w:before="120" w:after="120"/>
        <w:jc w:val="center"/>
        <w:rPr>
          <w:b/>
        </w:rPr>
      </w:pPr>
      <w:r>
        <w:rPr>
          <w:b/>
        </w:rPr>
        <w:t>POUCZENIE</w:t>
      </w:r>
    </w:p>
    <w:p w:rsidR="00203DFD" w:rsidRPr="00654642" w:rsidRDefault="00203DFD" w:rsidP="00654642">
      <w:pPr>
        <w:pStyle w:val="Nag3wek8"/>
        <w:tabs>
          <w:tab w:val="left" w:pos="720"/>
        </w:tabs>
        <w:spacing w:after="120" w:line="240" w:lineRule="auto"/>
        <w:jc w:val="both"/>
        <w:rPr>
          <w:rFonts w:ascii="Times New Roman" w:hAnsi="Times New Roman" w:cs="Times New Roman"/>
          <w:sz w:val="24"/>
        </w:rPr>
      </w:pPr>
      <w:r w:rsidRPr="00654642">
        <w:rPr>
          <w:rFonts w:ascii="Times New Roman" w:hAnsi="Times New Roman" w:cs="Times New Roman"/>
          <w:sz w:val="24"/>
        </w:rPr>
        <w:t>Na podstawie art. 206 ust. 2 pkt 5 Pt od niniejszej decyzji Prezesa UKE przysługuje stronom odwołanie do Sądu Okręgowego w Warszawie – Sądu Ochrony Konkurencji i Konsumentów. Zgodnie z art. 479</w:t>
      </w:r>
      <w:r w:rsidRPr="00654642">
        <w:rPr>
          <w:rFonts w:ascii="Times New Roman" w:hAnsi="Times New Roman" w:cs="Times New Roman"/>
          <w:sz w:val="24"/>
          <w:vertAlign w:val="superscript"/>
        </w:rPr>
        <w:t>58</w:t>
      </w:r>
      <w:r w:rsidRPr="00654642">
        <w:rPr>
          <w:rFonts w:ascii="Times New Roman" w:hAnsi="Times New Roman" w:cs="Times New Roman"/>
          <w:sz w:val="24"/>
        </w:rPr>
        <w:t xml:space="preserve"> § 1 ustawy z dnia 17 listopada 1964 r. – Kodeks postępowania cywilnego (</w:t>
      </w:r>
      <w:r w:rsidR="00864DFC" w:rsidRPr="00864DFC">
        <w:rPr>
          <w:rFonts w:ascii="Times New Roman" w:hAnsi="Times New Roman" w:cs="Times New Roman"/>
          <w:sz w:val="24"/>
        </w:rPr>
        <w:t xml:space="preserve">t.j. Dz. U. z 2014 r. poz. 101, </w:t>
      </w:r>
      <w:r w:rsidR="00864DFC">
        <w:rPr>
          <w:rFonts w:ascii="Times New Roman" w:hAnsi="Times New Roman" w:cs="Times New Roman"/>
          <w:sz w:val="24"/>
        </w:rPr>
        <w:br/>
      </w:r>
      <w:r w:rsidR="00864DFC" w:rsidRPr="00864DFC">
        <w:rPr>
          <w:rFonts w:ascii="Times New Roman" w:hAnsi="Times New Roman" w:cs="Times New Roman"/>
          <w:sz w:val="24"/>
        </w:rPr>
        <w:t>z późn. zm.)</w:t>
      </w:r>
      <w:r w:rsidRPr="00654642">
        <w:rPr>
          <w:rFonts w:ascii="Times New Roman" w:hAnsi="Times New Roman" w:cs="Times New Roman"/>
          <w:sz w:val="24"/>
        </w:rPr>
        <w:t xml:space="preserve"> odwołanie wnosi się za pośrednictwem Prezesa UKE w terminie dwutygodniowym od dnia doręczenia niniejszej decyzji.</w:t>
      </w:r>
    </w:p>
    <w:p w:rsidR="00203DFD" w:rsidRPr="006110F5" w:rsidRDefault="00203DFD" w:rsidP="00C436B1">
      <w:pPr>
        <w:pStyle w:val="Tekstpodstawowy"/>
        <w:spacing w:line="240" w:lineRule="auto"/>
        <w:rPr>
          <w:rFonts w:ascii="Times New Roman" w:hAnsi="Times New Roman" w:cs="Times New Roman"/>
          <w:sz w:val="14"/>
          <w:szCs w:val="14"/>
          <w:u w:val="single"/>
        </w:rPr>
      </w:pPr>
      <w:r w:rsidRPr="006110F5">
        <w:rPr>
          <w:rFonts w:ascii="Times New Roman" w:hAnsi="Times New Roman" w:cs="Times New Roman"/>
          <w:sz w:val="14"/>
          <w:szCs w:val="14"/>
          <w:u w:val="single"/>
        </w:rPr>
        <w:t xml:space="preserve">Otrzymują: </w:t>
      </w:r>
    </w:p>
    <w:p w:rsidR="00203DFD" w:rsidRPr="006110F5" w:rsidRDefault="00203DFD" w:rsidP="003565CD">
      <w:pPr>
        <w:pStyle w:val="Tekstpodstawowy"/>
        <w:numPr>
          <w:ilvl w:val="0"/>
          <w:numId w:val="8"/>
        </w:numPr>
        <w:spacing w:line="240" w:lineRule="auto"/>
        <w:rPr>
          <w:rFonts w:ascii="Times New Roman" w:hAnsi="Times New Roman" w:cs="Times New Roman"/>
          <w:bCs/>
          <w:sz w:val="14"/>
          <w:szCs w:val="14"/>
        </w:rPr>
      </w:pPr>
      <w:r w:rsidRPr="006110F5">
        <w:rPr>
          <w:rFonts w:ascii="Times New Roman" w:hAnsi="Times New Roman" w:cs="Times New Roman"/>
          <w:bCs/>
          <w:sz w:val="14"/>
          <w:szCs w:val="14"/>
        </w:rPr>
        <w:t>Wioletta Pacler</w:t>
      </w:r>
    </w:p>
    <w:p w:rsidR="00203DFD" w:rsidRPr="006110F5" w:rsidRDefault="00203DFD" w:rsidP="00146C5D">
      <w:pPr>
        <w:pStyle w:val="Tekstpodstawowy"/>
        <w:spacing w:line="240" w:lineRule="auto"/>
        <w:ind w:left="540"/>
        <w:rPr>
          <w:rFonts w:ascii="Times New Roman" w:hAnsi="Times New Roman" w:cs="Times New Roman"/>
          <w:bCs/>
          <w:sz w:val="14"/>
          <w:szCs w:val="14"/>
        </w:rPr>
      </w:pPr>
      <w:r w:rsidRPr="006110F5">
        <w:rPr>
          <w:rFonts w:ascii="Times New Roman" w:hAnsi="Times New Roman" w:cs="Times New Roman"/>
          <w:bCs/>
          <w:sz w:val="14"/>
          <w:szCs w:val="14"/>
        </w:rPr>
        <w:t>Pełnomocnik OPL</w:t>
      </w:r>
    </w:p>
    <w:p w:rsidR="00203DFD" w:rsidRPr="006110F5" w:rsidRDefault="007045B5" w:rsidP="00146C5D">
      <w:pPr>
        <w:pStyle w:val="Tekstpodstawowy"/>
        <w:spacing w:line="240" w:lineRule="auto"/>
        <w:ind w:left="540"/>
        <w:rPr>
          <w:rFonts w:ascii="Times New Roman" w:hAnsi="Times New Roman" w:cs="Times New Roman"/>
          <w:bCs/>
          <w:sz w:val="14"/>
          <w:szCs w:val="14"/>
        </w:rPr>
      </w:pPr>
      <w:r w:rsidRPr="006110F5">
        <w:rPr>
          <w:rFonts w:ascii="Times New Roman" w:hAnsi="Times New Roman" w:cs="Times New Roman"/>
          <w:bCs/>
          <w:sz w:val="14"/>
          <w:szCs w:val="14"/>
        </w:rPr>
        <w:t>A</w:t>
      </w:r>
      <w:r w:rsidR="00203DFD" w:rsidRPr="006110F5">
        <w:rPr>
          <w:rFonts w:ascii="Times New Roman" w:hAnsi="Times New Roman" w:cs="Times New Roman"/>
          <w:bCs/>
          <w:sz w:val="14"/>
          <w:szCs w:val="14"/>
        </w:rPr>
        <w:t>l. Jerozolimskie 160</w:t>
      </w:r>
    </w:p>
    <w:p w:rsidR="00203DFD" w:rsidRPr="006110F5" w:rsidRDefault="00203DFD" w:rsidP="00F175BA">
      <w:pPr>
        <w:pStyle w:val="Tekstpodstawowy"/>
        <w:spacing w:line="240" w:lineRule="auto"/>
        <w:ind w:firstLine="540"/>
        <w:rPr>
          <w:rFonts w:ascii="Times New Roman" w:hAnsi="Times New Roman" w:cs="Times New Roman"/>
          <w:bCs/>
          <w:sz w:val="14"/>
          <w:szCs w:val="14"/>
        </w:rPr>
      </w:pPr>
      <w:r w:rsidRPr="006110F5">
        <w:rPr>
          <w:rFonts w:ascii="Times New Roman" w:hAnsi="Times New Roman" w:cs="Times New Roman"/>
          <w:bCs/>
          <w:sz w:val="14"/>
          <w:szCs w:val="14"/>
        </w:rPr>
        <w:t>02-326 Warszawa</w:t>
      </w:r>
    </w:p>
    <w:p w:rsidR="00203DFD" w:rsidRPr="006110F5" w:rsidRDefault="00203DFD" w:rsidP="003565CD">
      <w:pPr>
        <w:pStyle w:val="Tekstpodstawowy"/>
        <w:numPr>
          <w:ilvl w:val="0"/>
          <w:numId w:val="8"/>
        </w:numPr>
        <w:spacing w:line="240" w:lineRule="auto"/>
        <w:rPr>
          <w:rFonts w:ascii="Times New Roman" w:hAnsi="Times New Roman" w:cs="Times New Roman"/>
          <w:bCs/>
          <w:sz w:val="14"/>
          <w:szCs w:val="14"/>
        </w:rPr>
      </w:pPr>
      <w:r w:rsidRPr="006110F5">
        <w:rPr>
          <w:rFonts w:ascii="Times New Roman" w:hAnsi="Times New Roman" w:cs="Times New Roman"/>
          <w:bCs/>
          <w:sz w:val="14"/>
          <w:szCs w:val="14"/>
        </w:rPr>
        <w:t>Maciej Doktór</w:t>
      </w:r>
    </w:p>
    <w:p w:rsidR="00203DFD" w:rsidRPr="006110F5" w:rsidRDefault="00203DFD" w:rsidP="00146C5D">
      <w:pPr>
        <w:tabs>
          <w:tab w:val="num" w:pos="360"/>
        </w:tabs>
        <w:ind w:left="540" w:hanging="360"/>
        <w:rPr>
          <w:bCs/>
          <w:sz w:val="14"/>
          <w:szCs w:val="14"/>
        </w:rPr>
      </w:pPr>
      <w:r w:rsidRPr="006110F5">
        <w:rPr>
          <w:bCs/>
          <w:sz w:val="14"/>
          <w:szCs w:val="14"/>
        </w:rPr>
        <w:tab/>
      </w:r>
      <w:r w:rsidRPr="006110F5">
        <w:rPr>
          <w:bCs/>
          <w:sz w:val="14"/>
          <w:szCs w:val="14"/>
        </w:rPr>
        <w:tab/>
        <w:t>Pełnomocnik Netii</w:t>
      </w:r>
    </w:p>
    <w:p w:rsidR="00203DFD" w:rsidRPr="006110F5" w:rsidRDefault="00203DFD" w:rsidP="00146C5D">
      <w:pPr>
        <w:tabs>
          <w:tab w:val="num" w:pos="360"/>
        </w:tabs>
        <w:ind w:left="540" w:hanging="360"/>
        <w:rPr>
          <w:bCs/>
          <w:sz w:val="14"/>
          <w:szCs w:val="14"/>
        </w:rPr>
      </w:pPr>
      <w:r w:rsidRPr="006110F5">
        <w:rPr>
          <w:bCs/>
          <w:sz w:val="14"/>
          <w:szCs w:val="14"/>
        </w:rPr>
        <w:tab/>
      </w:r>
      <w:r w:rsidRPr="006110F5">
        <w:rPr>
          <w:bCs/>
          <w:sz w:val="14"/>
          <w:szCs w:val="14"/>
        </w:rPr>
        <w:tab/>
        <w:t>Kancelaria Prawna GWW Woźny i Wspólnicy sp. k.</w:t>
      </w:r>
    </w:p>
    <w:p w:rsidR="00203DFD" w:rsidRPr="006110F5" w:rsidRDefault="00203DFD" w:rsidP="00146C5D">
      <w:pPr>
        <w:tabs>
          <w:tab w:val="num" w:pos="360"/>
        </w:tabs>
        <w:ind w:left="540" w:hanging="360"/>
        <w:rPr>
          <w:bCs/>
          <w:sz w:val="14"/>
          <w:szCs w:val="14"/>
        </w:rPr>
      </w:pPr>
      <w:r w:rsidRPr="006110F5">
        <w:rPr>
          <w:bCs/>
          <w:sz w:val="14"/>
          <w:szCs w:val="14"/>
        </w:rPr>
        <w:tab/>
      </w:r>
      <w:r w:rsidRPr="006110F5">
        <w:rPr>
          <w:bCs/>
          <w:sz w:val="14"/>
          <w:szCs w:val="14"/>
        </w:rPr>
        <w:tab/>
        <w:t>ul. Piękna 18</w:t>
      </w:r>
    </w:p>
    <w:p w:rsidR="00203DFD" w:rsidRPr="006110F5" w:rsidRDefault="00203DFD" w:rsidP="00F228CE">
      <w:pPr>
        <w:tabs>
          <w:tab w:val="num" w:pos="360"/>
        </w:tabs>
        <w:ind w:left="540" w:hanging="360"/>
        <w:rPr>
          <w:color w:val="000000"/>
          <w:sz w:val="14"/>
          <w:szCs w:val="14"/>
        </w:rPr>
      </w:pPr>
      <w:r w:rsidRPr="006110F5">
        <w:rPr>
          <w:bCs/>
          <w:sz w:val="14"/>
          <w:szCs w:val="14"/>
        </w:rPr>
        <w:tab/>
      </w:r>
      <w:r w:rsidRPr="006110F5">
        <w:rPr>
          <w:bCs/>
          <w:sz w:val="14"/>
          <w:szCs w:val="14"/>
        </w:rPr>
        <w:tab/>
        <w:t>00-549 Warszawa</w:t>
      </w:r>
    </w:p>
    <w:sectPr w:rsidR="00203DFD" w:rsidRPr="006110F5" w:rsidSect="00F47B3B">
      <w:footerReference w:type="even" r:id="rId9"/>
      <w:footerReference w:type="default" r:id="rId10"/>
      <w:footerReference w:type="first" r:id="rId11"/>
      <w:pgSz w:w="11906" w:h="16838"/>
      <w:pgMar w:top="1418" w:right="1418" w:bottom="1276" w:left="226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3645" w:rsidRDefault="00A33645">
      <w:r>
        <w:separator/>
      </w:r>
    </w:p>
  </w:endnote>
  <w:endnote w:type="continuationSeparator" w:id="0">
    <w:p w:rsidR="00A33645" w:rsidRDefault="00A3364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EE"/>
    <w:family w:val="roman"/>
    <w:pitch w:val="variable"/>
    <w:sig w:usb0="E0002AFF" w:usb1="C0007841" w:usb2="00000009" w:usb3="00000000" w:csb0="000001FF" w:csb1="00000000"/>
  </w:font>
  <w:font w:name="Arial">
    <w:altName w:val="Arial Narrow"/>
    <w:panose1 w:val="020B0604020202020204"/>
    <w:charset w:val="EE"/>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9999999">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Comic Sans MS">
    <w:panose1 w:val="030F0702030302020204"/>
    <w:charset w:val="EE"/>
    <w:family w:val="script"/>
    <w:pitch w:val="variable"/>
    <w:sig w:usb0="00000287" w:usb1="00000000" w:usb2="00000000" w:usb3="00000000" w:csb0="0000009F" w:csb1="00000000"/>
  </w:font>
  <w:font w:name="ComicSansMS-Bold">
    <w:altName w:val="Times New Roman"/>
    <w:panose1 w:val="00000000000000000000"/>
    <w:charset w:val="EE"/>
    <w:family w:val="auto"/>
    <w:notTrueType/>
    <w:pitch w:val="default"/>
    <w:sig w:usb0="00000005" w:usb1="00000000" w:usb2="00000000" w:usb3="00000000" w:csb0="00000002" w:csb1="00000000"/>
  </w:font>
  <w:font w:name="Book Antiqua">
    <w:panose1 w:val="02040602050305030304"/>
    <w:charset w:val="EE"/>
    <w:family w:val="roman"/>
    <w:pitch w:val="variable"/>
    <w:sig w:usb0="00000287" w:usb1="00000000" w:usb2="00000000" w:usb3="00000000" w:csb0="0000009F" w:csb1="00000000"/>
  </w:font>
  <w:font w:name="Bookman Old Style">
    <w:panose1 w:val="02050604050505020204"/>
    <w:charset w:val="EE"/>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Times">
    <w:panose1 w:val="02020603050405020304"/>
    <w:charset w:val="EE"/>
    <w:family w:val="roman"/>
    <w:pitch w:val="variable"/>
    <w:sig w:usb0="20002A87" w:usb1="80000000" w:usb2="00000008" w:usb3="00000000" w:csb0="000001FF" w:csb1="00000000"/>
  </w:font>
  <w:font w:name="EUAlbertina">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TimesNewRoman">
    <w:altName w:val="Arial Unicode MS"/>
    <w:panose1 w:val="00000000000000000000"/>
    <w:charset w:val="00"/>
    <w:family w:val="auto"/>
    <w:notTrueType/>
    <w:pitch w:val="default"/>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45B5" w:rsidRDefault="00EC50F5" w:rsidP="00196014">
    <w:pPr>
      <w:pStyle w:val="Stopka"/>
      <w:framePr w:wrap="around" w:vAnchor="text" w:hAnchor="margin" w:xAlign="right" w:y="1"/>
      <w:rPr>
        <w:rStyle w:val="Numerstrony"/>
      </w:rPr>
    </w:pPr>
    <w:r>
      <w:rPr>
        <w:rStyle w:val="Numerstrony"/>
      </w:rPr>
      <w:fldChar w:fldCharType="begin"/>
    </w:r>
    <w:r w:rsidR="007045B5">
      <w:rPr>
        <w:rStyle w:val="Numerstrony"/>
      </w:rPr>
      <w:instrText xml:space="preserve">PAGE  </w:instrText>
    </w:r>
    <w:r>
      <w:rPr>
        <w:rStyle w:val="Numerstrony"/>
      </w:rPr>
      <w:fldChar w:fldCharType="end"/>
    </w:r>
  </w:p>
  <w:p w:rsidR="007045B5" w:rsidRDefault="007045B5" w:rsidP="00AA41AC">
    <w:pPr>
      <w:pStyle w:val="Stopk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45B5" w:rsidRDefault="00EC50F5" w:rsidP="00196014">
    <w:pPr>
      <w:pStyle w:val="Stopka"/>
      <w:framePr w:wrap="around" w:vAnchor="text" w:hAnchor="margin" w:xAlign="right" w:y="1"/>
      <w:rPr>
        <w:rStyle w:val="Numerstrony"/>
      </w:rPr>
    </w:pPr>
    <w:r>
      <w:rPr>
        <w:rStyle w:val="Numerstrony"/>
      </w:rPr>
      <w:fldChar w:fldCharType="begin"/>
    </w:r>
    <w:r w:rsidR="007045B5">
      <w:rPr>
        <w:rStyle w:val="Numerstrony"/>
      </w:rPr>
      <w:instrText xml:space="preserve">PAGE  </w:instrText>
    </w:r>
    <w:r>
      <w:rPr>
        <w:rStyle w:val="Numerstrony"/>
      </w:rPr>
      <w:fldChar w:fldCharType="separate"/>
    </w:r>
    <w:r w:rsidR="00FD6583">
      <w:rPr>
        <w:rStyle w:val="Numerstrony"/>
        <w:noProof/>
      </w:rPr>
      <w:t>42</w:t>
    </w:r>
    <w:r>
      <w:rPr>
        <w:rStyle w:val="Numerstrony"/>
      </w:rPr>
      <w:fldChar w:fldCharType="end"/>
    </w:r>
  </w:p>
  <w:p w:rsidR="007045B5" w:rsidRDefault="007045B5" w:rsidP="001B5983">
    <w:pPr>
      <w:pStyle w:val="Stopka"/>
      <w:ind w:right="360"/>
      <w:jc w:val="center"/>
      <w:rPr>
        <w:sz w:val="16"/>
      </w:rPr>
    </w:pPr>
    <w:r>
      <w:rPr>
        <w:sz w:val="16"/>
      </w:rPr>
      <w:t>Urząd Komunikacji Elektronicznej</w:t>
    </w:r>
  </w:p>
  <w:p w:rsidR="007045B5" w:rsidRDefault="007045B5" w:rsidP="001B5983">
    <w:pPr>
      <w:pStyle w:val="Stopka"/>
      <w:ind w:right="360"/>
      <w:jc w:val="center"/>
      <w:rPr>
        <w:sz w:val="16"/>
      </w:rPr>
    </w:pPr>
    <w:r>
      <w:rPr>
        <w:sz w:val="16"/>
      </w:rPr>
      <w:t>Departament Hurtowego Rynku Telekomunikacyjnego</w:t>
    </w:r>
  </w:p>
  <w:p w:rsidR="007045B5" w:rsidRDefault="007045B5" w:rsidP="001B5983">
    <w:pPr>
      <w:pStyle w:val="Stopka"/>
      <w:jc w:val="center"/>
    </w:pPr>
    <w:r>
      <w:rPr>
        <w:sz w:val="16"/>
      </w:rPr>
      <w:t>Warszawa, ul. Kasprzaka 18/20, tel. 22 53 49 440, fax 22 53 49 306</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45B5" w:rsidRDefault="007045B5" w:rsidP="001B5983">
    <w:pPr>
      <w:pStyle w:val="Stopka"/>
      <w:ind w:right="360"/>
      <w:jc w:val="center"/>
      <w:rPr>
        <w:sz w:val="16"/>
      </w:rPr>
    </w:pPr>
    <w:r>
      <w:rPr>
        <w:sz w:val="16"/>
      </w:rPr>
      <w:t>Urząd Komunikacji Elektronicznej</w:t>
    </w:r>
  </w:p>
  <w:p w:rsidR="007045B5" w:rsidRDefault="007045B5" w:rsidP="001B5983">
    <w:pPr>
      <w:pStyle w:val="Stopka"/>
      <w:ind w:right="360"/>
      <w:jc w:val="center"/>
      <w:rPr>
        <w:sz w:val="16"/>
      </w:rPr>
    </w:pPr>
    <w:r>
      <w:rPr>
        <w:sz w:val="16"/>
      </w:rPr>
      <w:t>Departament Hurtowego Rynku Telekomunikacyjnego</w:t>
    </w:r>
  </w:p>
  <w:p w:rsidR="007045B5" w:rsidRDefault="007045B5" w:rsidP="001B5983">
    <w:pPr>
      <w:pStyle w:val="Stopka"/>
      <w:jc w:val="center"/>
    </w:pPr>
    <w:r>
      <w:rPr>
        <w:sz w:val="16"/>
      </w:rPr>
      <w:t>Warszawa, ul. Kasprzaka 18/20, tel</w:t>
    </w:r>
    <w:r w:rsidRPr="008A3D75">
      <w:rPr>
        <w:sz w:val="16"/>
      </w:rPr>
      <w:t>. 22 53 49 440, fax 22 53 49 306</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3645" w:rsidRDefault="00A33645">
      <w:r>
        <w:separator/>
      </w:r>
    </w:p>
  </w:footnote>
  <w:footnote w:type="continuationSeparator" w:id="0">
    <w:p w:rsidR="00A33645" w:rsidRDefault="00A33645">
      <w:r>
        <w:continuationSeparator/>
      </w:r>
    </w:p>
  </w:footnote>
  <w:footnote w:id="1">
    <w:p w:rsidR="007045B5" w:rsidRDefault="007045B5" w:rsidP="00DA7BC2">
      <w:pPr>
        <w:pStyle w:val="Zwykytekst"/>
        <w:spacing w:before="0" w:line="240" w:lineRule="auto"/>
        <w:jc w:val="both"/>
      </w:pPr>
      <w:r w:rsidRPr="002B5D47">
        <w:rPr>
          <w:rStyle w:val="Odwoanieprzypisudolnego"/>
          <w:rFonts w:ascii="Times New Roman" w:hAnsi="Times New Roman"/>
          <w:sz w:val="17"/>
          <w:szCs w:val="17"/>
        </w:rPr>
        <w:footnoteRef/>
      </w:r>
      <w:r w:rsidRPr="002B5D47">
        <w:rPr>
          <w:rFonts w:ascii="Times New Roman" w:hAnsi="Times New Roman" w:cs="Times New Roman"/>
          <w:sz w:val="17"/>
          <w:szCs w:val="17"/>
        </w:rPr>
        <w:t xml:space="preserve"> Rozporządzenie Ministra </w:t>
      </w:r>
      <w:r>
        <w:rPr>
          <w:rFonts w:ascii="Times New Roman" w:hAnsi="Times New Roman" w:cs="Times New Roman"/>
          <w:sz w:val="17"/>
          <w:szCs w:val="17"/>
        </w:rPr>
        <w:t>Administracji i Cyfryzacji</w:t>
      </w:r>
      <w:r w:rsidRPr="002B5D47">
        <w:rPr>
          <w:rFonts w:ascii="Times New Roman" w:hAnsi="Times New Roman" w:cs="Times New Roman"/>
          <w:sz w:val="17"/>
          <w:szCs w:val="17"/>
        </w:rPr>
        <w:t xml:space="preserve"> z dnia </w:t>
      </w:r>
      <w:r>
        <w:rPr>
          <w:rFonts w:ascii="Times New Roman" w:hAnsi="Times New Roman" w:cs="Times New Roman"/>
          <w:sz w:val="17"/>
          <w:szCs w:val="17"/>
        </w:rPr>
        <w:t>18</w:t>
      </w:r>
      <w:r w:rsidRPr="002B5D47">
        <w:rPr>
          <w:rFonts w:ascii="Times New Roman" w:hAnsi="Times New Roman" w:cs="Times New Roman"/>
          <w:sz w:val="17"/>
          <w:szCs w:val="17"/>
        </w:rPr>
        <w:t xml:space="preserve"> grudnia 20</w:t>
      </w:r>
      <w:r>
        <w:rPr>
          <w:rFonts w:ascii="Times New Roman" w:hAnsi="Times New Roman" w:cs="Times New Roman"/>
          <w:sz w:val="17"/>
          <w:szCs w:val="17"/>
        </w:rPr>
        <w:t>13</w:t>
      </w:r>
      <w:r w:rsidRPr="002B5D47">
        <w:rPr>
          <w:rFonts w:ascii="Times New Roman" w:hAnsi="Times New Roman" w:cs="Times New Roman"/>
          <w:sz w:val="17"/>
          <w:szCs w:val="17"/>
        </w:rPr>
        <w:t xml:space="preserve"> roku w sprawie wysokości, terminów </w:t>
      </w:r>
      <w:r>
        <w:rPr>
          <w:rFonts w:ascii="Times New Roman" w:hAnsi="Times New Roman" w:cs="Times New Roman"/>
          <w:sz w:val="17"/>
          <w:szCs w:val="17"/>
        </w:rPr>
        <w:br/>
      </w:r>
      <w:r w:rsidRPr="002B5D47">
        <w:rPr>
          <w:rFonts w:ascii="Times New Roman" w:hAnsi="Times New Roman" w:cs="Times New Roman"/>
          <w:sz w:val="17"/>
          <w:szCs w:val="17"/>
        </w:rPr>
        <w:t>i sposobu uiszczania opłat</w:t>
      </w:r>
      <w:r>
        <w:rPr>
          <w:rFonts w:ascii="Times New Roman" w:hAnsi="Times New Roman" w:cs="Times New Roman"/>
          <w:sz w:val="17"/>
          <w:szCs w:val="17"/>
        </w:rPr>
        <w:t xml:space="preserve"> za prawo</w:t>
      </w:r>
      <w:r w:rsidRPr="002B5D47">
        <w:rPr>
          <w:rFonts w:ascii="Times New Roman" w:hAnsi="Times New Roman" w:cs="Times New Roman"/>
          <w:sz w:val="17"/>
          <w:szCs w:val="17"/>
        </w:rPr>
        <w:t xml:space="preserve"> do wykorzystywania zasobów numeracji </w:t>
      </w:r>
    </w:p>
  </w:footnote>
  <w:footnote w:id="2">
    <w:p w:rsidR="007045B5" w:rsidRDefault="007045B5" w:rsidP="00DA7BC2">
      <w:pPr>
        <w:pStyle w:val="Zwykytekst"/>
        <w:spacing w:before="0" w:line="240" w:lineRule="auto"/>
        <w:jc w:val="both"/>
      </w:pPr>
      <w:r w:rsidRPr="002B5D47">
        <w:rPr>
          <w:rStyle w:val="Odwoanieprzypisudolnego"/>
          <w:rFonts w:ascii="Times New Roman" w:hAnsi="Times New Roman"/>
          <w:sz w:val="17"/>
          <w:szCs w:val="17"/>
        </w:rPr>
        <w:footnoteRef/>
      </w:r>
      <w:r w:rsidRPr="002B5D47">
        <w:rPr>
          <w:rFonts w:ascii="Times New Roman" w:hAnsi="Times New Roman" w:cs="Times New Roman"/>
          <w:sz w:val="17"/>
          <w:szCs w:val="17"/>
        </w:rPr>
        <w:t xml:space="preserve"> Rozporządzenie Ministra </w:t>
      </w:r>
      <w:r>
        <w:rPr>
          <w:rFonts w:ascii="Times New Roman" w:hAnsi="Times New Roman" w:cs="Times New Roman"/>
          <w:sz w:val="17"/>
          <w:szCs w:val="17"/>
        </w:rPr>
        <w:t>Administracji i Cyfryzacji</w:t>
      </w:r>
      <w:r w:rsidRPr="002B5D47">
        <w:rPr>
          <w:rFonts w:ascii="Times New Roman" w:hAnsi="Times New Roman" w:cs="Times New Roman"/>
          <w:sz w:val="17"/>
          <w:szCs w:val="17"/>
        </w:rPr>
        <w:t xml:space="preserve"> z dnia </w:t>
      </w:r>
      <w:r>
        <w:rPr>
          <w:rFonts w:ascii="Times New Roman" w:hAnsi="Times New Roman" w:cs="Times New Roman"/>
          <w:sz w:val="17"/>
          <w:szCs w:val="17"/>
        </w:rPr>
        <w:t>18</w:t>
      </w:r>
      <w:r w:rsidRPr="002B5D47">
        <w:rPr>
          <w:rFonts w:ascii="Times New Roman" w:hAnsi="Times New Roman" w:cs="Times New Roman"/>
          <w:sz w:val="17"/>
          <w:szCs w:val="17"/>
        </w:rPr>
        <w:t xml:space="preserve"> grudnia 20</w:t>
      </w:r>
      <w:r>
        <w:rPr>
          <w:rFonts w:ascii="Times New Roman" w:hAnsi="Times New Roman" w:cs="Times New Roman"/>
          <w:sz w:val="17"/>
          <w:szCs w:val="17"/>
        </w:rPr>
        <w:t>13</w:t>
      </w:r>
      <w:r w:rsidRPr="002B5D47">
        <w:rPr>
          <w:rFonts w:ascii="Times New Roman" w:hAnsi="Times New Roman" w:cs="Times New Roman"/>
          <w:sz w:val="17"/>
          <w:szCs w:val="17"/>
        </w:rPr>
        <w:t xml:space="preserve"> roku w sprawie wysokości, terminów </w:t>
      </w:r>
      <w:r>
        <w:rPr>
          <w:rFonts w:ascii="Times New Roman" w:hAnsi="Times New Roman" w:cs="Times New Roman"/>
          <w:sz w:val="17"/>
          <w:szCs w:val="17"/>
        </w:rPr>
        <w:br/>
      </w:r>
      <w:r w:rsidRPr="002B5D47">
        <w:rPr>
          <w:rFonts w:ascii="Times New Roman" w:hAnsi="Times New Roman" w:cs="Times New Roman"/>
          <w:sz w:val="17"/>
          <w:szCs w:val="17"/>
        </w:rPr>
        <w:t>i sposobu uiszczania opłat</w:t>
      </w:r>
      <w:r>
        <w:rPr>
          <w:rFonts w:ascii="Times New Roman" w:hAnsi="Times New Roman" w:cs="Times New Roman"/>
          <w:sz w:val="17"/>
          <w:szCs w:val="17"/>
        </w:rPr>
        <w:t xml:space="preserve"> za prawo</w:t>
      </w:r>
      <w:r w:rsidRPr="002B5D47">
        <w:rPr>
          <w:rFonts w:ascii="Times New Roman" w:hAnsi="Times New Roman" w:cs="Times New Roman"/>
          <w:sz w:val="17"/>
          <w:szCs w:val="17"/>
        </w:rPr>
        <w:t xml:space="preserve"> do wykorzystywania zasobów numeracji</w:t>
      </w:r>
      <w:r w:rsidRPr="009C69F5">
        <w:rPr>
          <w:rFonts w:ascii="Arial" w:hAnsi="Arial" w:cs="Arial"/>
          <w:sz w:val="15"/>
          <w:szCs w:val="15"/>
        </w:rPr>
        <w:t xml:space="preserve"> </w:t>
      </w:r>
    </w:p>
  </w:footnote>
  <w:footnote w:id="3">
    <w:p w:rsidR="007045B5" w:rsidRPr="003565CD" w:rsidRDefault="007045B5" w:rsidP="007F2AFA">
      <w:pPr>
        <w:pStyle w:val="Tekstprzypisudolnego"/>
        <w:spacing w:before="0" w:after="0" w:line="240" w:lineRule="auto"/>
        <w:rPr>
          <w:lang w:val="pl-PL"/>
        </w:rPr>
      </w:pPr>
      <w:r>
        <w:rPr>
          <w:rStyle w:val="Odwoanieprzypisudolnego"/>
          <w:rFonts w:ascii="Times New Roman" w:hAnsi="Times New Roman"/>
          <w:lang w:val="pl-PL" w:eastAsia="pl-PL"/>
        </w:rPr>
        <w:footnoteRef/>
      </w:r>
      <w:r>
        <w:rPr>
          <w:rFonts w:ascii="Times New Roman" w:hAnsi="Times New Roman" w:cs="Times New Roman"/>
          <w:lang w:val="pl-PL" w:eastAsia="pl-PL"/>
        </w:rPr>
        <w:t xml:space="preserve"> </w:t>
      </w:r>
      <w:r w:rsidRPr="00293334">
        <w:rPr>
          <w:rFonts w:ascii="Times New Roman" w:hAnsi="Times New Roman" w:cs="Times New Roman"/>
          <w:sz w:val="18"/>
          <w:szCs w:val="18"/>
          <w:lang w:val="pl-PL" w:eastAsia="pl-PL"/>
        </w:rPr>
        <w:t>http://www.uke.gov.pl/uke/index.jsp?place=Lead24&amp;news_cat_id=262&amp;news_id=6869&amp;layout=8&amp;page=text</w:t>
      </w:r>
    </w:p>
  </w:footnote>
  <w:footnote w:id="4">
    <w:p w:rsidR="007045B5" w:rsidRPr="003565CD" w:rsidRDefault="007045B5" w:rsidP="00C95129">
      <w:pPr>
        <w:pStyle w:val="Tekstprzypisudolnego"/>
        <w:spacing w:before="0" w:after="0" w:line="240" w:lineRule="auto"/>
        <w:ind w:left="180" w:hanging="180"/>
        <w:jc w:val="both"/>
        <w:rPr>
          <w:lang w:val="pl-PL"/>
        </w:rPr>
      </w:pPr>
      <w:r>
        <w:rPr>
          <w:rStyle w:val="Odwoanieprzypisudolnego"/>
          <w:rFonts w:ascii="Times New Roman" w:hAnsi="Times New Roman"/>
          <w:lang w:val="pl-PL" w:eastAsia="pl-PL"/>
        </w:rPr>
        <w:footnoteRef/>
      </w:r>
      <w:r>
        <w:rPr>
          <w:rFonts w:ascii="Times New Roman" w:hAnsi="Times New Roman" w:cs="Times New Roman"/>
          <w:lang w:val="pl-PL" w:eastAsia="pl-PL"/>
        </w:rPr>
        <w:tab/>
        <w:t xml:space="preserve">Piątek S., </w:t>
      </w:r>
      <w:r>
        <w:rPr>
          <w:rFonts w:ascii="Times New Roman" w:hAnsi="Times New Roman" w:cs="Times New Roman"/>
          <w:i/>
          <w:lang w:val="pl-PL" w:eastAsia="pl-PL"/>
        </w:rPr>
        <w:t>Prawo telekomunikacyjne. Komentarz</w:t>
      </w:r>
      <w:r>
        <w:rPr>
          <w:rFonts w:ascii="Times New Roman" w:hAnsi="Times New Roman" w:cs="Times New Roman"/>
          <w:lang w:val="pl-PL" w:eastAsia="pl-PL"/>
        </w:rPr>
        <w:t>, Wydanie 3., Wydawnictwo C.H. Beck, Warszawa 2013 r., komentarz do art. 27, s. 242).</w:t>
      </w:r>
    </w:p>
  </w:footnote>
  <w:footnote w:id="5">
    <w:p w:rsidR="007045B5" w:rsidRPr="003565CD" w:rsidRDefault="007045B5" w:rsidP="000D3148">
      <w:pPr>
        <w:pStyle w:val="Tekstprzypisudolnego"/>
        <w:spacing w:before="0" w:after="0" w:line="240" w:lineRule="auto"/>
        <w:rPr>
          <w:lang w:val="pl-PL"/>
        </w:rPr>
      </w:pPr>
      <w:r>
        <w:rPr>
          <w:rStyle w:val="Odwoanieprzypisudolnego"/>
          <w:rFonts w:ascii="Times New Roman" w:hAnsi="Times New Roman"/>
          <w:lang w:val="pl-PL" w:eastAsia="pl-PL"/>
        </w:rPr>
        <w:footnoteRef/>
      </w:r>
      <w:r>
        <w:rPr>
          <w:rFonts w:ascii="Times New Roman" w:hAnsi="Times New Roman" w:cs="Times New Roman"/>
          <w:lang w:val="pl-PL" w:eastAsia="pl-PL"/>
        </w:rPr>
        <w:t xml:space="preserve"> </w:t>
      </w:r>
      <w:r w:rsidRPr="00146C5D">
        <w:rPr>
          <w:rFonts w:ascii="Times New Roman" w:hAnsi="Times New Roman" w:cs="Times New Roman"/>
          <w:sz w:val="18"/>
          <w:szCs w:val="18"/>
          <w:lang w:val="pl-PL" w:eastAsia="pl-PL"/>
        </w:rPr>
        <w:t>http://www.netia.pl/files/netia_dla_korporacji/InterConnect/InterConnectoferta_ic_netii_28062013.pdf</w:t>
      </w:r>
    </w:p>
  </w:footnote>
  <w:footnote w:id="6">
    <w:p w:rsidR="007045B5" w:rsidRPr="00FA09FA" w:rsidRDefault="007045B5" w:rsidP="009D7235">
      <w:pPr>
        <w:jc w:val="both"/>
        <w:rPr>
          <w:color w:val="000000"/>
          <w:sz w:val="18"/>
          <w:szCs w:val="18"/>
        </w:rPr>
      </w:pPr>
      <w:r w:rsidRPr="00FA09FA">
        <w:rPr>
          <w:rStyle w:val="Odwoanieprzypisudolnego"/>
          <w:sz w:val="18"/>
          <w:szCs w:val="18"/>
        </w:rPr>
        <w:footnoteRef/>
      </w:r>
      <w:r w:rsidRPr="00FA09FA">
        <w:rPr>
          <w:sz w:val="18"/>
          <w:szCs w:val="18"/>
        </w:rPr>
        <w:t xml:space="preserve"> </w:t>
      </w:r>
      <w:r w:rsidRPr="00FA09FA">
        <w:rPr>
          <w:color w:val="000000"/>
          <w:sz w:val="18"/>
          <w:szCs w:val="18"/>
        </w:rPr>
        <w:t xml:space="preserve">Udział operatorów alternatywnych w rynku telekomunikacyjnym wzrósł z 17% w 2005 roku </w:t>
      </w:r>
      <w:r w:rsidRPr="00FA09FA">
        <w:rPr>
          <w:bCs/>
          <w:color w:val="000000"/>
          <w:sz w:val="18"/>
          <w:szCs w:val="18"/>
        </w:rPr>
        <w:t xml:space="preserve">do ponad </w:t>
      </w:r>
      <w:r>
        <w:rPr>
          <w:bCs/>
          <w:color w:val="000000"/>
          <w:sz w:val="18"/>
          <w:szCs w:val="18"/>
        </w:rPr>
        <w:t>42,6</w:t>
      </w:r>
      <w:r w:rsidRPr="00FA09FA">
        <w:rPr>
          <w:bCs/>
          <w:color w:val="000000"/>
          <w:sz w:val="18"/>
          <w:szCs w:val="18"/>
        </w:rPr>
        <w:t xml:space="preserve">% </w:t>
      </w:r>
      <w:r>
        <w:rPr>
          <w:bCs/>
          <w:color w:val="000000"/>
          <w:sz w:val="18"/>
          <w:szCs w:val="18"/>
        </w:rPr>
        <w:br/>
      </w:r>
      <w:r w:rsidRPr="00FA09FA">
        <w:rPr>
          <w:bCs/>
          <w:color w:val="000000"/>
          <w:sz w:val="18"/>
          <w:szCs w:val="18"/>
        </w:rPr>
        <w:t>w roku 20</w:t>
      </w:r>
      <w:r>
        <w:rPr>
          <w:bCs/>
          <w:color w:val="000000"/>
          <w:sz w:val="18"/>
          <w:szCs w:val="18"/>
        </w:rPr>
        <w:t>13</w:t>
      </w:r>
      <w:r w:rsidRPr="00FA09FA">
        <w:rPr>
          <w:color w:val="000000"/>
          <w:sz w:val="18"/>
          <w:szCs w:val="18"/>
        </w:rPr>
        <w:t xml:space="preserve"> pod względem przychodów oraz z 10% w 2005 do prawie </w:t>
      </w:r>
      <w:r>
        <w:rPr>
          <w:color w:val="000000"/>
          <w:sz w:val="18"/>
          <w:szCs w:val="18"/>
        </w:rPr>
        <w:t>44</w:t>
      </w:r>
      <w:r w:rsidRPr="00FA09FA">
        <w:rPr>
          <w:color w:val="000000"/>
          <w:sz w:val="18"/>
          <w:szCs w:val="18"/>
        </w:rPr>
        <w:t>,</w:t>
      </w:r>
      <w:r>
        <w:rPr>
          <w:color w:val="000000"/>
          <w:sz w:val="18"/>
          <w:szCs w:val="18"/>
        </w:rPr>
        <w:t>3</w:t>
      </w:r>
      <w:r w:rsidRPr="00FA09FA">
        <w:rPr>
          <w:color w:val="000000"/>
          <w:sz w:val="18"/>
          <w:szCs w:val="18"/>
        </w:rPr>
        <w:t>% w roku 20</w:t>
      </w:r>
      <w:r>
        <w:rPr>
          <w:color w:val="000000"/>
          <w:sz w:val="18"/>
          <w:szCs w:val="18"/>
        </w:rPr>
        <w:t>13</w:t>
      </w:r>
      <w:r w:rsidRPr="00FA09FA">
        <w:rPr>
          <w:color w:val="000000"/>
          <w:sz w:val="18"/>
          <w:szCs w:val="18"/>
        </w:rPr>
        <w:t xml:space="preserve"> pod względem ilości łączy abonenckich, za: </w:t>
      </w:r>
      <w:r w:rsidRPr="00FA09FA">
        <w:rPr>
          <w:sz w:val="18"/>
          <w:szCs w:val="18"/>
        </w:rPr>
        <w:t>Raport o stanie rynku telekomunikacyjnego w Polsce w 20</w:t>
      </w:r>
      <w:r>
        <w:rPr>
          <w:sz w:val="18"/>
          <w:szCs w:val="18"/>
        </w:rPr>
        <w:t>13</w:t>
      </w:r>
      <w:r w:rsidRPr="00FA09FA">
        <w:rPr>
          <w:sz w:val="18"/>
          <w:szCs w:val="18"/>
        </w:rPr>
        <w:t xml:space="preserve"> r.</w:t>
      </w:r>
      <w:r w:rsidRPr="00FA09FA">
        <w:rPr>
          <w:color w:val="000000"/>
          <w:sz w:val="18"/>
          <w:szCs w:val="18"/>
        </w:rPr>
        <w:t xml:space="preserve"> opublikowany na stronie internetowej Urzędu Komunikacji Elektronicznej: </w:t>
      </w:r>
    </w:p>
    <w:p w:rsidR="007045B5" w:rsidRDefault="007045B5" w:rsidP="009D7235">
      <w:pPr>
        <w:autoSpaceDE w:val="0"/>
        <w:autoSpaceDN w:val="0"/>
        <w:adjustRightInd w:val="0"/>
        <w:jc w:val="both"/>
      </w:pPr>
      <w:r w:rsidRPr="00FB03B8">
        <w:rPr>
          <w:sz w:val="18"/>
          <w:szCs w:val="18"/>
        </w:rPr>
        <w:t>http://www.uke.gov.pl/uke/index.jsp?news_cat_id=19&amp;news_id=6928&amp;layout=3&amp;page=text&amp;place=Lead01</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D"/>
    <w:multiLevelType w:val="singleLevel"/>
    <w:tmpl w:val="0000000D"/>
    <w:name w:val="WW8Num13"/>
    <w:lvl w:ilvl="0">
      <w:start w:val="1"/>
      <w:numFmt w:val="bullet"/>
      <w:lvlText w:val=""/>
      <w:lvlJc w:val="left"/>
      <w:pPr>
        <w:tabs>
          <w:tab w:val="num" w:pos="720"/>
        </w:tabs>
      </w:pPr>
      <w:rPr>
        <w:rFonts w:ascii="Symbol" w:hAnsi="Symbol"/>
      </w:rPr>
    </w:lvl>
  </w:abstractNum>
  <w:abstractNum w:abstractNumId="1">
    <w:nsid w:val="00000026"/>
    <w:multiLevelType w:val="singleLevel"/>
    <w:tmpl w:val="00000026"/>
    <w:name w:val="WW8Num38"/>
    <w:lvl w:ilvl="0">
      <w:start w:val="1"/>
      <w:numFmt w:val="bullet"/>
      <w:lvlText w:val=""/>
      <w:lvlJc w:val="left"/>
      <w:pPr>
        <w:tabs>
          <w:tab w:val="num" w:pos="720"/>
        </w:tabs>
      </w:pPr>
      <w:rPr>
        <w:rFonts w:ascii="Symbol" w:hAnsi="Symbol"/>
      </w:rPr>
    </w:lvl>
  </w:abstractNum>
  <w:abstractNum w:abstractNumId="2">
    <w:nsid w:val="00D10D30"/>
    <w:multiLevelType w:val="hybridMultilevel"/>
    <w:tmpl w:val="2F0A1502"/>
    <w:name w:val="WW8Num87222322"/>
    <w:lvl w:ilvl="0" w:tplc="04150011">
      <w:start w:val="1"/>
      <w:numFmt w:val="decimal"/>
      <w:lvlText w:val="%1)"/>
      <w:lvlJc w:val="left"/>
      <w:pPr>
        <w:tabs>
          <w:tab w:val="num" w:pos="720"/>
        </w:tabs>
        <w:ind w:left="720" w:hanging="360"/>
      </w:pPr>
      <w:rPr>
        <w:rFonts w:cs="Times New Roman"/>
      </w:rPr>
    </w:lvl>
    <w:lvl w:ilvl="1" w:tplc="04150019">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3">
    <w:nsid w:val="0AF75244"/>
    <w:multiLevelType w:val="multilevel"/>
    <w:tmpl w:val="97646B80"/>
    <w:lvl w:ilvl="0">
      <w:start w:val="1"/>
      <w:numFmt w:val="upperRoman"/>
      <w:lvlText w:val="Część %1."/>
      <w:lvlJc w:val="left"/>
      <w:pPr>
        <w:tabs>
          <w:tab w:val="num" w:pos="1440"/>
        </w:tabs>
      </w:pPr>
      <w:rPr>
        <w:rFonts w:ascii="Arial" w:hAnsi="Arial" w:cs="Arial" w:hint="default"/>
        <w:b/>
        <w:bCs/>
        <w:i w:val="0"/>
        <w:iCs w:val="0"/>
        <w:caps w:val="0"/>
        <w:smallCaps w:val="0"/>
        <w:strike w:val="0"/>
        <w:dstrike w:val="0"/>
        <w:outline w:val="0"/>
        <w:shadow w:val="0"/>
        <w:emboss w:val="0"/>
        <w:imprint w:val="0"/>
        <w:vanish w:val="0"/>
        <w:spacing w:val="0"/>
        <w:kern w:val="0"/>
        <w:position w:val="0"/>
        <w:u w:val="none"/>
        <w:vertAlign w:val="baseline"/>
      </w:rPr>
    </w:lvl>
    <w:lvl w:ilvl="1">
      <w:start w:val="1"/>
      <w:numFmt w:val="decimal"/>
      <w:lvlText w:val="Rozdział %2."/>
      <w:lvlJc w:val="left"/>
      <w:pPr>
        <w:tabs>
          <w:tab w:val="num" w:pos="1800"/>
        </w:tabs>
        <w:ind w:left="720"/>
      </w:pPr>
      <w:rPr>
        <w:rFonts w:cs="Times New Roman" w:hint="default"/>
        <w:b/>
        <w:bCs/>
        <w:i w:val="0"/>
        <w:iCs w:val="0"/>
      </w:rPr>
    </w:lvl>
    <w:lvl w:ilvl="2">
      <w:start w:val="1"/>
      <w:numFmt w:val="ordinal"/>
      <w:lvlText w:val="%2.%3"/>
      <w:lvlJc w:val="left"/>
      <w:pPr>
        <w:tabs>
          <w:tab w:val="num" w:pos="900"/>
        </w:tabs>
        <w:ind w:left="900" w:hanging="720"/>
      </w:pPr>
      <w:rPr>
        <w:rFonts w:ascii="Times New Roman" w:hAnsi="Times New Roman" w:cs="Times New Roman" w:hint="default"/>
        <w:b/>
        <w:bCs w:val="0"/>
        <w:i w:val="0"/>
        <w:iCs w:val="0"/>
        <w:caps w:val="0"/>
        <w:smallCaps w:val="0"/>
        <w:strike w:val="0"/>
        <w:dstrike w:val="0"/>
        <w:outline w:val="0"/>
        <w:shadow w:val="0"/>
        <w:emboss w:val="0"/>
        <w:imprint w:val="0"/>
        <w:vanish w:val="0"/>
        <w:spacing w:val="0"/>
        <w:kern w:val="0"/>
        <w:position w:val="0"/>
        <w:u w:val="none"/>
        <w:vertAlign w:val="baseline"/>
      </w:rPr>
    </w:lvl>
    <w:lvl w:ilvl="3">
      <w:start w:val="1"/>
      <w:numFmt w:val="decimal"/>
      <w:lvlText w:val="%2.%3%4"/>
      <w:lvlJc w:val="left"/>
      <w:pPr>
        <w:tabs>
          <w:tab w:val="num" w:pos="864"/>
        </w:tabs>
        <w:ind w:left="864" w:hanging="864"/>
      </w:pPr>
      <w:rPr>
        <w:rFonts w:ascii="Times New Roman" w:hAnsi="Times New Roman" w:cs="Times New Roman" w:hint="default"/>
        <w:b/>
        <w:bCs/>
        <w:i w:val="0"/>
        <w:iCs w:val="0"/>
        <w:caps w:val="0"/>
        <w:smallCaps w:val="0"/>
        <w:strike w:val="0"/>
        <w:dstrike w:val="0"/>
        <w:outline w:val="0"/>
        <w:shadow w:val="0"/>
        <w:emboss w:val="0"/>
        <w:imprint w:val="0"/>
        <w:vanish w:val="0"/>
        <w:spacing w:val="0"/>
        <w:kern w:val="0"/>
        <w:position w:val="0"/>
        <w:sz w:val="20"/>
        <w:szCs w:val="20"/>
        <w:u w:val="none"/>
        <w:vertAlign w:val="baseline"/>
      </w:rPr>
    </w:lvl>
    <w:lvl w:ilvl="4">
      <w:start w:val="1"/>
      <w:numFmt w:val="decimal"/>
      <w:lvlText w:val="%5)"/>
      <w:lvlJc w:val="left"/>
      <w:pPr>
        <w:tabs>
          <w:tab w:val="num" w:pos="1008"/>
        </w:tabs>
        <w:ind w:left="1008" w:hanging="432"/>
      </w:pPr>
      <w:rPr>
        <w:rFonts w:cs="Times New Roman" w:hint="default"/>
      </w:rPr>
    </w:lvl>
    <w:lvl w:ilvl="5">
      <w:start w:val="1"/>
      <w:numFmt w:val="lowerLetter"/>
      <w:lvlText w:val="%6)"/>
      <w:lvlJc w:val="left"/>
      <w:pPr>
        <w:tabs>
          <w:tab w:val="num" w:pos="858"/>
        </w:tabs>
        <w:ind w:left="858" w:hanging="432"/>
      </w:pPr>
      <w:rPr>
        <w:rFonts w:cs="Times New Roman" w:hint="default"/>
        <w:i w:val="0"/>
      </w:rPr>
    </w:lvl>
    <w:lvl w:ilvl="6">
      <w:start w:val="1"/>
      <w:numFmt w:val="lowerRoman"/>
      <w:lvlText w:val="%7)"/>
      <w:lvlJc w:val="right"/>
      <w:pPr>
        <w:tabs>
          <w:tab w:val="num" w:pos="1296"/>
        </w:tabs>
        <w:ind w:left="1296" w:hanging="288"/>
      </w:pPr>
      <w:rPr>
        <w:rFonts w:cs="Times New Roman" w:hint="default"/>
      </w:rPr>
    </w:lvl>
    <w:lvl w:ilvl="7">
      <w:start w:val="1"/>
      <w:numFmt w:val="lowerLetter"/>
      <w:lvlText w:val="%8."/>
      <w:lvlJc w:val="left"/>
      <w:pPr>
        <w:tabs>
          <w:tab w:val="num" w:pos="1440"/>
        </w:tabs>
        <w:ind w:left="1440" w:hanging="432"/>
      </w:pPr>
      <w:rPr>
        <w:rFonts w:cs="Times New Roman" w:hint="default"/>
      </w:rPr>
    </w:lvl>
    <w:lvl w:ilvl="8">
      <w:start w:val="1"/>
      <w:numFmt w:val="lowerRoman"/>
      <w:lvlText w:val="%9."/>
      <w:lvlJc w:val="right"/>
      <w:pPr>
        <w:tabs>
          <w:tab w:val="num" w:pos="1584"/>
        </w:tabs>
        <w:ind w:left="1584" w:hanging="144"/>
      </w:pPr>
      <w:rPr>
        <w:rFonts w:cs="Times New Roman" w:hint="default"/>
      </w:rPr>
    </w:lvl>
  </w:abstractNum>
  <w:abstractNum w:abstractNumId="4">
    <w:nsid w:val="0E1039D9"/>
    <w:multiLevelType w:val="hybridMultilevel"/>
    <w:tmpl w:val="59B4AA58"/>
    <w:lvl w:ilvl="0" w:tplc="EFAA0678">
      <w:start w:val="1"/>
      <w:numFmt w:val="bullet"/>
      <w:lvlText w:val=""/>
      <w:lvlJc w:val="left"/>
      <w:pPr>
        <w:tabs>
          <w:tab w:val="num" w:pos="660"/>
        </w:tabs>
        <w:ind w:left="660" w:hanging="360"/>
      </w:pPr>
      <w:rPr>
        <w:rFonts w:ascii="Symbol" w:hAnsi="Symbol" w:hint="default"/>
      </w:rPr>
    </w:lvl>
    <w:lvl w:ilvl="1" w:tplc="0415000F">
      <w:start w:val="1"/>
      <w:numFmt w:val="decimal"/>
      <w:lvlText w:val="%2."/>
      <w:lvlJc w:val="left"/>
      <w:pPr>
        <w:tabs>
          <w:tab w:val="num" w:pos="1380"/>
        </w:tabs>
        <w:ind w:left="1380" w:hanging="360"/>
      </w:pPr>
      <w:rPr>
        <w:rFonts w:cs="Times New Roman" w:hint="default"/>
      </w:rPr>
    </w:lvl>
    <w:lvl w:ilvl="2" w:tplc="04150005" w:tentative="1">
      <w:start w:val="1"/>
      <w:numFmt w:val="bullet"/>
      <w:lvlText w:val=""/>
      <w:lvlJc w:val="left"/>
      <w:pPr>
        <w:tabs>
          <w:tab w:val="num" w:pos="2100"/>
        </w:tabs>
        <w:ind w:left="2100" w:hanging="360"/>
      </w:pPr>
      <w:rPr>
        <w:rFonts w:ascii="Wingdings" w:hAnsi="Wingdings" w:hint="default"/>
      </w:rPr>
    </w:lvl>
    <w:lvl w:ilvl="3" w:tplc="04150001" w:tentative="1">
      <w:start w:val="1"/>
      <w:numFmt w:val="bullet"/>
      <w:lvlText w:val=""/>
      <w:lvlJc w:val="left"/>
      <w:pPr>
        <w:tabs>
          <w:tab w:val="num" w:pos="2820"/>
        </w:tabs>
        <w:ind w:left="2820" w:hanging="360"/>
      </w:pPr>
      <w:rPr>
        <w:rFonts w:ascii="Symbol" w:hAnsi="Symbol" w:hint="default"/>
      </w:rPr>
    </w:lvl>
    <w:lvl w:ilvl="4" w:tplc="04150003" w:tentative="1">
      <w:start w:val="1"/>
      <w:numFmt w:val="bullet"/>
      <w:lvlText w:val="o"/>
      <w:lvlJc w:val="left"/>
      <w:pPr>
        <w:tabs>
          <w:tab w:val="num" w:pos="3540"/>
        </w:tabs>
        <w:ind w:left="3540" w:hanging="360"/>
      </w:pPr>
      <w:rPr>
        <w:rFonts w:ascii="Courier New" w:hAnsi="Courier New" w:hint="default"/>
      </w:rPr>
    </w:lvl>
    <w:lvl w:ilvl="5" w:tplc="04150005" w:tentative="1">
      <w:start w:val="1"/>
      <w:numFmt w:val="bullet"/>
      <w:lvlText w:val=""/>
      <w:lvlJc w:val="left"/>
      <w:pPr>
        <w:tabs>
          <w:tab w:val="num" w:pos="4260"/>
        </w:tabs>
        <w:ind w:left="4260" w:hanging="360"/>
      </w:pPr>
      <w:rPr>
        <w:rFonts w:ascii="Wingdings" w:hAnsi="Wingdings" w:hint="default"/>
      </w:rPr>
    </w:lvl>
    <w:lvl w:ilvl="6" w:tplc="04150001" w:tentative="1">
      <w:start w:val="1"/>
      <w:numFmt w:val="bullet"/>
      <w:lvlText w:val=""/>
      <w:lvlJc w:val="left"/>
      <w:pPr>
        <w:tabs>
          <w:tab w:val="num" w:pos="4980"/>
        </w:tabs>
        <w:ind w:left="4980" w:hanging="360"/>
      </w:pPr>
      <w:rPr>
        <w:rFonts w:ascii="Symbol" w:hAnsi="Symbol" w:hint="default"/>
      </w:rPr>
    </w:lvl>
    <w:lvl w:ilvl="7" w:tplc="04150003" w:tentative="1">
      <w:start w:val="1"/>
      <w:numFmt w:val="bullet"/>
      <w:lvlText w:val="o"/>
      <w:lvlJc w:val="left"/>
      <w:pPr>
        <w:tabs>
          <w:tab w:val="num" w:pos="5700"/>
        </w:tabs>
        <w:ind w:left="5700" w:hanging="360"/>
      </w:pPr>
      <w:rPr>
        <w:rFonts w:ascii="Courier New" w:hAnsi="Courier New" w:hint="default"/>
      </w:rPr>
    </w:lvl>
    <w:lvl w:ilvl="8" w:tplc="04150005" w:tentative="1">
      <w:start w:val="1"/>
      <w:numFmt w:val="bullet"/>
      <w:lvlText w:val=""/>
      <w:lvlJc w:val="left"/>
      <w:pPr>
        <w:tabs>
          <w:tab w:val="num" w:pos="6420"/>
        </w:tabs>
        <w:ind w:left="6420" w:hanging="360"/>
      </w:pPr>
      <w:rPr>
        <w:rFonts w:ascii="Wingdings" w:hAnsi="Wingdings" w:hint="default"/>
      </w:rPr>
    </w:lvl>
  </w:abstractNum>
  <w:abstractNum w:abstractNumId="5">
    <w:nsid w:val="12D47562"/>
    <w:multiLevelType w:val="hybridMultilevel"/>
    <w:tmpl w:val="2828F7C4"/>
    <w:lvl w:ilvl="0" w:tplc="1A28D892">
      <w:start w:val="1"/>
      <w:numFmt w:val="bullet"/>
      <w:lvlText w:val="−"/>
      <w:lvlJc w:val="left"/>
      <w:pPr>
        <w:tabs>
          <w:tab w:val="num" w:pos="1724"/>
        </w:tabs>
        <w:ind w:left="1724" w:hanging="360"/>
      </w:pPr>
      <w:rPr>
        <w:rFonts w:ascii="Times New Roman" w:hAnsi="Times New Roman" w:hint="default"/>
        <w:color w:val="auto"/>
      </w:rPr>
    </w:lvl>
    <w:lvl w:ilvl="1" w:tplc="04150003" w:tentative="1">
      <w:start w:val="1"/>
      <w:numFmt w:val="bullet"/>
      <w:lvlText w:val="o"/>
      <w:lvlJc w:val="left"/>
      <w:pPr>
        <w:tabs>
          <w:tab w:val="num" w:pos="1724"/>
        </w:tabs>
        <w:ind w:left="1724" w:hanging="360"/>
      </w:pPr>
      <w:rPr>
        <w:rFonts w:ascii="Courier New" w:hAnsi="Courier New" w:hint="default"/>
      </w:rPr>
    </w:lvl>
    <w:lvl w:ilvl="2" w:tplc="04150005" w:tentative="1">
      <w:start w:val="1"/>
      <w:numFmt w:val="bullet"/>
      <w:lvlText w:val=""/>
      <w:lvlJc w:val="left"/>
      <w:pPr>
        <w:tabs>
          <w:tab w:val="num" w:pos="2444"/>
        </w:tabs>
        <w:ind w:left="2444" w:hanging="360"/>
      </w:pPr>
      <w:rPr>
        <w:rFonts w:ascii="Wingdings" w:hAnsi="Wingdings" w:hint="default"/>
      </w:rPr>
    </w:lvl>
    <w:lvl w:ilvl="3" w:tplc="04150001" w:tentative="1">
      <w:start w:val="1"/>
      <w:numFmt w:val="bullet"/>
      <w:lvlText w:val=""/>
      <w:lvlJc w:val="left"/>
      <w:pPr>
        <w:tabs>
          <w:tab w:val="num" w:pos="3164"/>
        </w:tabs>
        <w:ind w:left="3164" w:hanging="360"/>
      </w:pPr>
      <w:rPr>
        <w:rFonts w:ascii="Symbol" w:hAnsi="Symbol" w:hint="default"/>
      </w:rPr>
    </w:lvl>
    <w:lvl w:ilvl="4" w:tplc="04150003" w:tentative="1">
      <w:start w:val="1"/>
      <w:numFmt w:val="bullet"/>
      <w:lvlText w:val="o"/>
      <w:lvlJc w:val="left"/>
      <w:pPr>
        <w:tabs>
          <w:tab w:val="num" w:pos="3884"/>
        </w:tabs>
        <w:ind w:left="3884" w:hanging="360"/>
      </w:pPr>
      <w:rPr>
        <w:rFonts w:ascii="Courier New" w:hAnsi="Courier New" w:hint="default"/>
      </w:rPr>
    </w:lvl>
    <w:lvl w:ilvl="5" w:tplc="04150005" w:tentative="1">
      <w:start w:val="1"/>
      <w:numFmt w:val="bullet"/>
      <w:lvlText w:val=""/>
      <w:lvlJc w:val="left"/>
      <w:pPr>
        <w:tabs>
          <w:tab w:val="num" w:pos="4604"/>
        </w:tabs>
        <w:ind w:left="4604" w:hanging="360"/>
      </w:pPr>
      <w:rPr>
        <w:rFonts w:ascii="Wingdings" w:hAnsi="Wingdings" w:hint="default"/>
      </w:rPr>
    </w:lvl>
    <w:lvl w:ilvl="6" w:tplc="04150001" w:tentative="1">
      <w:start w:val="1"/>
      <w:numFmt w:val="bullet"/>
      <w:lvlText w:val=""/>
      <w:lvlJc w:val="left"/>
      <w:pPr>
        <w:tabs>
          <w:tab w:val="num" w:pos="5324"/>
        </w:tabs>
        <w:ind w:left="5324" w:hanging="360"/>
      </w:pPr>
      <w:rPr>
        <w:rFonts w:ascii="Symbol" w:hAnsi="Symbol" w:hint="default"/>
      </w:rPr>
    </w:lvl>
    <w:lvl w:ilvl="7" w:tplc="04150003" w:tentative="1">
      <w:start w:val="1"/>
      <w:numFmt w:val="bullet"/>
      <w:lvlText w:val="o"/>
      <w:lvlJc w:val="left"/>
      <w:pPr>
        <w:tabs>
          <w:tab w:val="num" w:pos="6044"/>
        </w:tabs>
        <w:ind w:left="6044" w:hanging="360"/>
      </w:pPr>
      <w:rPr>
        <w:rFonts w:ascii="Courier New" w:hAnsi="Courier New" w:hint="default"/>
      </w:rPr>
    </w:lvl>
    <w:lvl w:ilvl="8" w:tplc="04150005" w:tentative="1">
      <w:start w:val="1"/>
      <w:numFmt w:val="bullet"/>
      <w:lvlText w:val=""/>
      <w:lvlJc w:val="left"/>
      <w:pPr>
        <w:tabs>
          <w:tab w:val="num" w:pos="6764"/>
        </w:tabs>
        <w:ind w:left="6764" w:hanging="360"/>
      </w:pPr>
      <w:rPr>
        <w:rFonts w:ascii="Wingdings" w:hAnsi="Wingdings" w:hint="default"/>
      </w:rPr>
    </w:lvl>
  </w:abstractNum>
  <w:abstractNum w:abstractNumId="6">
    <w:nsid w:val="14E411DD"/>
    <w:multiLevelType w:val="hybridMultilevel"/>
    <w:tmpl w:val="D7F20BE8"/>
    <w:lvl w:ilvl="0" w:tplc="1A28D892">
      <w:start w:val="1"/>
      <w:numFmt w:val="bullet"/>
      <w:lvlText w:val="−"/>
      <w:lvlJc w:val="left"/>
      <w:pPr>
        <w:tabs>
          <w:tab w:val="num" w:pos="1440"/>
        </w:tabs>
        <w:ind w:left="1440" w:hanging="360"/>
      </w:pPr>
      <w:rPr>
        <w:rFonts w:ascii="Times New Roman" w:hAnsi="Times New Roman" w:hint="default"/>
        <w:color w:val="auto"/>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7">
    <w:nsid w:val="21B71E75"/>
    <w:multiLevelType w:val="hybridMultilevel"/>
    <w:tmpl w:val="389AF8C6"/>
    <w:name w:val="WW8Num872223222"/>
    <w:lvl w:ilvl="0" w:tplc="04150017">
      <w:start w:val="1"/>
      <w:numFmt w:val="lowerLetter"/>
      <w:lvlText w:val="%1)"/>
      <w:lvlJc w:val="left"/>
      <w:pPr>
        <w:tabs>
          <w:tab w:val="num" w:pos="720"/>
        </w:tabs>
        <w:ind w:left="720" w:hanging="360"/>
      </w:pPr>
      <w:rPr>
        <w:rFonts w:cs="Times New Roman" w:hint="default"/>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8">
    <w:nsid w:val="29584AB3"/>
    <w:multiLevelType w:val="multilevel"/>
    <w:tmpl w:val="59C2D822"/>
    <w:name w:val="WW8Num5922"/>
    <w:lvl w:ilvl="0">
      <w:start w:val="1"/>
      <w:numFmt w:val="decimal"/>
      <w:lvlText w:val="%1."/>
      <w:lvlJc w:val="left"/>
      <w:pPr>
        <w:tabs>
          <w:tab w:val="num" w:pos="360"/>
        </w:tabs>
        <w:ind w:left="360" w:hanging="360"/>
      </w:pPr>
      <w:rPr>
        <w:rFonts w:cs="Times New Roman"/>
      </w:rPr>
    </w:lvl>
    <w:lvl w:ilvl="1">
      <w:start w:val="9"/>
      <w:numFmt w:val="decimal"/>
      <w:isLgl/>
      <w:lvlText w:val="%1.%2."/>
      <w:lvlJc w:val="left"/>
      <w:pPr>
        <w:ind w:left="540" w:hanging="540"/>
      </w:pPr>
      <w:rPr>
        <w:rFonts w:cs="Times New Roman" w:hint="default"/>
      </w:rPr>
    </w:lvl>
    <w:lvl w:ilvl="2">
      <w:start w:val="4"/>
      <w:numFmt w:val="decimal"/>
      <w:isLgl/>
      <w:lvlText w:val="%1.%2.%3."/>
      <w:lvlJc w:val="left"/>
      <w:pPr>
        <w:ind w:left="720" w:hanging="720"/>
      </w:pPr>
      <w:rPr>
        <w:rFonts w:cs="Times New Roman" w:hint="default"/>
      </w:rPr>
    </w:lvl>
    <w:lvl w:ilvl="3">
      <w:start w:val="1"/>
      <w:numFmt w:val="decimal"/>
      <w:isLgl/>
      <w:lvlText w:val="%1.%2.%3.%4."/>
      <w:lvlJc w:val="left"/>
      <w:pPr>
        <w:ind w:left="720" w:hanging="72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080" w:hanging="1080"/>
      </w:pPr>
      <w:rPr>
        <w:rFonts w:cs="Times New Roman" w:hint="default"/>
      </w:rPr>
    </w:lvl>
    <w:lvl w:ilvl="6">
      <w:start w:val="1"/>
      <w:numFmt w:val="decimal"/>
      <w:isLgl/>
      <w:lvlText w:val="%1.%2.%3.%4.%5.%6.%7."/>
      <w:lvlJc w:val="left"/>
      <w:pPr>
        <w:ind w:left="1440" w:hanging="1440"/>
      </w:pPr>
      <w:rPr>
        <w:rFonts w:cs="Times New Roman" w:hint="default"/>
      </w:rPr>
    </w:lvl>
    <w:lvl w:ilvl="7">
      <w:start w:val="1"/>
      <w:numFmt w:val="decimal"/>
      <w:isLgl/>
      <w:lvlText w:val="%1.%2.%3.%4.%5.%6.%7.%8."/>
      <w:lvlJc w:val="left"/>
      <w:pPr>
        <w:ind w:left="1440" w:hanging="1440"/>
      </w:pPr>
      <w:rPr>
        <w:rFonts w:cs="Times New Roman" w:hint="default"/>
      </w:rPr>
    </w:lvl>
    <w:lvl w:ilvl="8">
      <w:start w:val="1"/>
      <w:numFmt w:val="decimal"/>
      <w:isLgl/>
      <w:lvlText w:val="%1.%2.%3.%4.%5.%6.%7.%8.%9."/>
      <w:lvlJc w:val="left"/>
      <w:pPr>
        <w:ind w:left="1800" w:hanging="1800"/>
      </w:pPr>
      <w:rPr>
        <w:rFonts w:cs="Times New Roman" w:hint="default"/>
      </w:rPr>
    </w:lvl>
  </w:abstractNum>
  <w:abstractNum w:abstractNumId="9">
    <w:nsid w:val="2AA07A76"/>
    <w:multiLevelType w:val="hybridMultilevel"/>
    <w:tmpl w:val="52B0B122"/>
    <w:lvl w:ilvl="0" w:tplc="83025DF0">
      <w:start w:val="1"/>
      <w:numFmt w:val="decimal"/>
      <w:lvlText w:val="%1."/>
      <w:lvlJc w:val="left"/>
      <w:pPr>
        <w:ind w:left="540" w:hanging="360"/>
      </w:pPr>
      <w:rPr>
        <w:rFonts w:cs="Times New Roman" w:hint="default"/>
      </w:rPr>
    </w:lvl>
    <w:lvl w:ilvl="1" w:tplc="04150019" w:tentative="1">
      <w:start w:val="1"/>
      <w:numFmt w:val="lowerLetter"/>
      <w:lvlText w:val="%2."/>
      <w:lvlJc w:val="left"/>
      <w:pPr>
        <w:ind w:left="1260" w:hanging="360"/>
      </w:pPr>
      <w:rPr>
        <w:rFonts w:cs="Times New Roman"/>
      </w:rPr>
    </w:lvl>
    <w:lvl w:ilvl="2" w:tplc="0415001B" w:tentative="1">
      <w:start w:val="1"/>
      <w:numFmt w:val="lowerRoman"/>
      <w:lvlText w:val="%3."/>
      <w:lvlJc w:val="right"/>
      <w:pPr>
        <w:ind w:left="1980" w:hanging="180"/>
      </w:pPr>
      <w:rPr>
        <w:rFonts w:cs="Times New Roman"/>
      </w:rPr>
    </w:lvl>
    <w:lvl w:ilvl="3" w:tplc="0415000F" w:tentative="1">
      <w:start w:val="1"/>
      <w:numFmt w:val="decimal"/>
      <w:lvlText w:val="%4."/>
      <w:lvlJc w:val="left"/>
      <w:pPr>
        <w:ind w:left="2700" w:hanging="360"/>
      </w:pPr>
      <w:rPr>
        <w:rFonts w:cs="Times New Roman"/>
      </w:rPr>
    </w:lvl>
    <w:lvl w:ilvl="4" w:tplc="04150019" w:tentative="1">
      <w:start w:val="1"/>
      <w:numFmt w:val="lowerLetter"/>
      <w:lvlText w:val="%5."/>
      <w:lvlJc w:val="left"/>
      <w:pPr>
        <w:ind w:left="3420" w:hanging="360"/>
      </w:pPr>
      <w:rPr>
        <w:rFonts w:cs="Times New Roman"/>
      </w:rPr>
    </w:lvl>
    <w:lvl w:ilvl="5" w:tplc="0415001B" w:tentative="1">
      <w:start w:val="1"/>
      <w:numFmt w:val="lowerRoman"/>
      <w:lvlText w:val="%6."/>
      <w:lvlJc w:val="right"/>
      <w:pPr>
        <w:ind w:left="4140" w:hanging="180"/>
      </w:pPr>
      <w:rPr>
        <w:rFonts w:cs="Times New Roman"/>
      </w:rPr>
    </w:lvl>
    <w:lvl w:ilvl="6" w:tplc="0415000F" w:tentative="1">
      <w:start w:val="1"/>
      <w:numFmt w:val="decimal"/>
      <w:lvlText w:val="%7."/>
      <w:lvlJc w:val="left"/>
      <w:pPr>
        <w:ind w:left="4860" w:hanging="360"/>
      </w:pPr>
      <w:rPr>
        <w:rFonts w:cs="Times New Roman"/>
      </w:rPr>
    </w:lvl>
    <w:lvl w:ilvl="7" w:tplc="04150019" w:tentative="1">
      <w:start w:val="1"/>
      <w:numFmt w:val="lowerLetter"/>
      <w:lvlText w:val="%8."/>
      <w:lvlJc w:val="left"/>
      <w:pPr>
        <w:ind w:left="5580" w:hanging="360"/>
      </w:pPr>
      <w:rPr>
        <w:rFonts w:cs="Times New Roman"/>
      </w:rPr>
    </w:lvl>
    <w:lvl w:ilvl="8" w:tplc="0415001B" w:tentative="1">
      <w:start w:val="1"/>
      <w:numFmt w:val="lowerRoman"/>
      <w:lvlText w:val="%9."/>
      <w:lvlJc w:val="right"/>
      <w:pPr>
        <w:ind w:left="6300" w:hanging="180"/>
      </w:pPr>
      <w:rPr>
        <w:rFonts w:cs="Times New Roman"/>
      </w:rPr>
    </w:lvl>
  </w:abstractNum>
  <w:abstractNum w:abstractNumId="10">
    <w:nsid w:val="2D555C9E"/>
    <w:multiLevelType w:val="multilevel"/>
    <w:tmpl w:val="5BA66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1F66A8A"/>
    <w:multiLevelType w:val="hybridMultilevel"/>
    <w:tmpl w:val="F22627FE"/>
    <w:lvl w:ilvl="0" w:tplc="0F7A337E">
      <w:start w:val="1"/>
      <w:numFmt w:val="decimal"/>
      <w:lvlText w:val="%1."/>
      <w:lvlJc w:val="left"/>
      <w:pPr>
        <w:ind w:left="1260" w:hanging="360"/>
      </w:pPr>
      <w:rPr>
        <w:rFonts w:hint="default"/>
      </w:rPr>
    </w:lvl>
    <w:lvl w:ilvl="1" w:tplc="04150019" w:tentative="1">
      <w:start w:val="1"/>
      <w:numFmt w:val="lowerLetter"/>
      <w:lvlText w:val="%2."/>
      <w:lvlJc w:val="left"/>
      <w:pPr>
        <w:ind w:left="1980" w:hanging="360"/>
      </w:pPr>
    </w:lvl>
    <w:lvl w:ilvl="2" w:tplc="0415001B" w:tentative="1">
      <w:start w:val="1"/>
      <w:numFmt w:val="lowerRoman"/>
      <w:lvlText w:val="%3."/>
      <w:lvlJc w:val="right"/>
      <w:pPr>
        <w:ind w:left="2700" w:hanging="180"/>
      </w:pPr>
    </w:lvl>
    <w:lvl w:ilvl="3" w:tplc="0415000F" w:tentative="1">
      <w:start w:val="1"/>
      <w:numFmt w:val="decimal"/>
      <w:lvlText w:val="%4."/>
      <w:lvlJc w:val="left"/>
      <w:pPr>
        <w:ind w:left="3420" w:hanging="360"/>
      </w:pPr>
    </w:lvl>
    <w:lvl w:ilvl="4" w:tplc="04150019" w:tentative="1">
      <w:start w:val="1"/>
      <w:numFmt w:val="lowerLetter"/>
      <w:lvlText w:val="%5."/>
      <w:lvlJc w:val="left"/>
      <w:pPr>
        <w:ind w:left="4140" w:hanging="360"/>
      </w:pPr>
    </w:lvl>
    <w:lvl w:ilvl="5" w:tplc="0415001B" w:tentative="1">
      <w:start w:val="1"/>
      <w:numFmt w:val="lowerRoman"/>
      <w:lvlText w:val="%6."/>
      <w:lvlJc w:val="right"/>
      <w:pPr>
        <w:ind w:left="4860" w:hanging="180"/>
      </w:pPr>
    </w:lvl>
    <w:lvl w:ilvl="6" w:tplc="0415000F" w:tentative="1">
      <w:start w:val="1"/>
      <w:numFmt w:val="decimal"/>
      <w:lvlText w:val="%7."/>
      <w:lvlJc w:val="left"/>
      <w:pPr>
        <w:ind w:left="5580" w:hanging="360"/>
      </w:pPr>
    </w:lvl>
    <w:lvl w:ilvl="7" w:tplc="04150019" w:tentative="1">
      <w:start w:val="1"/>
      <w:numFmt w:val="lowerLetter"/>
      <w:lvlText w:val="%8."/>
      <w:lvlJc w:val="left"/>
      <w:pPr>
        <w:ind w:left="6300" w:hanging="360"/>
      </w:pPr>
    </w:lvl>
    <w:lvl w:ilvl="8" w:tplc="0415001B" w:tentative="1">
      <w:start w:val="1"/>
      <w:numFmt w:val="lowerRoman"/>
      <w:lvlText w:val="%9."/>
      <w:lvlJc w:val="right"/>
      <w:pPr>
        <w:ind w:left="7020" w:hanging="180"/>
      </w:pPr>
    </w:lvl>
  </w:abstractNum>
  <w:abstractNum w:abstractNumId="12">
    <w:nsid w:val="360D5047"/>
    <w:multiLevelType w:val="hybridMultilevel"/>
    <w:tmpl w:val="20941F9A"/>
    <w:lvl w:ilvl="0" w:tplc="04150019">
      <w:start w:val="1"/>
      <w:numFmt w:val="bullet"/>
      <w:lvlText w:val=""/>
      <w:lvlJc w:val="left"/>
      <w:pPr>
        <w:ind w:left="720" w:hanging="360"/>
      </w:pPr>
      <w:rPr>
        <w:rFonts w:ascii="Symbol" w:hAnsi="Symbol" w:hint="default"/>
        <w:sz w:val="24"/>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39663953"/>
    <w:multiLevelType w:val="multilevel"/>
    <w:tmpl w:val="B5482DBC"/>
    <w:lvl w:ilvl="0">
      <w:start w:val="1"/>
      <w:numFmt w:val="upperRoman"/>
      <w:lvlText w:val="Część %1."/>
      <w:lvlJc w:val="left"/>
      <w:pPr>
        <w:tabs>
          <w:tab w:val="num" w:pos="1440"/>
        </w:tabs>
      </w:pPr>
      <w:rPr>
        <w:rFonts w:ascii="Arial" w:hAnsi="Arial" w:cs="Arial" w:hint="default"/>
        <w:b/>
        <w:bCs/>
        <w:i w:val="0"/>
        <w:iCs w:val="0"/>
        <w:caps w:val="0"/>
        <w:smallCaps w:val="0"/>
        <w:strike w:val="0"/>
        <w:dstrike w:val="0"/>
        <w:outline w:val="0"/>
        <w:shadow w:val="0"/>
        <w:emboss w:val="0"/>
        <w:imprint w:val="0"/>
        <w:vanish w:val="0"/>
        <w:spacing w:val="0"/>
        <w:kern w:val="0"/>
        <w:position w:val="0"/>
        <w:u w:val="none"/>
        <w:vertAlign w:val="baseline"/>
      </w:rPr>
    </w:lvl>
    <w:lvl w:ilvl="1">
      <w:start w:val="1"/>
      <w:numFmt w:val="decimal"/>
      <w:lvlText w:val="Rozdział %2."/>
      <w:lvlJc w:val="left"/>
      <w:pPr>
        <w:tabs>
          <w:tab w:val="num" w:pos="1800"/>
        </w:tabs>
        <w:ind w:left="720"/>
      </w:pPr>
      <w:rPr>
        <w:rFonts w:cs="Times New Roman" w:hint="default"/>
        <w:b/>
        <w:bCs/>
        <w:i w:val="0"/>
        <w:iCs w:val="0"/>
      </w:rPr>
    </w:lvl>
    <w:lvl w:ilvl="2">
      <w:start w:val="1"/>
      <w:numFmt w:val="ordinal"/>
      <w:lvlText w:val="%2.%3"/>
      <w:lvlJc w:val="left"/>
      <w:pPr>
        <w:tabs>
          <w:tab w:val="num" w:pos="900"/>
        </w:tabs>
        <w:ind w:left="900" w:hanging="720"/>
      </w:pPr>
      <w:rPr>
        <w:rFonts w:ascii="Times New Roman" w:hAnsi="Times New Roman" w:cs="Times New Roman" w:hint="default"/>
        <w:b/>
        <w:bCs w:val="0"/>
        <w:i w:val="0"/>
        <w:iCs w:val="0"/>
        <w:caps w:val="0"/>
        <w:smallCaps w:val="0"/>
        <w:strike w:val="0"/>
        <w:dstrike w:val="0"/>
        <w:outline w:val="0"/>
        <w:shadow w:val="0"/>
        <w:emboss w:val="0"/>
        <w:imprint w:val="0"/>
        <w:vanish w:val="0"/>
        <w:spacing w:val="0"/>
        <w:kern w:val="0"/>
        <w:position w:val="0"/>
        <w:u w:val="none"/>
        <w:vertAlign w:val="baseline"/>
      </w:rPr>
    </w:lvl>
    <w:lvl w:ilvl="3">
      <w:start w:val="1"/>
      <w:numFmt w:val="decimal"/>
      <w:lvlText w:val="%2.%3%4"/>
      <w:lvlJc w:val="left"/>
      <w:pPr>
        <w:tabs>
          <w:tab w:val="num" w:pos="864"/>
        </w:tabs>
        <w:ind w:left="864" w:hanging="864"/>
      </w:pPr>
      <w:rPr>
        <w:rFonts w:ascii="Times New Roman" w:hAnsi="Times New Roman" w:cs="Times New Roman" w:hint="default"/>
        <w:b/>
        <w:bCs/>
        <w:i w:val="0"/>
        <w:iCs w:val="0"/>
        <w:caps w:val="0"/>
        <w:smallCaps w:val="0"/>
        <w:strike w:val="0"/>
        <w:dstrike w:val="0"/>
        <w:outline w:val="0"/>
        <w:shadow w:val="0"/>
        <w:emboss w:val="0"/>
        <w:imprint w:val="0"/>
        <w:vanish w:val="0"/>
        <w:spacing w:val="0"/>
        <w:kern w:val="0"/>
        <w:position w:val="0"/>
        <w:sz w:val="20"/>
        <w:szCs w:val="20"/>
        <w:u w:val="none"/>
        <w:vertAlign w:val="baseline"/>
      </w:rPr>
    </w:lvl>
    <w:lvl w:ilvl="4">
      <w:start w:val="1"/>
      <w:numFmt w:val="decimal"/>
      <w:lvlText w:val="%5)"/>
      <w:lvlJc w:val="left"/>
      <w:pPr>
        <w:tabs>
          <w:tab w:val="num" w:pos="1008"/>
        </w:tabs>
        <w:ind w:left="1008" w:hanging="432"/>
      </w:pPr>
      <w:rPr>
        <w:rFonts w:cs="Times New Roman" w:hint="default"/>
      </w:rPr>
    </w:lvl>
    <w:lvl w:ilvl="5">
      <w:start w:val="1"/>
      <w:numFmt w:val="lowerLetter"/>
      <w:lvlText w:val="%6)"/>
      <w:lvlJc w:val="left"/>
      <w:pPr>
        <w:tabs>
          <w:tab w:val="num" w:pos="1152"/>
        </w:tabs>
        <w:ind w:left="1152" w:hanging="432"/>
      </w:pPr>
      <w:rPr>
        <w:rFonts w:cs="Times New Roman" w:hint="default"/>
      </w:rPr>
    </w:lvl>
    <w:lvl w:ilvl="6">
      <w:start w:val="1"/>
      <w:numFmt w:val="lowerRoman"/>
      <w:lvlText w:val="%7)"/>
      <w:lvlJc w:val="right"/>
      <w:pPr>
        <w:tabs>
          <w:tab w:val="num" w:pos="1296"/>
        </w:tabs>
        <w:ind w:left="1296" w:hanging="288"/>
      </w:pPr>
      <w:rPr>
        <w:rFonts w:cs="Times New Roman" w:hint="default"/>
      </w:rPr>
    </w:lvl>
    <w:lvl w:ilvl="7">
      <w:start w:val="1"/>
      <w:numFmt w:val="lowerLetter"/>
      <w:lvlText w:val="%8."/>
      <w:lvlJc w:val="left"/>
      <w:pPr>
        <w:tabs>
          <w:tab w:val="num" w:pos="1440"/>
        </w:tabs>
        <w:ind w:left="1440" w:hanging="432"/>
      </w:pPr>
      <w:rPr>
        <w:rFonts w:cs="Times New Roman" w:hint="default"/>
      </w:rPr>
    </w:lvl>
    <w:lvl w:ilvl="8">
      <w:start w:val="1"/>
      <w:numFmt w:val="lowerRoman"/>
      <w:lvlText w:val="%9."/>
      <w:lvlJc w:val="right"/>
      <w:pPr>
        <w:tabs>
          <w:tab w:val="num" w:pos="1584"/>
        </w:tabs>
        <w:ind w:left="1584" w:hanging="144"/>
      </w:pPr>
      <w:rPr>
        <w:rFonts w:cs="Times New Roman" w:hint="default"/>
      </w:rPr>
    </w:lvl>
  </w:abstractNum>
  <w:abstractNum w:abstractNumId="14">
    <w:nsid w:val="3F7364B7"/>
    <w:multiLevelType w:val="hybridMultilevel"/>
    <w:tmpl w:val="A206446A"/>
    <w:lvl w:ilvl="0" w:tplc="0415000F">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5">
    <w:nsid w:val="40F70815"/>
    <w:multiLevelType w:val="hybridMultilevel"/>
    <w:tmpl w:val="580C5544"/>
    <w:lvl w:ilvl="0" w:tplc="14E62332">
      <w:start w:val="1"/>
      <w:numFmt w:val="decimal"/>
      <w:lvlText w:val="%1)"/>
      <w:lvlJc w:val="left"/>
      <w:pPr>
        <w:tabs>
          <w:tab w:val="num" w:pos="705"/>
        </w:tabs>
        <w:ind w:left="705" w:hanging="705"/>
      </w:pPr>
      <w:rPr>
        <w:rFonts w:cs="Times New Roman" w:hint="default"/>
      </w:rPr>
    </w:lvl>
    <w:lvl w:ilvl="1" w:tplc="04150003" w:tentative="1">
      <w:start w:val="1"/>
      <w:numFmt w:val="bullet"/>
      <w:lvlText w:val="o"/>
      <w:lvlJc w:val="left"/>
      <w:pPr>
        <w:tabs>
          <w:tab w:val="num" w:pos="1080"/>
        </w:tabs>
        <w:ind w:left="1080" w:hanging="360"/>
      </w:pPr>
      <w:rPr>
        <w:rFonts w:ascii="Courier New" w:hAnsi="Courier New" w:hint="default"/>
      </w:rPr>
    </w:lvl>
    <w:lvl w:ilvl="2" w:tplc="04150005" w:tentative="1">
      <w:start w:val="1"/>
      <w:numFmt w:val="bullet"/>
      <w:lvlText w:val=""/>
      <w:lvlJc w:val="left"/>
      <w:pPr>
        <w:tabs>
          <w:tab w:val="num" w:pos="1800"/>
        </w:tabs>
        <w:ind w:left="1800" w:hanging="360"/>
      </w:pPr>
      <w:rPr>
        <w:rFonts w:ascii="Wingdings" w:hAnsi="Wingdings" w:hint="default"/>
      </w:rPr>
    </w:lvl>
    <w:lvl w:ilvl="3" w:tplc="04150001" w:tentative="1">
      <w:start w:val="1"/>
      <w:numFmt w:val="bullet"/>
      <w:lvlText w:val=""/>
      <w:lvlJc w:val="left"/>
      <w:pPr>
        <w:tabs>
          <w:tab w:val="num" w:pos="2520"/>
        </w:tabs>
        <w:ind w:left="2520" w:hanging="360"/>
      </w:pPr>
      <w:rPr>
        <w:rFonts w:ascii="Symbol" w:hAnsi="Symbol" w:hint="default"/>
      </w:rPr>
    </w:lvl>
    <w:lvl w:ilvl="4" w:tplc="04150003" w:tentative="1">
      <w:start w:val="1"/>
      <w:numFmt w:val="bullet"/>
      <w:lvlText w:val="o"/>
      <w:lvlJc w:val="left"/>
      <w:pPr>
        <w:tabs>
          <w:tab w:val="num" w:pos="3240"/>
        </w:tabs>
        <w:ind w:left="3240" w:hanging="360"/>
      </w:pPr>
      <w:rPr>
        <w:rFonts w:ascii="Courier New" w:hAnsi="Courier New" w:hint="default"/>
      </w:rPr>
    </w:lvl>
    <w:lvl w:ilvl="5" w:tplc="04150005" w:tentative="1">
      <w:start w:val="1"/>
      <w:numFmt w:val="bullet"/>
      <w:lvlText w:val=""/>
      <w:lvlJc w:val="left"/>
      <w:pPr>
        <w:tabs>
          <w:tab w:val="num" w:pos="3960"/>
        </w:tabs>
        <w:ind w:left="3960" w:hanging="360"/>
      </w:pPr>
      <w:rPr>
        <w:rFonts w:ascii="Wingdings" w:hAnsi="Wingdings" w:hint="default"/>
      </w:rPr>
    </w:lvl>
    <w:lvl w:ilvl="6" w:tplc="04150001" w:tentative="1">
      <w:start w:val="1"/>
      <w:numFmt w:val="bullet"/>
      <w:lvlText w:val=""/>
      <w:lvlJc w:val="left"/>
      <w:pPr>
        <w:tabs>
          <w:tab w:val="num" w:pos="4680"/>
        </w:tabs>
        <w:ind w:left="4680" w:hanging="360"/>
      </w:pPr>
      <w:rPr>
        <w:rFonts w:ascii="Symbol" w:hAnsi="Symbol" w:hint="default"/>
      </w:rPr>
    </w:lvl>
    <w:lvl w:ilvl="7" w:tplc="04150003" w:tentative="1">
      <w:start w:val="1"/>
      <w:numFmt w:val="bullet"/>
      <w:lvlText w:val="o"/>
      <w:lvlJc w:val="left"/>
      <w:pPr>
        <w:tabs>
          <w:tab w:val="num" w:pos="5400"/>
        </w:tabs>
        <w:ind w:left="5400" w:hanging="360"/>
      </w:pPr>
      <w:rPr>
        <w:rFonts w:ascii="Courier New" w:hAnsi="Courier New" w:hint="default"/>
      </w:rPr>
    </w:lvl>
    <w:lvl w:ilvl="8" w:tplc="04150005" w:tentative="1">
      <w:start w:val="1"/>
      <w:numFmt w:val="bullet"/>
      <w:lvlText w:val=""/>
      <w:lvlJc w:val="left"/>
      <w:pPr>
        <w:tabs>
          <w:tab w:val="num" w:pos="6120"/>
        </w:tabs>
        <w:ind w:left="6120" w:hanging="360"/>
      </w:pPr>
      <w:rPr>
        <w:rFonts w:ascii="Wingdings" w:hAnsi="Wingdings" w:hint="default"/>
      </w:rPr>
    </w:lvl>
  </w:abstractNum>
  <w:abstractNum w:abstractNumId="16">
    <w:nsid w:val="42101E16"/>
    <w:multiLevelType w:val="multilevel"/>
    <w:tmpl w:val="C0C24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47610C1D"/>
    <w:multiLevelType w:val="hybridMultilevel"/>
    <w:tmpl w:val="F31E8DBC"/>
    <w:name w:val="WW8Num222"/>
    <w:lvl w:ilvl="0" w:tplc="95ECE292">
      <w:start w:val="1"/>
      <w:numFmt w:val="lowerLetter"/>
      <w:lvlText w:val="%1)"/>
      <w:lvlJc w:val="left"/>
      <w:pPr>
        <w:tabs>
          <w:tab w:val="num" w:pos="720"/>
        </w:tabs>
        <w:ind w:left="720" w:hanging="360"/>
      </w:pPr>
      <w:rPr>
        <w:rFonts w:cs="Times New Roman" w:hint="default"/>
      </w:rPr>
    </w:lvl>
    <w:lvl w:ilvl="1" w:tplc="04150019">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8">
    <w:nsid w:val="4E513D7D"/>
    <w:multiLevelType w:val="hybridMultilevel"/>
    <w:tmpl w:val="582C1334"/>
    <w:lvl w:ilvl="0" w:tplc="1A28D892">
      <w:start w:val="1"/>
      <w:numFmt w:val="bullet"/>
      <w:lvlText w:val="−"/>
      <w:lvlJc w:val="left"/>
      <w:pPr>
        <w:tabs>
          <w:tab w:val="num" w:pos="1440"/>
        </w:tabs>
        <w:ind w:left="1440" w:hanging="360"/>
      </w:pPr>
      <w:rPr>
        <w:rFonts w:ascii="Times New Roman" w:hAnsi="Times New Roman" w:hint="default"/>
        <w:color w:val="auto"/>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9">
    <w:nsid w:val="5BAD425F"/>
    <w:multiLevelType w:val="hybridMultilevel"/>
    <w:tmpl w:val="9364F21C"/>
    <w:name w:val="WW8Num81233"/>
    <w:lvl w:ilvl="0" w:tplc="8C8C475E">
      <w:start w:val="1"/>
      <w:numFmt w:val="lowerLetter"/>
      <w:lvlText w:val="%1)"/>
      <w:lvlJc w:val="left"/>
      <w:pPr>
        <w:tabs>
          <w:tab w:val="num" w:pos="1440"/>
        </w:tabs>
        <w:ind w:left="1440" w:hanging="360"/>
      </w:pPr>
      <w:rPr>
        <w:rFonts w:cs="Times New Roman"/>
      </w:rPr>
    </w:lvl>
    <w:lvl w:ilvl="1" w:tplc="04150003">
      <w:start w:val="1"/>
      <w:numFmt w:val="decimal"/>
      <w:lvlText w:val="%2."/>
      <w:lvlJc w:val="left"/>
      <w:pPr>
        <w:tabs>
          <w:tab w:val="num" w:pos="2160"/>
        </w:tabs>
        <w:ind w:left="2160" w:hanging="360"/>
      </w:pPr>
      <w:rPr>
        <w:rFonts w:cs="Times New Roman"/>
      </w:rPr>
    </w:lvl>
    <w:lvl w:ilvl="2" w:tplc="04150005">
      <w:start w:val="1"/>
      <w:numFmt w:val="lowerRoman"/>
      <w:lvlText w:val="%3."/>
      <w:lvlJc w:val="right"/>
      <w:pPr>
        <w:tabs>
          <w:tab w:val="num" w:pos="2880"/>
        </w:tabs>
        <w:ind w:left="2880" w:hanging="180"/>
      </w:pPr>
      <w:rPr>
        <w:rFonts w:cs="Times New Roman"/>
      </w:rPr>
    </w:lvl>
    <w:lvl w:ilvl="3" w:tplc="04150001" w:tentative="1">
      <w:start w:val="1"/>
      <w:numFmt w:val="decimal"/>
      <w:lvlText w:val="%4."/>
      <w:lvlJc w:val="left"/>
      <w:pPr>
        <w:tabs>
          <w:tab w:val="num" w:pos="3600"/>
        </w:tabs>
        <w:ind w:left="3600" w:hanging="360"/>
      </w:pPr>
      <w:rPr>
        <w:rFonts w:cs="Times New Roman"/>
      </w:rPr>
    </w:lvl>
    <w:lvl w:ilvl="4" w:tplc="04150003" w:tentative="1">
      <w:start w:val="1"/>
      <w:numFmt w:val="lowerLetter"/>
      <w:lvlText w:val="%5."/>
      <w:lvlJc w:val="left"/>
      <w:pPr>
        <w:tabs>
          <w:tab w:val="num" w:pos="4320"/>
        </w:tabs>
        <w:ind w:left="4320" w:hanging="360"/>
      </w:pPr>
      <w:rPr>
        <w:rFonts w:cs="Times New Roman"/>
      </w:rPr>
    </w:lvl>
    <w:lvl w:ilvl="5" w:tplc="04150005">
      <w:start w:val="1"/>
      <w:numFmt w:val="lowerRoman"/>
      <w:lvlText w:val="%6."/>
      <w:lvlJc w:val="right"/>
      <w:pPr>
        <w:tabs>
          <w:tab w:val="num" w:pos="5040"/>
        </w:tabs>
        <w:ind w:left="5040" w:hanging="180"/>
      </w:pPr>
      <w:rPr>
        <w:rFonts w:cs="Times New Roman"/>
      </w:rPr>
    </w:lvl>
    <w:lvl w:ilvl="6" w:tplc="04150001" w:tentative="1">
      <w:start w:val="1"/>
      <w:numFmt w:val="decimal"/>
      <w:lvlText w:val="%7."/>
      <w:lvlJc w:val="left"/>
      <w:pPr>
        <w:tabs>
          <w:tab w:val="num" w:pos="5760"/>
        </w:tabs>
        <w:ind w:left="5760" w:hanging="360"/>
      </w:pPr>
      <w:rPr>
        <w:rFonts w:cs="Times New Roman"/>
      </w:rPr>
    </w:lvl>
    <w:lvl w:ilvl="7" w:tplc="04150003" w:tentative="1">
      <w:start w:val="1"/>
      <w:numFmt w:val="lowerLetter"/>
      <w:lvlText w:val="%8."/>
      <w:lvlJc w:val="left"/>
      <w:pPr>
        <w:tabs>
          <w:tab w:val="num" w:pos="6480"/>
        </w:tabs>
        <w:ind w:left="6480" w:hanging="360"/>
      </w:pPr>
      <w:rPr>
        <w:rFonts w:cs="Times New Roman"/>
      </w:rPr>
    </w:lvl>
    <w:lvl w:ilvl="8" w:tplc="04150005" w:tentative="1">
      <w:start w:val="1"/>
      <w:numFmt w:val="lowerRoman"/>
      <w:lvlText w:val="%9."/>
      <w:lvlJc w:val="right"/>
      <w:pPr>
        <w:tabs>
          <w:tab w:val="num" w:pos="7200"/>
        </w:tabs>
        <w:ind w:left="7200" w:hanging="180"/>
      </w:pPr>
      <w:rPr>
        <w:rFonts w:cs="Times New Roman"/>
      </w:rPr>
    </w:lvl>
  </w:abstractNum>
  <w:abstractNum w:abstractNumId="20">
    <w:nsid w:val="5BD1219F"/>
    <w:multiLevelType w:val="hybridMultilevel"/>
    <w:tmpl w:val="1CFEA320"/>
    <w:lvl w:ilvl="0" w:tplc="0415000F">
      <w:start w:val="1"/>
      <w:numFmt w:val="lowerLetter"/>
      <w:lvlText w:val="%1)"/>
      <w:lvlJc w:val="left"/>
      <w:pPr>
        <w:tabs>
          <w:tab w:val="num" w:pos="720"/>
        </w:tabs>
        <w:ind w:left="720" w:hanging="360"/>
      </w:pPr>
      <w:rPr>
        <w:rFonts w:cs="Times New Roman"/>
      </w:rPr>
    </w:lvl>
    <w:lvl w:ilvl="1" w:tplc="04150019">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21">
    <w:nsid w:val="5C131845"/>
    <w:multiLevelType w:val="hybridMultilevel"/>
    <w:tmpl w:val="A2D09578"/>
    <w:lvl w:ilvl="0" w:tplc="1A28D892">
      <w:start w:val="1"/>
      <w:numFmt w:val="bullet"/>
      <w:lvlText w:val="−"/>
      <w:lvlJc w:val="left"/>
      <w:pPr>
        <w:tabs>
          <w:tab w:val="num" w:pos="1440"/>
        </w:tabs>
        <w:ind w:left="1440" w:hanging="360"/>
      </w:pPr>
      <w:rPr>
        <w:rFonts w:ascii="Times New Roman" w:hAnsi="Times New Roman" w:hint="default"/>
        <w:color w:val="auto"/>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2">
    <w:nsid w:val="636306EC"/>
    <w:multiLevelType w:val="multilevel"/>
    <w:tmpl w:val="DD8CCEFA"/>
    <w:lvl w:ilvl="0">
      <w:start w:val="1"/>
      <w:numFmt w:val="upperRoman"/>
      <w:lvlText w:val="Część %1."/>
      <w:lvlJc w:val="left"/>
      <w:pPr>
        <w:tabs>
          <w:tab w:val="num" w:pos="1440"/>
        </w:tabs>
      </w:pPr>
      <w:rPr>
        <w:rFonts w:ascii="Arial" w:hAnsi="Arial" w:cs="Arial" w:hint="default"/>
        <w:b/>
        <w:bCs/>
        <w:i w:val="0"/>
        <w:iCs w:val="0"/>
        <w:caps w:val="0"/>
        <w:smallCaps w:val="0"/>
        <w:strike w:val="0"/>
        <w:dstrike w:val="0"/>
        <w:outline w:val="0"/>
        <w:shadow w:val="0"/>
        <w:emboss w:val="0"/>
        <w:imprint w:val="0"/>
        <w:vanish w:val="0"/>
        <w:spacing w:val="0"/>
        <w:kern w:val="0"/>
        <w:position w:val="0"/>
        <w:u w:val="none"/>
        <w:vertAlign w:val="baseline"/>
      </w:rPr>
    </w:lvl>
    <w:lvl w:ilvl="1">
      <w:start w:val="1"/>
      <w:numFmt w:val="decimal"/>
      <w:lvlText w:val="Rozdział %2."/>
      <w:lvlJc w:val="left"/>
      <w:pPr>
        <w:tabs>
          <w:tab w:val="num" w:pos="1800"/>
        </w:tabs>
        <w:ind w:left="720"/>
      </w:pPr>
      <w:rPr>
        <w:rFonts w:cs="Times New Roman" w:hint="default"/>
        <w:b/>
        <w:bCs/>
        <w:i w:val="0"/>
        <w:iCs w:val="0"/>
      </w:rPr>
    </w:lvl>
    <w:lvl w:ilvl="2">
      <w:start w:val="1"/>
      <w:numFmt w:val="ordinal"/>
      <w:lvlText w:val="%2.%3"/>
      <w:lvlJc w:val="left"/>
      <w:pPr>
        <w:tabs>
          <w:tab w:val="num" w:pos="900"/>
        </w:tabs>
        <w:ind w:left="900" w:hanging="720"/>
      </w:pPr>
      <w:rPr>
        <w:rFonts w:ascii="Times New Roman" w:hAnsi="Times New Roman" w:cs="Times New Roman" w:hint="default"/>
        <w:b/>
        <w:bCs w:val="0"/>
        <w:i w:val="0"/>
        <w:iCs w:val="0"/>
        <w:caps w:val="0"/>
        <w:smallCaps w:val="0"/>
        <w:strike w:val="0"/>
        <w:dstrike w:val="0"/>
        <w:outline w:val="0"/>
        <w:shadow w:val="0"/>
        <w:emboss w:val="0"/>
        <w:imprint w:val="0"/>
        <w:vanish w:val="0"/>
        <w:spacing w:val="0"/>
        <w:kern w:val="0"/>
        <w:position w:val="0"/>
        <w:u w:val="none"/>
        <w:vertAlign w:val="baseline"/>
      </w:rPr>
    </w:lvl>
    <w:lvl w:ilvl="3">
      <w:start w:val="1"/>
      <w:numFmt w:val="decimal"/>
      <w:lvlText w:val="%2.%3%4"/>
      <w:lvlJc w:val="left"/>
      <w:pPr>
        <w:tabs>
          <w:tab w:val="num" w:pos="864"/>
        </w:tabs>
        <w:ind w:left="864" w:hanging="864"/>
      </w:pPr>
      <w:rPr>
        <w:rFonts w:ascii="Times New Roman" w:hAnsi="Times New Roman" w:cs="Times New Roman" w:hint="default"/>
        <w:b/>
        <w:bCs/>
        <w:i w:val="0"/>
        <w:iCs w:val="0"/>
        <w:caps w:val="0"/>
        <w:smallCaps w:val="0"/>
        <w:strike w:val="0"/>
        <w:dstrike w:val="0"/>
        <w:outline w:val="0"/>
        <w:shadow w:val="0"/>
        <w:emboss w:val="0"/>
        <w:imprint w:val="0"/>
        <w:vanish w:val="0"/>
        <w:spacing w:val="0"/>
        <w:kern w:val="0"/>
        <w:position w:val="0"/>
        <w:sz w:val="20"/>
        <w:szCs w:val="20"/>
        <w:u w:val="none"/>
        <w:vertAlign w:val="baseline"/>
      </w:rPr>
    </w:lvl>
    <w:lvl w:ilvl="4">
      <w:start w:val="1"/>
      <w:numFmt w:val="decimal"/>
      <w:lvlText w:val="%5)"/>
      <w:lvlJc w:val="left"/>
      <w:pPr>
        <w:tabs>
          <w:tab w:val="num" w:pos="1008"/>
        </w:tabs>
        <w:ind w:left="1008" w:hanging="432"/>
      </w:pPr>
      <w:rPr>
        <w:rFonts w:cs="Times New Roman" w:hint="default"/>
      </w:rPr>
    </w:lvl>
    <w:lvl w:ilvl="5">
      <w:start w:val="1"/>
      <w:numFmt w:val="lowerLetter"/>
      <w:lvlText w:val="%6)"/>
      <w:lvlJc w:val="left"/>
      <w:pPr>
        <w:tabs>
          <w:tab w:val="num" w:pos="1152"/>
        </w:tabs>
        <w:ind w:left="1152" w:hanging="432"/>
      </w:pPr>
      <w:rPr>
        <w:rFonts w:cs="Times New Roman" w:hint="default"/>
      </w:rPr>
    </w:lvl>
    <w:lvl w:ilvl="6">
      <w:start w:val="1"/>
      <w:numFmt w:val="lowerRoman"/>
      <w:lvlText w:val="%7)"/>
      <w:lvlJc w:val="right"/>
      <w:pPr>
        <w:tabs>
          <w:tab w:val="num" w:pos="1296"/>
        </w:tabs>
        <w:ind w:left="1296" w:hanging="288"/>
      </w:pPr>
      <w:rPr>
        <w:rFonts w:cs="Times New Roman" w:hint="default"/>
      </w:rPr>
    </w:lvl>
    <w:lvl w:ilvl="7">
      <w:start w:val="1"/>
      <w:numFmt w:val="lowerLetter"/>
      <w:lvlText w:val="%8."/>
      <w:lvlJc w:val="left"/>
      <w:pPr>
        <w:tabs>
          <w:tab w:val="num" w:pos="1440"/>
        </w:tabs>
        <w:ind w:left="1440" w:hanging="432"/>
      </w:pPr>
      <w:rPr>
        <w:rFonts w:cs="Times New Roman" w:hint="default"/>
      </w:rPr>
    </w:lvl>
    <w:lvl w:ilvl="8">
      <w:start w:val="1"/>
      <w:numFmt w:val="lowerRoman"/>
      <w:lvlText w:val="%9."/>
      <w:lvlJc w:val="right"/>
      <w:pPr>
        <w:tabs>
          <w:tab w:val="num" w:pos="1584"/>
        </w:tabs>
        <w:ind w:left="1584" w:hanging="144"/>
      </w:pPr>
      <w:rPr>
        <w:rFonts w:cs="Times New Roman" w:hint="default"/>
      </w:rPr>
    </w:lvl>
  </w:abstractNum>
  <w:abstractNum w:abstractNumId="23">
    <w:nsid w:val="64167F1D"/>
    <w:multiLevelType w:val="hybridMultilevel"/>
    <w:tmpl w:val="6938170A"/>
    <w:lvl w:ilvl="0" w:tplc="11AC388C">
      <w:start w:val="1"/>
      <w:numFmt w:val="decimal"/>
      <w:lvlText w:val="%1."/>
      <w:lvlJc w:val="left"/>
      <w:pPr>
        <w:tabs>
          <w:tab w:val="num" w:pos="360"/>
        </w:tabs>
        <w:ind w:left="360" w:hanging="360"/>
      </w:pPr>
      <w:rPr>
        <w:rFonts w:cs="Times New Roman" w:hint="default"/>
      </w:rPr>
    </w:lvl>
    <w:lvl w:ilvl="1" w:tplc="04150019">
      <w:start w:val="1"/>
      <w:numFmt w:val="bullet"/>
      <w:pStyle w:val="Nagwek7"/>
      <w:lvlText w:val="-"/>
      <w:lvlJc w:val="left"/>
      <w:pPr>
        <w:tabs>
          <w:tab w:val="num" w:pos="1080"/>
        </w:tabs>
        <w:ind w:left="1080" w:hanging="360"/>
      </w:pPr>
      <w:rPr>
        <w:rFonts w:ascii="Helvetica" w:hAnsi="Helvetica" w:hint="default"/>
      </w:rPr>
    </w:lvl>
    <w:lvl w:ilvl="2" w:tplc="0415001B">
      <w:start w:val="1"/>
      <w:numFmt w:val="bullet"/>
      <w:lvlText w:val="-"/>
      <w:lvlJc w:val="left"/>
      <w:pPr>
        <w:tabs>
          <w:tab w:val="num" w:pos="1960"/>
        </w:tabs>
        <w:ind w:left="1960" w:hanging="340"/>
      </w:pPr>
      <w:rPr>
        <w:rFonts w:ascii="9999999" w:hAnsi="9999999" w:hint="default"/>
      </w:rPr>
    </w:lvl>
    <w:lvl w:ilvl="3" w:tplc="0415000F" w:tentative="1">
      <w:start w:val="1"/>
      <w:numFmt w:val="decimal"/>
      <w:lvlText w:val="%4."/>
      <w:lvlJc w:val="left"/>
      <w:pPr>
        <w:tabs>
          <w:tab w:val="num" w:pos="2520"/>
        </w:tabs>
        <w:ind w:left="2520" w:hanging="360"/>
      </w:pPr>
      <w:rPr>
        <w:rFonts w:cs="Times New Roman"/>
      </w:rPr>
    </w:lvl>
    <w:lvl w:ilvl="4" w:tplc="04150019" w:tentative="1">
      <w:start w:val="1"/>
      <w:numFmt w:val="lowerLetter"/>
      <w:lvlText w:val="%5."/>
      <w:lvlJc w:val="left"/>
      <w:pPr>
        <w:tabs>
          <w:tab w:val="num" w:pos="3240"/>
        </w:tabs>
        <w:ind w:left="3240" w:hanging="360"/>
      </w:pPr>
      <w:rPr>
        <w:rFonts w:cs="Times New Roman"/>
      </w:rPr>
    </w:lvl>
    <w:lvl w:ilvl="5" w:tplc="0415001B" w:tentative="1">
      <w:start w:val="1"/>
      <w:numFmt w:val="lowerRoman"/>
      <w:lvlText w:val="%6."/>
      <w:lvlJc w:val="right"/>
      <w:pPr>
        <w:tabs>
          <w:tab w:val="num" w:pos="3960"/>
        </w:tabs>
        <w:ind w:left="3960" w:hanging="180"/>
      </w:pPr>
      <w:rPr>
        <w:rFonts w:cs="Times New Roman"/>
      </w:rPr>
    </w:lvl>
    <w:lvl w:ilvl="6" w:tplc="0415000F" w:tentative="1">
      <w:start w:val="1"/>
      <w:numFmt w:val="decimal"/>
      <w:lvlText w:val="%7."/>
      <w:lvlJc w:val="left"/>
      <w:pPr>
        <w:tabs>
          <w:tab w:val="num" w:pos="4680"/>
        </w:tabs>
        <w:ind w:left="4680" w:hanging="360"/>
      </w:pPr>
      <w:rPr>
        <w:rFonts w:cs="Times New Roman"/>
      </w:rPr>
    </w:lvl>
    <w:lvl w:ilvl="7" w:tplc="04150019" w:tentative="1">
      <w:start w:val="1"/>
      <w:numFmt w:val="lowerLetter"/>
      <w:lvlText w:val="%8."/>
      <w:lvlJc w:val="left"/>
      <w:pPr>
        <w:tabs>
          <w:tab w:val="num" w:pos="5400"/>
        </w:tabs>
        <w:ind w:left="5400" w:hanging="360"/>
      </w:pPr>
      <w:rPr>
        <w:rFonts w:cs="Times New Roman"/>
      </w:rPr>
    </w:lvl>
    <w:lvl w:ilvl="8" w:tplc="0415001B" w:tentative="1">
      <w:start w:val="1"/>
      <w:numFmt w:val="lowerRoman"/>
      <w:lvlText w:val="%9."/>
      <w:lvlJc w:val="right"/>
      <w:pPr>
        <w:tabs>
          <w:tab w:val="num" w:pos="6120"/>
        </w:tabs>
        <w:ind w:left="6120" w:hanging="180"/>
      </w:pPr>
      <w:rPr>
        <w:rFonts w:cs="Times New Roman"/>
      </w:rPr>
    </w:lvl>
  </w:abstractNum>
  <w:abstractNum w:abstractNumId="24">
    <w:nsid w:val="675148B9"/>
    <w:multiLevelType w:val="hybridMultilevel"/>
    <w:tmpl w:val="87A43E4E"/>
    <w:lvl w:ilvl="0" w:tplc="253E0058">
      <w:start w:val="1"/>
      <w:numFmt w:val="decimal"/>
      <w:lvlText w:val="%1)"/>
      <w:lvlJc w:val="left"/>
      <w:pPr>
        <w:tabs>
          <w:tab w:val="num" w:pos="1080"/>
        </w:tabs>
        <w:ind w:left="1080" w:hanging="360"/>
      </w:pPr>
      <w:rPr>
        <w:rFonts w:cs="Times New Roman" w:hint="default"/>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25">
    <w:nsid w:val="695E005A"/>
    <w:multiLevelType w:val="multilevel"/>
    <w:tmpl w:val="0415001D"/>
    <w:name w:val="WW8Num81232"/>
    <w:styleLink w:val="Styl1"/>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71410D8E"/>
    <w:multiLevelType w:val="hybridMultilevel"/>
    <w:tmpl w:val="79EA9BFC"/>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nsid w:val="73566B3D"/>
    <w:multiLevelType w:val="hybridMultilevel"/>
    <w:tmpl w:val="A206446A"/>
    <w:lvl w:ilvl="0" w:tplc="0415000F">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8">
    <w:nsid w:val="774D0F8F"/>
    <w:multiLevelType w:val="multilevel"/>
    <w:tmpl w:val="48520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3"/>
  </w:num>
  <w:num w:numId="2">
    <w:abstractNumId w:val="25"/>
  </w:num>
  <w:num w:numId="3">
    <w:abstractNumId w:val="3"/>
  </w:num>
  <w:num w:numId="4">
    <w:abstractNumId w:val="3"/>
  </w:num>
  <w:num w:numId="5">
    <w:abstractNumId w:val="24"/>
  </w:num>
  <w:num w:numId="6">
    <w:abstractNumId w:val="20"/>
  </w:num>
  <w:num w:numId="7">
    <w:abstractNumId w:val="12"/>
  </w:num>
  <w:num w:numId="8">
    <w:abstractNumId w:val="9"/>
  </w:num>
  <w:num w:numId="9">
    <w:abstractNumId w:val="14"/>
  </w:num>
  <w:num w:numId="10">
    <w:abstractNumId w:val="22"/>
  </w:num>
  <w:num w:numId="11">
    <w:abstractNumId w:val="13"/>
  </w:num>
  <w:num w:numId="12">
    <w:abstractNumId w:val="26"/>
  </w:num>
  <w:num w:numId="13">
    <w:abstractNumId w:val="16"/>
  </w:num>
  <w:num w:numId="14">
    <w:abstractNumId w:val="4"/>
  </w:num>
  <w:num w:numId="15">
    <w:abstractNumId w:val="10"/>
  </w:num>
  <w:num w:numId="16">
    <w:abstractNumId w:val="28"/>
  </w:num>
  <w:num w:numId="17">
    <w:abstractNumId w:val="15"/>
  </w:num>
  <w:num w:numId="18">
    <w:abstractNumId w:val="18"/>
  </w:num>
  <w:num w:numId="19">
    <w:abstractNumId w:val="6"/>
  </w:num>
  <w:num w:numId="20">
    <w:abstractNumId w:val="5"/>
  </w:num>
  <w:num w:numId="21">
    <w:abstractNumId w:val="21"/>
  </w:num>
  <w:num w:numId="22">
    <w:abstractNumId w:val="2"/>
  </w:num>
  <w:num w:numId="23">
    <w:abstractNumId w:val="7"/>
  </w:num>
  <w:num w:numId="24">
    <w:abstractNumId w:val="27"/>
  </w:num>
  <w:num w:numId="25">
    <w:abstractNumId w:val="11"/>
  </w:num>
  <w:numIdMacAtCleanup w:val="2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stylePaneFormatFilter w:val="3F01"/>
  <w:defaultTabStop w:val="709"/>
  <w:hyphenationZone w:val="425"/>
  <w:noPunctuationKerning/>
  <w:characterSpacingControl w:val="doNotCompress"/>
  <w:footnotePr>
    <w:footnote w:id="-1"/>
    <w:footnote w:id="0"/>
  </w:footnotePr>
  <w:endnotePr>
    <w:endnote w:id="-1"/>
    <w:endnote w:id="0"/>
  </w:endnotePr>
  <w:compat/>
  <w:rsids>
    <w:rsidRoot w:val="00876EE8"/>
    <w:rsid w:val="00000F36"/>
    <w:rsid w:val="00001FC4"/>
    <w:rsid w:val="00002747"/>
    <w:rsid w:val="000042ED"/>
    <w:rsid w:val="00006A6C"/>
    <w:rsid w:val="000076A4"/>
    <w:rsid w:val="00011F2F"/>
    <w:rsid w:val="000121BC"/>
    <w:rsid w:val="00012A29"/>
    <w:rsid w:val="00014722"/>
    <w:rsid w:val="00015005"/>
    <w:rsid w:val="00016BE7"/>
    <w:rsid w:val="00016E53"/>
    <w:rsid w:val="0001772E"/>
    <w:rsid w:val="00017CA3"/>
    <w:rsid w:val="00020225"/>
    <w:rsid w:val="00021586"/>
    <w:rsid w:val="00021926"/>
    <w:rsid w:val="0002368A"/>
    <w:rsid w:val="00023EF1"/>
    <w:rsid w:val="0002566D"/>
    <w:rsid w:val="00027CC8"/>
    <w:rsid w:val="000315CE"/>
    <w:rsid w:val="00032F4C"/>
    <w:rsid w:val="0003308C"/>
    <w:rsid w:val="00035691"/>
    <w:rsid w:val="00035DD4"/>
    <w:rsid w:val="000420C1"/>
    <w:rsid w:val="000424F0"/>
    <w:rsid w:val="00043749"/>
    <w:rsid w:val="00043BBD"/>
    <w:rsid w:val="00045422"/>
    <w:rsid w:val="000467B3"/>
    <w:rsid w:val="0005340D"/>
    <w:rsid w:val="00061697"/>
    <w:rsid w:val="00061EFD"/>
    <w:rsid w:val="00064340"/>
    <w:rsid w:val="00064A65"/>
    <w:rsid w:val="00074098"/>
    <w:rsid w:val="000751BF"/>
    <w:rsid w:val="00075D19"/>
    <w:rsid w:val="00075F6D"/>
    <w:rsid w:val="00076D37"/>
    <w:rsid w:val="00080669"/>
    <w:rsid w:val="00080B62"/>
    <w:rsid w:val="00082B11"/>
    <w:rsid w:val="00087E6B"/>
    <w:rsid w:val="0009056A"/>
    <w:rsid w:val="00090F1E"/>
    <w:rsid w:val="000919C2"/>
    <w:rsid w:val="00092E45"/>
    <w:rsid w:val="000940AB"/>
    <w:rsid w:val="00094F94"/>
    <w:rsid w:val="00096375"/>
    <w:rsid w:val="000A0D73"/>
    <w:rsid w:val="000A0D93"/>
    <w:rsid w:val="000A1D7A"/>
    <w:rsid w:val="000A470C"/>
    <w:rsid w:val="000A70ED"/>
    <w:rsid w:val="000A729F"/>
    <w:rsid w:val="000A7799"/>
    <w:rsid w:val="000B0D7E"/>
    <w:rsid w:val="000B0EDF"/>
    <w:rsid w:val="000B1693"/>
    <w:rsid w:val="000B1901"/>
    <w:rsid w:val="000B2480"/>
    <w:rsid w:val="000B6977"/>
    <w:rsid w:val="000B7805"/>
    <w:rsid w:val="000C372F"/>
    <w:rsid w:val="000C3A3A"/>
    <w:rsid w:val="000D0362"/>
    <w:rsid w:val="000D3148"/>
    <w:rsid w:val="000D3C46"/>
    <w:rsid w:val="000E081B"/>
    <w:rsid w:val="000E0B99"/>
    <w:rsid w:val="000E2F68"/>
    <w:rsid w:val="000E2FDF"/>
    <w:rsid w:val="000F10A6"/>
    <w:rsid w:val="000F1270"/>
    <w:rsid w:val="000F1F2D"/>
    <w:rsid w:val="000F32B8"/>
    <w:rsid w:val="000F3444"/>
    <w:rsid w:val="000F43C2"/>
    <w:rsid w:val="000F4C26"/>
    <w:rsid w:val="000F5956"/>
    <w:rsid w:val="000F7BB4"/>
    <w:rsid w:val="00102563"/>
    <w:rsid w:val="0010658C"/>
    <w:rsid w:val="0010667B"/>
    <w:rsid w:val="00107B73"/>
    <w:rsid w:val="001112F3"/>
    <w:rsid w:val="00111744"/>
    <w:rsid w:val="0011388C"/>
    <w:rsid w:val="00113957"/>
    <w:rsid w:val="00113DC9"/>
    <w:rsid w:val="00114427"/>
    <w:rsid w:val="001218BA"/>
    <w:rsid w:val="00121DAE"/>
    <w:rsid w:val="00121E5C"/>
    <w:rsid w:val="001220BB"/>
    <w:rsid w:val="00122974"/>
    <w:rsid w:val="00123ADC"/>
    <w:rsid w:val="00123C50"/>
    <w:rsid w:val="001247CF"/>
    <w:rsid w:val="00125D01"/>
    <w:rsid w:val="00126336"/>
    <w:rsid w:val="00126C17"/>
    <w:rsid w:val="001278D0"/>
    <w:rsid w:val="00127BDE"/>
    <w:rsid w:val="00131BA2"/>
    <w:rsid w:val="00132437"/>
    <w:rsid w:val="00134485"/>
    <w:rsid w:val="00134E80"/>
    <w:rsid w:val="001373E4"/>
    <w:rsid w:val="00137A9F"/>
    <w:rsid w:val="00141CC1"/>
    <w:rsid w:val="00142785"/>
    <w:rsid w:val="00146925"/>
    <w:rsid w:val="00146C5D"/>
    <w:rsid w:val="001515C4"/>
    <w:rsid w:val="00155BA5"/>
    <w:rsid w:val="00162D0C"/>
    <w:rsid w:val="0016447B"/>
    <w:rsid w:val="00165659"/>
    <w:rsid w:val="00165751"/>
    <w:rsid w:val="00165AEC"/>
    <w:rsid w:val="00165BF2"/>
    <w:rsid w:val="001660E3"/>
    <w:rsid w:val="00166380"/>
    <w:rsid w:val="001701D4"/>
    <w:rsid w:val="00170539"/>
    <w:rsid w:val="0017059C"/>
    <w:rsid w:val="001706A6"/>
    <w:rsid w:val="00175A45"/>
    <w:rsid w:val="00176FB3"/>
    <w:rsid w:val="00181C5F"/>
    <w:rsid w:val="0018201D"/>
    <w:rsid w:val="00184E0C"/>
    <w:rsid w:val="00190914"/>
    <w:rsid w:val="00190F7E"/>
    <w:rsid w:val="00192779"/>
    <w:rsid w:val="0019349B"/>
    <w:rsid w:val="0019376D"/>
    <w:rsid w:val="00195CB0"/>
    <w:rsid w:val="00196014"/>
    <w:rsid w:val="00196FD7"/>
    <w:rsid w:val="001A08B6"/>
    <w:rsid w:val="001A1E10"/>
    <w:rsid w:val="001A2145"/>
    <w:rsid w:val="001A21AB"/>
    <w:rsid w:val="001A3AD2"/>
    <w:rsid w:val="001A78B1"/>
    <w:rsid w:val="001B4C5E"/>
    <w:rsid w:val="001B5983"/>
    <w:rsid w:val="001B5D6E"/>
    <w:rsid w:val="001B6600"/>
    <w:rsid w:val="001B6802"/>
    <w:rsid w:val="001C1F82"/>
    <w:rsid w:val="001C3A59"/>
    <w:rsid w:val="001C3E29"/>
    <w:rsid w:val="001C4DEB"/>
    <w:rsid w:val="001C5167"/>
    <w:rsid w:val="001C69E4"/>
    <w:rsid w:val="001C7DF1"/>
    <w:rsid w:val="001D072F"/>
    <w:rsid w:val="001D19F0"/>
    <w:rsid w:val="001D1B3D"/>
    <w:rsid w:val="001D2472"/>
    <w:rsid w:val="001D4547"/>
    <w:rsid w:val="001D4F3A"/>
    <w:rsid w:val="001D4F59"/>
    <w:rsid w:val="001D6F00"/>
    <w:rsid w:val="001D7A3F"/>
    <w:rsid w:val="001E31CA"/>
    <w:rsid w:val="001E3FBD"/>
    <w:rsid w:val="001E61EE"/>
    <w:rsid w:val="001E77DD"/>
    <w:rsid w:val="001E7B5A"/>
    <w:rsid w:val="001F0585"/>
    <w:rsid w:val="001F0956"/>
    <w:rsid w:val="001F2D7C"/>
    <w:rsid w:val="001F60DE"/>
    <w:rsid w:val="001F6860"/>
    <w:rsid w:val="001F71C6"/>
    <w:rsid w:val="00202D33"/>
    <w:rsid w:val="00203233"/>
    <w:rsid w:val="002033F8"/>
    <w:rsid w:val="00203DFD"/>
    <w:rsid w:val="00204729"/>
    <w:rsid w:val="002072D8"/>
    <w:rsid w:val="00212D1F"/>
    <w:rsid w:val="002131E0"/>
    <w:rsid w:val="00213D7B"/>
    <w:rsid w:val="00216835"/>
    <w:rsid w:val="00221905"/>
    <w:rsid w:val="00221F97"/>
    <w:rsid w:val="00222F19"/>
    <w:rsid w:val="0022411C"/>
    <w:rsid w:val="002242FB"/>
    <w:rsid w:val="00225DF3"/>
    <w:rsid w:val="00230383"/>
    <w:rsid w:val="00230E82"/>
    <w:rsid w:val="00234EF7"/>
    <w:rsid w:val="002358A5"/>
    <w:rsid w:val="00235B36"/>
    <w:rsid w:val="0023625E"/>
    <w:rsid w:val="0023656F"/>
    <w:rsid w:val="00240A0F"/>
    <w:rsid w:val="002421E4"/>
    <w:rsid w:val="00243FCB"/>
    <w:rsid w:val="00246156"/>
    <w:rsid w:val="00246C7C"/>
    <w:rsid w:val="002478ED"/>
    <w:rsid w:val="002500A4"/>
    <w:rsid w:val="0025211D"/>
    <w:rsid w:val="0025270B"/>
    <w:rsid w:val="0025799F"/>
    <w:rsid w:val="00261C11"/>
    <w:rsid w:val="002659DA"/>
    <w:rsid w:val="00265EC5"/>
    <w:rsid w:val="00271659"/>
    <w:rsid w:val="00271A85"/>
    <w:rsid w:val="00272C8A"/>
    <w:rsid w:val="002738A6"/>
    <w:rsid w:val="0027390F"/>
    <w:rsid w:val="00274134"/>
    <w:rsid w:val="00274B07"/>
    <w:rsid w:val="002756B6"/>
    <w:rsid w:val="0027584B"/>
    <w:rsid w:val="00275BAA"/>
    <w:rsid w:val="00275DA4"/>
    <w:rsid w:val="00276D9D"/>
    <w:rsid w:val="00280328"/>
    <w:rsid w:val="00280D57"/>
    <w:rsid w:val="0028129B"/>
    <w:rsid w:val="002818A5"/>
    <w:rsid w:val="00282DD2"/>
    <w:rsid w:val="002830F0"/>
    <w:rsid w:val="00284308"/>
    <w:rsid w:val="00285A12"/>
    <w:rsid w:val="00286834"/>
    <w:rsid w:val="00286B79"/>
    <w:rsid w:val="00286D13"/>
    <w:rsid w:val="00286D97"/>
    <w:rsid w:val="00287A2C"/>
    <w:rsid w:val="00290462"/>
    <w:rsid w:val="00290584"/>
    <w:rsid w:val="00293334"/>
    <w:rsid w:val="00294151"/>
    <w:rsid w:val="00295270"/>
    <w:rsid w:val="00295D7A"/>
    <w:rsid w:val="00296ABD"/>
    <w:rsid w:val="00296F65"/>
    <w:rsid w:val="002A6D83"/>
    <w:rsid w:val="002B181D"/>
    <w:rsid w:val="002B2B58"/>
    <w:rsid w:val="002B32D9"/>
    <w:rsid w:val="002B462D"/>
    <w:rsid w:val="002B4B63"/>
    <w:rsid w:val="002B5D47"/>
    <w:rsid w:val="002C0048"/>
    <w:rsid w:val="002C1500"/>
    <w:rsid w:val="002C2150"/>
    <w:rsid w:val="002C40F0"/>
    <w:rsid w:val="002C495C"/>
    <w:rsid w:val="002C5ECD"/>
    <w:rsid w:val="002C638C"/>
    <w:rsid w:val="002C67E8"/>
    <w:rsid w:val="002D0438"/>
    <w:rsid w:val="002D0536"/>
    <w:rsid w:val="002D0E63"/>
    <w:rsid w:val="002D32AB"/>
    <w:rsid w:val="002D4593"/>
    <w:rsid w:val="002D5224"/>
    <w:rsid w:val="002D6690"/>
    <w:rsid w:val="002E0800"/>
    <w:rsid w:val="002E0911"/>
    <w:rsid w:val="002E1A69"/>
    <w:rsid w:val="002E6381"/>
    <w:rsid w:val="002F3D1D"/>
    <w:rsid w:val="002F506C"/>
    <w:rsid w:val="002F5870"/>
    <w:rsid w:val="002F7475"/>
    <w:rsid w:val="00301B7B"/>
    <w:rsid w:val="00302216"/>
    <w:rsid w:val="00302326"/>
    <w:rsid w:val="003029FD"/>
    <w:rsid w:val="003052F0"/>
    <w:rsid w:val="0030732D"/>
    <w:rsid w:val="003109E9"/>
    <w:rsid w:val="003126CC"/>
    <w:rsid w:val="003153B7"/>
    <w:rsid w:val="003153D3"/>
    <w:rsid w:val="00316DB7"/>
    <w:rsid w:val="00324A14"/>
    <w:rsid w:val="00324D06"/>
    <w:rsid w:val="003260C7"/>
    <w:rsid w:val="003279BD"/>
    <w:rsid w:val="003323EF"/>
    <w:rsid w:val="00333071"/>
    <w:rsid w:val="00335403"/>
    <w:rsid w:val="0033697E"/>
    <w:rsid w:val="00336A62"/>
    <w:rsid w:val="003403D3"/>
    <w:rsid w:val="00344E30"/>
    <w:rsid w:val="00344E60"/>
    <w:rsid w:val="00345466"/>
    <w:rsid w:val="0034552B"/>
    <w:rsid w:val="0034591E"/>
    <w:rsid w:val="00345F5F"/>
    <w:rsid w:val="00345F9B"/>
    <w:rsid w:val="00346E56"/>
    <w:rsid w:val="00350154"/>
    <w:rsid w:val="00350764"/>
    <w:rsid w:val="00350B90"/>
    <w:rsid w:val="0035137B"/>
    <w:rsid w:val="00351D8B"/>
    <w:rsid w:val="003527BA"/>
    <w:rsid w:val="00352DC8"/>
    <w:rsid w:val="00355A43"/>
    <w:rsid w:val="003565CD"/>
    <w:rsid w:val="00357888"/>
    <w:rsid w:val="00360392"/>
    <w:rsid w:val="00360545"/>
    <w:rsid w:val="00365C67"/>
    <w:rsid w:val="00367862"/>
    <w:rsid w:val="003710F3"/>
    <w:rsid w:val="00371769"/>
    <w:rsid w:val="003717FA"/>
    <w:rsid w:val="00373294"/>
    <w:rsid w:val="00373B31"/>
    <w:rsid w:val="00374C1B"/>
    <w:rsid w:val="00374E0F"/>
    <w:rsid w:val="00377B3A"/>
    <w:rsid w:val="00380093"/>
    <w:rsid w:val="00381E33"/>
    <w:rsid w:val="00383E25"/>
    <w:rsid w:val="00385D6E"/>
    <w:rsid w:val="00387F9A"/>
    <w:rsid w:val="003941B1"/>
    <w:rsid w:val="00394356"/>
    <w:rsid w:val="00394DD2"/>
    <w:rsid w:val="003967AB"/>
    <w:rsid w:val="003A37AA"/>
    <w:rsid w:val="003A4245"/>
    <w:rsid w:val="003A62E4"/>
    <w:rsid w:val="003A670D"/>
    <w:rsid w:val="003A6A4E"/>
    <w:rsid w:val="003A6CB6"/>
    <w:rsid w:val="003A7647"/>
    <w:rsid w:val="003B052D"/>
    <w:rsid w:val="003B2375"/>
    <w:rsid w:val="003B3C27"/>
    <w:rsid w:val="003B4F17"/>
    <w:rsid w:val="003B5A8B"/>
    <w:rsid w:val="003B7AD7"/>
    <w:rsid w:val="003C1A16"/>
    <w:rsid w:val="003C358A"/>
    <w:rsid w:val="003C4B83"/>
    <w:rsid w:val="003C5144"/>
    <w:rsid w:val="003C77E4"/>
    <w:rsid w:val="003D045A"/>
    <w:rsid w:val="003D127F"/>
    <w:rsid w:val="003D273F"/>
    <w:rsid w:val="003D4D52"/>
    <w:rsid w:val="003D62F4"/>
    <w:rsid w:val="003D6732"/>
    <w:rsid w:val="003D68B8"/>
    <w:rsid w:val="003E2BB0"/>
    <w:rsid w:val="003E47D9"/>
    <w:rsid w:val="003E5B49"/>
    <w:rsid w:val="003E6EE9"/>
    <w:rsid w:val="003E7ED7"/>
    <w:rsid w:val="003F0E91"/>
    <w:rsid w:val="003F1D6F"/>
    <w:rsid w:val="003F3E2E"/>
    <w:rsid w:val="003F73CA"/>
    <w:rsid w:val="004000F7"/>
    <w:rsid w:val="0040076B"/>
    <w:rsid w:val="004031D9"/>
    <w:rsid w:val="00404FA1"/>
    <w:rsid w:val="004062B8"/>
    <w:rsid w:val="00412150"/>
    <w:rsid w:val="004121AB"/>
    <w:rsid w:val="00412701"/>
    <w:rsid w:val="00412A2F"/>
    <w:rsid w:val="004137BC"/>
    <w:rsid w:val="00415109"/>
    <w:rsid w:val="00415242"/>
    <w:rsid w:val="00420ACB"/>
    <w:rsid w:val="00421692"/>
    <w:rsid w:val="00421837"/>
    <w:rsid w:val="00421953"/>
    <w:rsid w:val="004240B5"/>
    <w:rsid w:val="00424FFD"/>
    <w:rsid w:val="004304A7"/>
    <w:rsid w:val="00431D67"/>
    <w:rsid w:val="0043384A"/>
    <w:rsid w:val="00433A80"/>
    <w:rsid w:val="00434BED"/>
    <w:rsid w:val="00434F4B"/>
    <w:rsid w:val="00436E42"/>
    <w:rsid w:val="00437C05"/>
    <w:rsid w:val="00440E1A"/>
    <w:rsid w:val="00443F4A"/>
    <w:rsid w:val="00444244"/>
    <w:rsid w:val="00445245"/>
    <w:rsid w:val="00445372"/>
    <w:rsid w:val="004471EF"/>
    <w:rsid w:val="004500DD"/>
    <w:rsid w:val="00451487"/>
    <w:rsid w:val="004535E6"/>
    <w:rsid w:val="00456896"/>
    <w:rsid w:val="004573BF"/>
    <w:rsid w:val="00457556"/>
    <w:rsid w:val="0046133B"/>
    <w:rsid w:val="004613A6"/>
    <w:rsid w:val="004644A5"/>
    <w:rsid w:val="004662E5"/>
    <w:rsid w:val="004705BF"/>
    <w:rsid w:val="00470C3F"/>
    <w:rsid w:val="004715C7"/>
    <w:rsid w:val="00472A0B"/>
    <w:rsid w:val="00472D33"/>
    <w:rsid w:val="004735F3"/>
    <w:rsid w:val="004774DD"/>
    <w:rsid w:val="0048073D"/>
    <w:rsid w:val="00482FBA"/>
    <w:rsid w:val="004867CE"/>
    <w:rsid w:val="00486A01"/>
    <w:rsid w:val="00490137"/>
    <w:rsid w:val="00491F85"/>
    <w:rsid w:val="00492CD0"/>
    <w:rsid w:val="0049334C"/>
    <w:rsid w:val="00493825"/>
    <w:rsid w:val="00494F87"/>
    <w:rsid w:val="0049700E"/>
    <w:rsid w:val="004975FC"/>
    <w:rsid w:val="004A050D"/>
    <w:rsid w:val="004A13E5"/>
    <w:rsid w:val="004A66C5"/>
    <w:rsid w:val="004A7C66"/>
    <w:rsid w:val="004B007E"/>
    <w:rsid w:val="004B070C"/>
    <w:rsid w:val="004B137D"/>
    <w:rsid w:val="004B19AE"/>
    <w:rsid w:val="004B1EE6"/>
    <w:rsid w:val="004B36D0"/>
    <w:rsid w:val="004B5413"/>
    <w:rsid w:val="004B66C5"/>
    <w:rsid w:val="004B6AB6"/>
    <w:rsid w:val="004C0D7C"/>
    <w:rsid w:val="004C2EBB"/>
    <w:rsid w:val="004C4409"/>
    <w:rsid w:val="004C500C"/>
    <w:rsid w:val="004C51FD"/>
    <w:rsid w:val="004C6468"/>
    <w:rsid w:val="004C6F01"/>
    <w:rsid w:val="004D0BF6"/>
    <w:rsid w:val="004D1B56"/>
    <w:rsid w:val="004D5C6B"/>
    <w:rsid w:val="004D5F4E"/>
    <w:rsid w:val="004D7916"/>
    <w:rsid w:val="004E12D9"/>
    <w:rsid w:val="004E281E"/>
    <w:rsid w:val="004E2EF5"/>
    <w:rsid w:val="004E65A2"/>
    <w:rsid w:val="004E7C17"/>
    <w:rsid w:val="004F0054"/>
    <w:rsid w:val="004F0E88"/>
    <w:rsid w:val="004F14BB"/>
    <w:rsid w:val="004F21A4"/>
    <w:rsid w:val="004F2C42"/>
    <w:rsid w:val="004F562D"/>
    <w:rsid w:val="004F6CF4"/>
    <w:rsid w:val="00501098"/>
    <w:rsid w:val="00503077"/>
    <w:rsid w:val="0050353E"/>
    <w:rsid w:val="00505B12"/>
    <w:rsid w:val="005063AF"/>
    <w:rsid w:val="0050741F"/>
    <w:rsid w:val="005124C7"/>
    <w:rsid w:val="00513C55"/>
    <w:rsid w:val="005158C0"/>
    <w:rsid w:val="00515B99"/>
    <w:rsid w:val="00516835"/>
    <w:rsid w:val="005204DB"/>
    <w:rsid w:val="005221D3"/>
    <w:rsid w:val="00522D52"/>
    <w:rsid w:val="005230E6"/>
    <w:rsid w:val="00523517"/>
    <w:rsid w:val="0052358C"/>
    <w:rsid w:val="005238A1"/>
    <w:rsid w:val="00523B5C"/>
    <w:rsid w:val="0052654C"/>
    <w:rsid w:val="005278B9"/>
    <w:rsid w:val="0053027A"/>
    <w:rsid w:val="0053116C"/>
    <w:rsid w:val="005333C2"/>
    <w:rsid w:val="00534987"/>
    <w:rsid w:val="005355D3"/>
    <w:rsid w:val="005372C5"/>
    <w:rsid w:val="00537380"/>
    <w:rsid w:val="00540E41"/>
    <w:rsid w:val="0054276A"/>
    <w:rsid w:val="00545BA0"/>
    <w:rsid w:val="0054682A"/>
    <w:rsid w:val="00547C99"/>
    <w:rsid w:val="005520E6"/>
    <w:rsid w:val="005562EA"/>
    <w:rsid w:val="005566A1"/>
    <w:rsid w:val="0055721A"/>
    <w:rsid w:val="00557865"/>
    <w:rsid w:val="00561757"/>
    <w:rsid w:val="00561809"/>
    <w:rsid w:val="00561E37"/>
    <w:rsid w:val="00563680"/>
    <w:rsid w:val="005654F5"/>
    <w:rsid w:val="005654FF"/>
    <w:rsid w:val="00567AD5"/>
    <w:rsid w:val="00567B38"/>
    <w:rsid w:val="00570BEC"/>
    <w:rsid w:val="00571C64"/>
    <w:rsid w:val="005721B2"/>
    <w:rsid w:val="00572FC2"/>
    <w:rsid w:val="0057373F"/>
    <w:rsid w:val="0057391D"/>
    <w:rsid w:val="0057513B"/>
    <w:rsid w:val="00575762"/>
    <w:rsid w:val="005765FA"/>
    <w:rsid w:val="00576822"/>
    <w:rsid w:val="00576993"/>
    <w:rsid w:val="00577CD5"/>
    <w:rsid w:val="00580015"/>
    <w:rsid w:val="0058371F"/>
    <w:rsid w:val="0058730E"/>
    <w:rsid w:val="00590763"/>
    <w:rsid w:val="00590E94"/>
    <w:rsid w:val="00591A78"/>
    <w:rsid w:val="005922A8"/>
    <w:rsid w:val="005923C7"/>
    <w:rsid w:val="005935E2"/>
    <w:rsid w:val="00593C28"/>
    <w:rsid w:val="00594064"/>
    <w:rsid w:val="00594109"/>
    <w:rsid w:val="005942DD"/>
    <w:rsid w:val="005A12A1"/>
    <w:rsid w:val="005A3190"/>
    <w:rsid w:val="005A4F7B"/>
    <w:rsid w:val="005A5D5E"/>
    <w:rsid w:val="005A69E1"/>
    <w:rsid w:val="005A7F92"/>
    <w:rsid w:val="005B04B4"/>
    <w:rsid w:val="005B11F4"/>
    <w:rsid w:val="005C203B"/>
    <w:rsid w:val="005C2199"/>
    <w:rsid w:val="005C2963"/>
    <w:rsid w:val="005C2D46"/>
    <w:rsid w:val="005C3235"/>
    <w:rsid w:val="005D18E3"/>
    <w:rsid w:val="005D1BD8"/>
    <w:rsid w:val="005D1C91"/>
    <w:rsid w:val="005D32DB"/>
    <w:rsid w:val="005D4257"/>
    <w:rsid w:val="005D67E5"/>
    <w:rsid w:val="005E13F4"/>
    <w:rsid w:val="005E284E"/>
    <w:rsid w:val="005E3CC2"/>
    <w:rsid w:val="005E3FC2"/>
    <w:rsid w:val="005E4842"/>
    <w:rsid w:val="005E566D"/>
    <w:rsid w:val="005F0A2E"/>
    <w:rsid w:val="005F0B48"/>
    <w:rsid w:val="005F0CA0"/>
    <w:rsid w:val="005F1BB6"/>
    <w:rsid w:val="005F2382"/>
    <w:rsid w:val="005F24BD"/>
    <w:rsid w:val="005F3EC6"/>
    <w:rsid w:val="005F5BB3"/>
    <w:rsid w:val="00600B58"/>
    <w:rsid w:val="00601A39"/>
    <w:rsid w:val="006028DC"/>
    <w:rsid w:val="006110F5"/>
    <w:rsid w:val="006119AE"/>
    <w:rsid w:val="00611AF9"/>
    <w:rsid w:val="006124A6"/>
    <w:rsid w:val="00614855"/>
    <w:rsid w:val="0061690B"/>
    <w:rsid w:val="006177EA"/>
    <w:rsid w:val="00623FC9"/>
    <w:rsid w:val="006268FF"/>
    <w:rsid w:val="00627005"/>
    <w:rsid w:val="0063093B"/>
    <w:rsid w:val="0063173B"/>
    <w:rsid w:val="00633D38"/>
    <w:rsid w:val="006359E1"/>
    <w:rsid w:val="00635D22"/>
    <w:rsid w:val="00637C52"/>
    <w:rsid w:val="006413D5"/>
    <w:rsid w:val="00641959"/>
    <w:rsid w:val="00641CF8"/>
    <w:rsid w:val="00642205"/>
    <w:rsid w:val="00643895"/>
    <w:rsid w:val="00644153"/>
    <w:rsid w:val="00645476"/>
    <w:rsid w:val="00650D7C"/>
    <w:rsid w:val="00654642"/>
    <w:rsid w:val="00654689"/>
    <w:rsid w:val="00655F58"/>
    <w:rsid w:val="00656432"/>
    <w:rsid w:val="00656FB9"/>
    <w:rsid w:val="00660583"/>
    <w:rsid w:val="00660F6E"/>
    <w:rsid w:val="00661117"/>
    <w:rsid w:val="00661690"/>
    <w:rsid w:val="00662867"/>
    <w:rsid w:val="00664F92"/>
    <w:rsid w:val="0066639F"/>
    <w:rsid w:val="00666D72"/>
    <w:rsid w:val="006715E8"/>
    <w:rsid w:val="00672867"/>
    <w:rsid w:val="006749B9"/>
    <w:rsid w:val="00677D70"/>
    <w:rsid w:val="0068022E"/>
    <w:rsid w:val="00681578"/>
    <w:rsid w:val="006819D2"/>
    <w:rsid w:val="00683AB9"/>
    <w:rsid w:val="006921D1"/>
    <w:rsid w:val="0069289B"/>
    <w:rsid w:val="00692B57"/>
    <w:rsid w:val="00692F78"/>
    <w:rsid w:val="006935CF"/>
    <w:rsid w:val="006935E0"/>
    <w:rsid w:val="006958CB"/>
    <w:rsid w:val="00695B21"/>
    <w:rsid w:val="00697AB2"/>
    <w:rsid w:val="006A010C"/>
    <w:rsid w:val="006A344D"/>
    <w:rsid w:val="006A5DD6"/>
    <w:rsid w:val="006A61AA"/>
    <w:rsid w:val="006A6C47"/>
    <w:rsid w:val="006B12BD"/>
    <w:rsid w:val="006B3BC3"/>
    <w:rsid w:val="006B5508"/>
    <w:rsid w:val="006B762E"/>
    <w:rsid w:val="006C0724"/>
    <w:rsid w:val="006C251B"/>
    <w:rsid w:val="006C2D77"/>
    <w:rsid w:val="006C45BB"/>
    <w:rsid w:val="006C480D"/>
    <w:rsid w:val="006C6244"/>
    <w:rsid w:val="006C777A"/>
    <w:rsid w:val="006D0CA3"/>
    <w:rsid w:val="006D4B70"/>
    <w:rsid w:val="006D5845"/>
    <w:rsid w:val="006D7444"/>
    <w:rsid w:val="006D7838"/>
    <w:rsid w:val="006E254A"/>
    <w:rsid w:val="006E3862"/>
    <w:rsid w:val="006E4968"/>
    <w:rsid w:val="006E4FEE"/>
    <w:rsid w:val="006E54A9"/>
    <w:rsid w:val="006E5F86"/>
    <w:rsid w:val="006E6D05"/>
    <w:rsid w:val="006F04D5"/>
    <w:rsid w:val="006F5375"/>
    <w:rsid w:val="006F67D3"/>
    <w:rsid w:val="006F72AB"/>
    <w:rsid w:val="00701382"/>
    <w:rsid w:val="0070147D"/>
    <w:rsid w:val="00703A50"/>
    <w:rsid w:val="007045B5"/>
    <w:rsid w:val="007072C7"/>
    <w:rsid w:val="007144A0"/>
    <w:rsid w:val="00714FB0"/>
    <w:rsid w:val="00715C07"/>
    <w:rsid w:val="00717505"/>
    <w:rsid w:val="0072322A"/>
    <w:rsid w:val="007242BE"/>
    <w:rsid w:val="007264B3"/>
    <w:rsid w:val="0072705B"/>
    <w:rsid w:val="007271F6"/>
    <w:rsid w:val="00727384"/>
    <w:rsid w:val="00730AD7"/>
    <w:rsid w:val="00730E20"/>
    <w:rsid w:val="00735FD8"/>
    <w:rsid w:val="0074143A"/>
    <w:rsid w:val="00741D00"/>
    <w:rsid w:val="007455F0"/>
    <w:rsid w:val="00745721"/>
    <w:rsid w:val="00746FF7"/>
    <w:rsid w:val="00747145"/>
    <w:rsid w:val="00747843"/>
    <w:rsid w:val="00750E25"/>
    <w:rsid w:val="00753CCE"/>
    <w:rsid w:val="00753CDC"/>
    <w:rsid w:val="007544CD"/>
    <w:rsid w:val="00754696"/>
    <w:rsid w:val="00757B55"/>
    <w:rsid w:val="007603BD"/>
    <w:rsid w:val="00760C9B"/>
    <w:rsid w:val="00761557"/>
    <w:rsid w:val="007630DD"/>
    <w:rsid w:val="00763CD1"/>
    <w:rsid w:val="00765BAE"/>
    <w:rsid w:val="00770C25"/>
    <w:rsid w:val="00770D71"/>
    <w:rsid w:val="007717AF"/>
    <w:rsid w:val="007727D9"/>
    <w:rsid w:val="00773B80"/>
    <w:rsid w:val="00774020"/>
    <w:rsid w:val="00774502"/>
    <w:rsid w:val="00781455"/>
    <w:rsid w:val="0078159C"/>
    <w:rsid w:val="00783760"/>
    <w:rsid w:val="00783CF7"/>
    <w:rsid w:val="00783E2D"/>
    <w:rsid w:val="00784775"/>
    <w:rsid w:val="007879B1"/>
    <w:rsid w:val="00787BE2"/>
    <w:rsid w:val="00793333"/>
    <w:rsid w:val="0079456C"/>
    <w:rsid w:val="0079536E"/>
    <w:rsid w:val="007956DA"/>
    <w:rsid w:val="007956FD"/>
    <w:rsid w:val="00796CBA"/>
    <w:rsid w:val="007A05E8"/>
    <w:rsid w:val="007A265F"/>
    <w:rsid w:val="007A298B"/>
    <w:rsid w:val="007A34DE"/>
    <w:rsid w:val="007A447E"/>
    <w:rsid w:val="007A4DDB"/>
    <w:rsid w:val="007A6358"/>
    <w:rsid w:val="007A6416"/>
    <w:rsid w:val="007B0327"/>
    <w:rsid w:val="007B1230"/>
    <w:rsid w:val="007B33E5"/>
    <w:rsid w:val="007B36D3"/>
    <w:rsid w:val="007B64BB"/>
    <w:rsid w:val="007B693B"/>
    <w:rsid w:val="007C2771"/>
    <w:rsid w:val="007C2BD4"/>
    <w:rsid w:val="007C2BE7"/>
    <w:rsid w:val="007C31C1"/>
    <w:rsid w:val="007C53CD"/>
    <w:rsid w:val="007C5753"/>
    <w:rsid w:val="007C70BB"/>
    <w:rsid w:val="007D0762"/>
    <w:rsid w:val="007D51C5"/>
    <w:rsid w:val="007D5E40"/>
    <w:rsid w:val="007D6485"/>
    <w:rsid w:val="007E1586"/>
    <w:rsid w:val="007E5128"/>
    <w:rsid w:val="007E58DF"/>
    <w:rsid w:val="007E6783"/>
    <w:rsid w:val="007E6C99"/>
    <w:rsid w:val="007F0E9A"/>
    <w:rsid w:val="007F1B2F"/>
    <w:rsid w:val="007F1DAA"/>
    <w:rsid w:val="007F2177"/>
    <w:rsid w:val="007F220B"/>
    <w:rsid w:val="007F2AFA"/>
    <w:rsid w:val="007F3A70"/>
    <w:rsid w:val="007F46F2"/>
    <w:rsid w:val="007F4CF2"/>
    <w:rsid w:val="007F619F"/>
    <w:rsid w:val="007F7A9A"/>
    <w:rsid w:val="00801538"/>
    <w:rsid w:val="008027B0"/>
    <w:rsid w:val="00803FA6"/>
    <w:rsid w:val="0080482C"/>
    <w:rsid w:val="00806DAF"/>
    <w:rsid w:val="00810216"/>
    <w:rsid w:val="00811A06"/>
    <w:rsid w:val="00811C5D"/>
    <w:rsid w:val="00813892"/>
    <w:rsid w:val="00814BAA"/>
    <w:rsid w:val="00815977"/>
    <w:rsid w:val="00815F2F"/>
    <w:rsid w:val="00816A04"/>
    <w:rsid w:val="008171D6"/>
    <w:rsid w:val="00817F3A"/>
    <w:rsid w:val="00821321"/>
    <w:rsid w:val="0082175F"/>
    <w:rsid w:val="00821D91"/>
    <w:rsid w:val="0082201B"/>
    <w:rsid w:val="00823631"/>
    <w:rsid w:val="00823961"/>
    <w:rsid w:val="00824C10"/>
    <w:rsid w:val="00827991"/>
    <w:rsid w:val="00831B6B"/>
    <w:rsid w:val="00832D56"/>
    <w:rsid w:val="00834445"/>
    <w:rsid w:val="0083444C"/>
    <w:rsid w:val="00834486"/>
    <w:rsid w:val="00835145"/>
    <w:rsid w:val="008359C4"/>
    <w:rsid w:val="00835EB1"/>
    <w:rsid w:val="008364F1"/>
    <w:rsid w:val="00836DE5"/>
    <w:rsid w:val="008372EF"/>
    <w:rsid w:val="00840672"/>
    <w:rsid w:val="00842E2B"/>
    <w:rsid w:val="008445D1"/>
    <w:rsid w:val="00844762"/>
    <w:rsid w:val="00850BE0"/>
    <w:rsid w:val="00854728"/>
    <w:rsid w:val="00855476"/>
    <w:rsid w:val="00856F34"/>
    <w:rsid w:val="0085702B"/>
    <w:rsid w:val="00857CFD"/>
    <w:rsid w:val="0086184C"/>
    <w:rsid w:val="00864DFC"/>
    <w:rsid w:val="00866F7B"/>
    <w:rsid w:val="00867921"/>
    <w:rsid w:val="008701F7"/>
    <w:rsid w:val="008705EF"/>
    <w:rsid w:val="008710D1"/>
    <w:rsid w:val="008715D9"/>
    <w:rsid w:val="00872A78"/>
    <w:rsid w:val="0087350B"/>
    <w:rsid w:val="00874A76"/>
    <w:rsid w:val="0087625C"/>
    <w:rsid w:val="00876EE8"/>
    <w:rsid w:val="00881322"/>
    <w:rsid w:val="008816FB"/>
    <w:rsid w:val="00881861"/>
    <w:rsid w:val="0088310D"/>
    <w:rsid w:val="008831CA"/>
    <w:rsid w:val="008832A8"/>
    <w:rsid w:val="008874B8"/>
    <w:rsid w:val="008905AC"/>
    <w:rsid w:val="008905C2"/>
    <w:rsid w:val="008911B4"/>
    <w:rsid w:val="00891B0E"/>
    <w:rsid w:val="0089304C"/>
    <w:rsid w:val="00893269"/>
    <w:rsid w:val="00895C8F"/>
    <w:rsid w:val="008A12B5"/>
    <w:rsid w:val="008A14DD"/>
    <w:rsid w:val="008A2106"/>
    <w:rsid w:val="008A27F4"/>
    <w:rsid w:val="008A3115"/>
    <w:rsid w:val="008A3B26"/>
    <w:rsid w:val="008A3D75"/>
    <w:rsid w:val="008A3DD3"/>
    <w:rsid w:val="008A77B3"/>
    <w:rsid w:val="008B031D"/>
    <w:rsid w:val="008B1D1B"/>
    <w:rsid w:val="008B6DEC"/>
    <w:rsid w:val="008C02F0"/>
    <w:rsid w:val="008C0A7B"/>
    <w:rsid w:val="008C1F93"/>
    <w:rsid w:val="008C2595"/>
    <w:rsid w:val="008C387B"/>
    <w:rsid w:val="008C6653"/>
    <w:rsid w:val="008C6936"/>
    <w:rsid w:val="008C6F5A"/>
    <w:rsid w:val="008C7DB2"/>
    <w:rsid w:val="008D1F79"/>
    <w:rsid w:val="008D24A2"/>
    <w:rsid w:val="008D2B72"/>
    <w:rsid w:val="008E08AD"/>
    <w:rsid w:val="008E0F38"/>
    <w:rsid w:val="008E18D9"/>
    <w:rsid w:val="008E3632"/>
    <w:rsid w:val="008E3E84"/>
    <w:rsid w:val="008E4855"/>
    <w:rsid w:val="008E4D81"/>
    <w:rsid w:val="008E5117"/>
    <w:rsid w:val="008E526F"/>
    <w:rsid w:val="008E58E4"/>
    <w:rsid w:val="008E5AB2"/>
    <w:rsid w:val="008E69CC"/>
    <w:rsid w:val="008E70C5"/>
    <w:rsid w:val="008F1A64"/>
    <w:rsid w:val="008F3DA3"/>
    <w:rsid w:val="008F470C"/>
    <w:rsid w:val="008F5787"/>
    <w:rsid w:val="008F69D6"/>
    <w:rsid w:val="008F75B1"/>
    <w:rsid w:val="00902EE3"/>
    <w:rsid w:val="00902F13"/>
    <w:rsid w:val="0090592D"/>
    <w:rsid w:val="00907828"/>
    <w:rsid w:val="0091104D"/>
    <w:rsid w:val="0091238B"/>
    <w:rsid w:val="0091253C"/>
    <w:rsid w:val="00912AFE"/>
    <w:rsid w:val="00913344"/>
    <w:rsid w:val="0091389A"/>
    <w:rsid w:val="00913A7F"/>
    <w:rsid w:val="00920696"/>
    <w:rsid w:val="00920D60"/>
    <w:rsid w:val="00923A39"/>
    <w:rsid w:val="0092422B"/>
    <w:rsid w:val="00924EFC"/>
    <w:rsid w:val="00930189"/>
    <w:rsid w:val="009316EB"/>
    <w:rsid w:val="0093339C"/>
    <w:rsid w:val="009360B0"/>
    <w:rsid w:val="009413D7"/>
    <w:rsid w:val="00944A72"/>
    <w:rsid w:val="00944FC9"/>
    <w:rsid w:val="009465C9"/>
    <w:rsid w:val="009500A6"/>
    <w:rsid w:val="00951D58"/>
    <w:rsid w:val="009552F6"/>
    <w:rsid w:val="00955502"/>
    <w:rsid w:val="009626A6"/>
    <w:rsid w:val="009629EB"/>
    <w:rsid w:val="00962C44"/>
    <w:rsid w:val="00962CC7"/>
    <w:rsid w:val="00964694"/>
    <w:rsid w:val="009667FB"/>
    <w:rsid w:val="00967079"/>
    <w:rsid w:val="009701D6"/>
    <w:rsid w:val="00970ABF"/>
    <w:rsid w:val="00971F6E"/>
    <w:rsid w:val="009722A5"/>
    <w:rsid w:val="0097254D"/>
    <w:rsid w:val="00972580"/>
    <w:rsid w:val="0097370F"/>
    <w:rsid w:val="00973875"/>
    <w:rsid w:val="00976B37"/>
    <w:rsid w:val="0098131B"/>
    <w:rsid w:val="009829FD"/>
    <w:rsid w:val="00983667"/>
    <w:rsid w:val="00983D42"/>
    <w:rsid w:val="00984169"/>
    <w:rsid w:val="009858DE"/>
    <w:rsid w:val="009864D9"/>
    <w:rsid w:val="00986959"/>
    <w:rsid w:val="00993ABE"/>
    <w:rsid w:val="00995591"/>
    <w:rsid w:val="009974E9"/>
    <w:rsid w:val="009A0434"/>
    <w:rsid w:val="009A078E"/>
    <w:rsid w:val="009A0E44"/>
    <w:rsid w:val="009A1026"/>
    <w:rsid w:val="009A1620"/>
    <w:rsid w:val="009A21CA"/>
    <w:rsid w:val="009A2462"/>
    <w:rsid w:val="009A2DCE"/>
    <w:rsid w:val="009A4E73"/>
    <w:rsid w:val="009A6F53"/>
    <w:rsid w:val="009A7177"/>
    <w:rsid w:val="009A75DC"/>
    <w:rsid w:val="009B258D"/>
    <w:rsid w:val="009B2624"/>
    <w:rsid w:val="009B3D36"/>
    <w:rsid w:val="009B6683"/>
    <w:rsid w:val="009B6AC7"/>
    <w:rsid w:val="009B6B22"/>
    <w:rsid w:val="009B6EB2"/>
    <w:rsid w:val="009B7C55"/>
    <w:rsid w:val="009C06E2"/>
    <w:rsid w:val="009C1B6F"/>
    <w:rsid w:val="009C2EDB"/>
    <w:rsid w:val="009C31FE"/>
    <w:rsid w:val="009C545B"/>
    <w:rsid w:val="009C69F5"/>
    <w:rsid w:val="009C7158"/>
    <w:rsid w:val="009C7568"/>
    <w:rsid w:val="009D12F8"/>
    <w:rsid w:val="009D4C2D"/>
    <w:rsid w:val="009D7235"/>
    <w:rsid w:val="009E4C53"/>
    <w:rsid w:val="009E4E8F"/>
    <w:rsid w:val="009E51CE"/>
    <w:rsid w:val="009E636D"/>
    <w:rsid w:val="009E6D6C"/>
    <w:rsid w:val="009E756A"/>
    <w:rsid w:val="009F0153"/>
    <w:rsid w:val="009F12AD"/>
    <w:rsid w:val="009F4014"/>
    <w:rsid w:val="009F5E6E"/>
    <w:rsid w:val="00A07899"/>
    <w:rsid w:val="00A10C36"/>
    <w:rsid w:val="00A11AA2"/>
    <w:rsid w:val="00A11DE6"/>
    <w:rsid w:val="00A12D60"/>
    <w:rsid w:val="00A1382F"/>
    <w:rsid w:val="00A14EF9"/>
    <w:rsid w:val="00A15BA2"/>
    <w:rsid w:val="00A163E1"/>
    <w:rsid w:val="00A16725"/>
    <w:rsid w:val="00A16DE5"/>
    <w:rsid w:val="00A17870"/>
    <w:rsid w:val="00A17F2E"/>
    <w:rsid w:val="00A2124B"/>
    <w:rsid w:val="00A2268D"/>
    <w:rsid w:val="00A23D3B"/>
    <w:rsid w:val="00A245E0"/>
    <w:rsid w:val="00A24F55"/>
    <w:rsid w:val="00A26266"/>
    <w:rsid w:val="00A27DFB"/>
    <w:rsid w:val="00A3016D"/>
    <w:rsid w:val="00A30BE0"/>
    <w:rsid w:val="00A31DB5"/>
    <w:rsid w:val="00A33645"/>
    <w:rsid w:val="00A33EB3"/>
    <w:rsid w:val="00A3553F"/>
    <w:rsid w:val="00A359C2"/>
    <w:rsid w:val="00A36D23"/>
    <w:rsid w:val="00A36E4D"/>
    <w:rsid w:val="00A41518"/>
    <w:rsid w:val="00A415B8"/>
    <w:rsid w:val="00A42F08"/>
    <w:rsid w:val="00A43ABF"/>
    <w:rsid w:val="00A44C24"/>
    <w:rsid w:val="00A44FEC"/>
    <w:rsid w:val="00A45273"/>
    <w:rsid w:val="00A4580C"/>
    <w:rsid w:val="00A45F79"/>
    <w:rsid w:val="00A50500"/>
    <w:rsid w:val="00A51C4B"/>
    <w:rsid w:val="00A5300E"/>
    <w:rsid w:val="00A53A9F"/>
    <w:rsid w:val="00A5449D"/>
    <w:rsid w:val="00A54CCD"/>
    <w:rsid w:val="00A56A2B"/>
    <w:rsid w:val="00A570FB"/>
    <w:rsid w:val="00A57395"/>
    <w:rsid w:val="00A57FD1"/>
    <w:rsid w:val="00A616EF"/>
    <w:rsid w:val="00A62369"/>
    <w:rsid w:val="00A62649"/>
    <w:rsid w:val="00A6338C"/>
    <w:rsid w:val="00A65DBB"/>
    <w:rsid w:val="00A66060"/>
    <w:rsid w:val="00A67CDE"/>
    <w:rsid w:val="00A7082A"/>
    <w:rsid w:val="00A8091B"/>
    <w:rsid w:val="00A81536"/>
    <w:rsid w:val="00A827E1"/>
    <w:rsid w:val="00A83446"/>
    <w:rsid w:val="00A83A00"/>
    <w:rsid w:val="00A861E9"/>
    <w:rsid w:val="00A87241"/>
    <w:rsid w:val="00A876DE"/>
    <w:rsid w:val="00A90120"/>
    <w:rsid w:val="00A915EC"/>
    <w:rsid w:val="00A92FA4"/>
    <w:rsid w:val="00A945AB"/>
    <w:rsid w:val="00A97022"/>
    <w:rsid w:val="00A970C0"/>
    <w:rsid w:val="00A9752F"/>
    <w:rsid w:val="00AA41AC"/>
    <w:rsid w:val="00AA66B2"/>
    <w:rsid w:val="00AB25D8"/>
    <w:rsid w:val="00AB43F3"/>
    <w:rsid w:val="00AB53DC"/>
    <w:rsid w:val="00AC068E"/>
    <w:rsid w:val="00AC18DC"/>
    <w:rsid w:val="00AC2163"/>
    <w:rsid w:val="00AC28C4"/>
    <w:rsid w:val="00AC2E0D"/>
    <w:rsid w:val="00AC435E"/>
    <w:rsid w:val="00AC5964"/>
    <w:rsid w:val="00AC66A4"/>
    <w:rsid w:val="00AC7FD0"/>
    <w:rsid w:val="00AD0500"/>
    <w:rsid w:val="00AD12F5"/>
    <w:rsid w:val="00AD2100"/>
    <w:rsid w:val="00AD2933"/>
    <w:rsid w:val="00AD3293"/>
    <w:rsid w:val="00AD378F"/>
    <w:rsid w:val="00AD3E87"/>
    <w:rsid w:val="00AD4511"/>
    <w:rsid w:val="00AD4AF5"/>
    <w:rsid w:val="00AD4E6F"/>
    <w:rsid w:val="00AD5774"/>
    <w:rsid w:val="00AD7B7A"/>
    <w:rsid w:val="00AE034A"/>
    <w:rsid w:val="00AE1D47"/>
    <w:rsid w:val="00AE286B"/>
    <w:rsid w:val="00AE3B07"/>
    <w:rsid w:val="00AE5F28"/>
    <w:rsid w:val="00AF0A0D"/>
    <w:rsid w:val="00AF0CD9"/>
    <w:rsid w:val="00AF155A"/>
    <w:rsid w:val="00AF2264"/>
    <w:rsid w:val="00AF23DA"/>
    <w:rsid w:val="00AF297F"/>
    <w:rsid w:val="00AF2F07"/>
    <w:rsid w:val="00AF3DF2"/>
    <w:rsid w:val="00AF3DF9"/>
    <w:rsid w:val="00AF4EA4"/>
    <w:rsid w:val="00AF4FC6"/>
    <w:rsid w:val="00AF5D38"/>
    <w:rsid w:val="00AF7B9A"/>
    <w:rsid w:val="00B0346A"/>
    <w:rsid w:val="00B0545B"/>
    <w:rsid w:val="00B055B8"/>
    <w:rsid w:val="00B128AB"/>
    <w:rsid w:val="00B13D02"/>
    <w:rsid w:val="00B15952"/>
    <w:rsid w:val="00B22B73"/>
    <w:rsid w:val="00B22F4B"/>
    <w:rsid w:val="00B2672D"/>
    <w:rsid w:val="00B26EEF"/>
    <w:rsid w:val="00B31F66"/>
    <w:rsid w:val="00B3222A"/>
    <w:rsid w:val="00B3288B"/>
    <w:rsid w:val="00B3322F"/>
    <w:rsid w:val="00B34ED0"/>
    <w:rsid w:val="00B36314"/>
    <w:rsid w:val="00B37186"/>
    <w:rsid w:val="00B3761C"/>
    <w:rsid w:val="00B40095"/>
    <w:rsid w:val="00B40B1D"/>
    <w:rsid w:val="00B4117C"/>
    <w:rsid w:val="00B42656"/>
    <w:rsid w:val="00B43257"/>
    <w:rsid w:val="00B47033"/>
    <w:rsid w:val="00B47843"/>
    <w:rsid w:val="00B47A05"/>
    <w:rsid w:val="00B5136E"/>
    <w:rsid w:val="00B51D57"/>
    <w:rsid w:val="00B535AE"/>
    <w:rsid w:val="00B5371F"/>
    <w:rsid w:val="00B565B1"/>
    <w:rsid w:val="00B574FB"/>
    <w:rsid w:val="00B57744"/>
    <w:rsid w:val="00B60672"/>
    <w:rsid w:val="00B60832"/>
    <w:rsid w:val="00B60DDB"/>
    <w:rsid w:val="00B61C63"/>
    <w:rsid w:val="00B64169"/>
    <w:rsid w:val="00B645F2"/>
    <w:rsid w:val="00B662C4"/>
    <w:rsid w:val="00B6668D"/>
    <w:rsid w:val="00B67B1F"/>
    <w:rsid w:val="00B70B23"/>
    <w:rsid w:val="00B71511"/>
    <w:rsid w:val="00B72685"/>
    <w:rsid w:val="00B72B64"/>
    <w:rsid w:val="00B731F9"/>
    <w:rsid w:val="00B74EFA"/>
    <w:rsid w:val="00B76182"/>
    <w:rsid w:val="00B77718"/>
    <w:rsid w:val="00B8264A"/>
    <w:rsid w:val="00B8512A"/>
    <w:rsid w:val="00B865D8"/>
    <w:rsid w:val="00B86AA8"/>
    <w:rsid w:val="00B871D3"/>
    <w:rsid w:val="00B94B7D"/>
    <w:rsid w:val="00B959C6"/>
    <w:rsid w:val="00B96957"/>
    <w:rsid w:val="00BA0308"/>
    <w:rsid w:val="00BA2DE1"/>
    <w:rsid w:val="00BA3872"/>
    <w:rsid w:val="00BA6FAD"/>
    <w:rsid w:val="00BA7006"/>
    <w:rsid w:val="00BB183E"/>
    <w:rsid w:val="00BB193B"/>
    <w:rsid w:val="00BB55E9"/>
    <w:rsid w:val="00BB5BA7"/>
    <w:rsid w:val="00BB64FD"/>
    <w:rsid w:val="00BB698F"/>
    <w:rsid w:val="00BC0E4E"/>
    <w:rsid w:val="00BC1556"/>
    <w:rsid w:val="00BC1A44"/>
    <w:rsid w:val="00BC5F19"/>
    <w:rsid w:val="00BC6F72"/>
    <w:rsid w:val="00BC7093"/>
    <w:rsid w:val="00BC7A54"/>
    <w:rsid w:val="00BD3BF0"/>
    <w:rsid w:val="00BD4528"/>
    <w:rsid w:val="00BD5D69"/>
    <w:rsid w:val="00BD7957"/>
    <w:rsid w:val="00BE6466"/>
    <w:rsid w:val="00BF17A5"/>
    <w:rsid w:val="00BF1805"/>
    <w:rsid w:val="00BF39E9"/>
    <w:rsid w:val="00BF3E35"/>
    <w:rsid w:val="00BF47ED"/>
    <w:rsid w:val="00BF5E24"/>
    <w:rsid w:val="00BF5EAE"/>
    <w:rsid w:val="00C02DC1"/>
    <w:rsid w:val="00C04081"/>
    <w:rsid w:val="00C05DB9"/>
    <w:rsid w:val="00C06B8F"/>
    <w:rsid w:val="00C12583"/>
    <w:rsid w:val="00C15682"/>
    <w:rsid w:val="00C21525"/>
    <w:rsid w:val="00C22084"/>
    <w:rsid w:val="00C2260C"/>
    <w:rsid w:val="00C2273C"/>
    <w:rsid w:val="00C246F9"/>
    <w:rsid w:val="00C25355"/>
    <w:rsid w:val="00C2590F"/>
    <w:rsid w:val="00C30A7F"/>
    <w:rsid w:val="00C3154C"/>
    <w:rsid w:val="00C31765"/>
    <w:rsid w:val="00C317BB"/>
    <w:rsid w:val="00C329D9"/>
    <w:rsid w:val="00C3625D"/>
    <w:rsid w:val="00C40050"/>
    <w:rsid w:val="00C40272"/>
    <w:rsid w:val="00C409E3"/>
    <w:rsid w:val="00C422FA"/>
    <w:rsid w:val="00C42B3D"/>
    <w:rsid w:val="00C434E4"/>
    <w:rsid w:val="00C436B1"/>
    <w:rsid w:val="00C469C2"/>
    <w:rsid w:val="00C471FC"/>
    <w:rsid w:val="00C47470"/>
    <w:rsid w:val="00C47FED"/>
    <w:rsid w:val="00C52E89"/>
    <w:rsid w:val="00C53B25"/>
    <w:rsid w:val="00C547D0"/>
    <w:rsid w:val="00C55A49"/>
    <w:rsid w:val="00C5688D"/>
    <w:rsid w:val="00C577D9"/>
    <w:rsid w:val="00C6043B"/>
    <w:rsid w:val="00C60A84"/>
    <w:rsid w:val="00C60FCD"/>
    <w:rsid w:val="00C624EF"/>
    <w:rsid w:val="00C62805"/>
    <w:rsid w:val="00C62DE7"/>
    <w:rsid w:val="00C649E2"/>
    <w:rsid w:val="00C65008"/>
    <w:rsid w:val="00C66ABC"/>
    <w:rsid w:val="00C6748F"/>
    <w:rsid w:val="00C70584"/>
    <w:rsid w:val="00C72C6D"/>
    <w:rsid w:val="00C74D40"/>
    <w:rsid w:val="00C77FFD"/>
    <w:rsid w:val="00C800B5"/>
    <w:rsid w:val="00C83D48"/>
    <w:rsid w:val="00C8489F"/>
    <w:rsid w:val="00C84DE0"/>
    <w:rsid w:val="00C851F6"/>
    <w:rsid w:val="00C8539E"/>
    <w:rsid w:val="00C86A94"/>
    <w:rsid w:val="00C86E0E"/>
    <w:rsid w:val="00C87AA0"/>
    <w:rsid w:val="00C87B8D"/>
    <w:rsid w:val="00C91F3B"/>
    <w:rsid w:val="00C91F8D"/>
    <w:rsid w:val="00C93EF3"/>
    <w:rsid w:val="00C9467F"/>
    <w:rsid w:val="00C948AF"/>
    <w:rsid w:val="00C95129"/>
    <w:rsid w:val="00C955B2"/>
    <w:rsid w:val="00C95A39"/>
    <w:rsid w:val="00CA02DA"/>
    <w:rsid w:val="00CA3019"/>
    <w:rsid w:val="00CA45C9"/>
    <w:rsid w:val="00CA4E80"/>
    <w:rsid w:val="00CA5D88"/>
    <w:rsid w:val="00CA6007"/>
    <w:rsid w:val="00CA6ABD"/>
    <w:rsid w:val="00CA70E2"/>
    <w:rsid w:val="00CA7285"/>
    <w:rsid w:val="00CB2EA0"/>
    <w:rsid w:val="00CB52F4"/>
    <w:rsid w:val="00CB6BE1"/>
    <w:rsid w:val="00CC133B"/>
    <w:rsid w:val="00CC2A59"/>
    <w:rsid w:val="00CC3EF2"/>
    <w:rsid w:val="00CC69BE"/>
    <w:rsid w:val="00CC740F"/>
    <w:rsid w:val="00CD3467"/>
    <w:rsid w:val="00CD7519"/>
    <w:rsid w:val="00CD755F"/>
    <w:rsid w:val="00CE19A8"/>
    <w:rsid w:val="00CE4856"/>
    <w:rsid w:val="00CE5C56"/>
    <w:rsid w:val="00CE7D4D"/>
    <w:rsid w:val="00CF0901"/>
    <w:rsid w:val="00CF1C61"/>
    <w:rsid w:val="00CF2C06"/>
    <w:rsid w:val="00CF38E8"/>
    <w:rsid w:val="00CF3E2E"/>
    <w:rsid w:val="00CF497C"/>
    <w:rsid w:val="00CF79D8"/>
    <w:rsid w:val="00D00162"/>
    <w:rsid w:val="00D01CDF"/>
    <w:rsid w:val="00D02073"/>
    <w:rsid w:val="00D02922"/>
    <w:rsid w:val="00D03043"/>
    <w:rsid w:val="00D115D1"/>
    <w:rsid w:val="00D12A48"/>
    <w:rsid w:val="00D143E6"/>
    <w:rsid w:val="00D1528C"/>
    <w:rsid w:val="00D16173"/>
    <w:rsid w:val="00D16395"/>
    <w:rsid w:val="00D167D4"/>
    <w:rsid w:val="00D16F23"/>
    <w:rsid w:val="00D2023A"/>
    <w:rsid w:val="00D239A4"/>
    <w:rsid w:val="00D256AF"/>
    <w:rsid w:val="00D303C4"/>
    <w:rsid w:val="00D314F8"/>
    <w:rsid w:val="00D34E4A"/>
    <w:rsid w:val="00D3676F"/>
    <w:rsid w:val="00D40933"/>
    <w:rsid w:val="00D4114D"/>
    <w:rsid w:val="00D42F13"/>
    <w:rsid w:val="00D43088"/>
    <w:rsid w:val="00D43900"/>
    <w:rsid w:val="00D44381"/>
    <w:rsid w:val="00D453AA"/>
    <w:rsid w:val="00D4553C"/>
    <w:rsid w:val="00D55B05"/>
    <w:rsid w:val="00D55CFC"/>
    <w:rsid w:val="00D5610E"/>
    <w:rsid w:val="00D61193"/>
    <w:rsid w:val="00D61BDD"/>
    <w:rsid w:val="00D644D4"/>
    <w:rsid w:val="00D6475D"/>
    <w:rsid w:val="00D64DB8"/>
    <w:rsid w:val="00D64EFB"/>
    <w:rsid w:val="00D6533F"/>
    <w:rsid w:val="00D7189F"/>
    <w:rsid w:val="00D72430"/>
    <w:rsid w:val="00D72946"/>
    <w:rsid w:val="00D804C1"/>
    <w:rsid w:val="00D82BAB"/>
    <w:rsid w:val="00D838F8"/>
    <w:rsid w:val="00D85E46"/>
    <w:rsid w:val="00D90F60"/>
    <w:rsid w:val="00D917F7"/>
    <w:rsid w:val="00D931C3"/>
    <w:rsid w:val="00DA29A6"/>
    <w:rsid w:val="00DA39EC"/>
    <w:rsid w:val="00DA5BB4"/>
    <w:rsid w:val="00DA6F42"/>
    <w:rsid w:val="00DA722F"/>
    <w:rsid w:val="00DA7BC2"/>
    <w:rsid w:val="00DA7E2A"/>
    <w:rsid w:val="00DB097B"/>
    <w:rsid w:val="00DB5F9B"/>
    <w:rsid w:val="00DB71CA"/>
    <w:rsid w:val="00DB71E3"/>
    <w:rsid w:val="00DB738E"/>
    <w:rsid w:val="00DB7779"/>
    <w:rsid w:val="00DC00AE"/>
    <w:rsid w:val="00DC2240"/>
    <w:rsid w:val="00DC2757"/>
    <w:rsid w:val="00DC385A"/>
    <w:rsid w:val="00DC5AC9"/>
    <w:rsid w:val="00DC6941"/>
    <w:rsid w:val="00DD0ABE"/>
    <w:rsid w:val="00DD0C8E"/>
    <w:rsid w:val="00DD31EF"/>
    <w:rsid w:val="00DD502E"/>
    <w:rsid w:val="00DD6077"/>
    <w:rsid w:val="00DE0C20"/>
    <w:rsid w:val="00DE1511"/>
    <w:rsid w:val="00DE16E4"/>
    <w:rsid w:val="00DE7777"/>
    <w:rsid w:val="00DF05B9"/>
    <w:rsid w:val="00DF4A0E"/>
    <w:rsid w:val="00DF67C4"/>
    <w:rsid w:val="00DF7363"/>
    <w:rsid w:val="00DF73F4"/>
    <w:rsid w:val="00E00389"/>
    <w:rsid w:val="00E03758"/>
    <w:rsid w:val="00E03B18"/>
    <w:rsid w:val="00E05596"/>
    <w:rsid w:val="00E06168"/>
    <w:rsid w:val="00E1084A"/>
    <w:rsid w:val="00E11540"/>
    <w:rsid w:val="00E11F4A"/>
    <w:rsid w:val="00E144FB"/>
    <w:rsid w:val="00E14BCC"/>
    <w:rsid w:val="00E16509"/>
    <w:rsid w:val="00E1742D"/>
    <w:rsid w:val="00E175EF"/>
    <w:rsid w:val="00E215AD"/>
    <w:rsid w:val="00E21AA6"/>
    <w:rsid w:val="00E24A39"/>
    <w:rsid w:val="00E3067F"/>
    <w:rsid w:val="00E33AE1"/>
    <w:rsid w:val="00E363BF"/>
    <w:rsid w:val="00E36CFD"/>
    <w:rsid w:val="00E41254"/>
    <w:rsid w:val="00E420A5"/>
    <w:rsid w:val="00E43603"/>
    <w:rsid w:val="00E50ABC"/>
    <w:rsid w:val="00E50F6A"/>
    <w:rsid w:val="00E525D7"/>
    <w:rsid w:val="00E52A8A"/>
    <w:rsid w:val="00E53BE2"/>
    <w:rsid w:val="00E54714"/>
    <w:rsid w:val="00E54963"/>
    <w:rsid w:val="00E55E58"/>
    <w:rsid w:val="00E55EAD"/>
    <w:rsid w:val="00E561B9"/>
    <w:rsid w:val="00E56783"/>
    <w:rsid w:val="00E62407"/>
    <w:rsid w:val="00E63E86"/>
    <w:rsid w:val="00E65286"/>
    <w:rsid w:val="00E67CF1"/>
    <w:rsid w:val="00E73B98"/>
    <w:rsid w:val="00E73BCC"/>
    <w:rsid w:val="00E76D25"/>
    <w:rsid w:val="00E808C8"/>
    <w:rsid w:val="00E83735"/>
    <w:rsid w:val="00E84B25"/>
    <w:rsid w:val="00E8699F"/>
    <w:rsid w:val="00E87DA2"/>
    <w:rsid w:val="00E91608"/>
    <w:rsid w:val="00E93A74"/>
    <w:rsid w:val="00EA052B"/>
    <w:rsid w:val="00EA0D04"/>
    <w:rsid w:val="00EA12E8"/>
    <w:rsid w:val="00EA1A1E"/>
    <w:rsid w:val="00EA3449"/>
    <w:rsid w:val="00EA4018"/>
    <w:rsid w:val="00EA5A6A"/>
    <w:rsid w:val="00EA78E8"/>
    <w:rsid w:val="00EB01FC"/>
    <w:rsid w:val="00EB2C6F"/>
    <w:rsid w:val="00EB4225"/>
    <w:rsid w:val="00EB5904"/>
    <w:rsid w:val="00EB7342"/>
    <w:rsid w:val="00EB73C2"/>
    <w:rsid w:val="00EC021E"/>
    <w:rsid w:val="00EC1711"/>
    <w:rsid w:val="00EC49E9"/>
    <w:rsid w:val="00EC4ABC"/>
    <w:rsid w:val="00EC50F5"/>
    <w:rsid w:val="00EC6E6B"/>
    <w:rsid w:val="00ED4A1C"/>
    <w:rsid w:val="00ED57FE"/>
    <w:rsid w:val="00EE0267"/>
    <w:rsid w:val="00EE0BBF"/>
    <w:rsid w:val="00EE11EF"/>
    <w:rsid w:val="00EE15B2"/>
    <w:rsid w:val="00EE1FFD"/>
    <w:rsid w:val="00EE23E1"/>
    <w:rsid w:val="00EE3215"/>
    <w:rsid w:val="00EE34DA"/>
    <w:rsid w:val="00EE7885"/>
    <w:rsid w:val="00EF2370"/>
    <w:rsid w:val="00EF614D"/>
    <w:rsid w:val="00EF743A"/>
    <w:rsid w:val="00F02F0D"/>
    <w:rsid w:val="00F03D54"/>
    <w:rsid w:val="00F05692"/>
    <w:rsid w:val="00F06304"/>
    <w:rsid w:val="00F1027D"/>
    <w:rsid w:val="00F104D4"/>
    <w:rsid w:val="00F12F33"/>
    <w:rsid w:val="00F13A5B"/>
    <w:rsid w:val="00F14432"/>
    <w:rsid w:val="00F175BA"/>
    <w:rsid w:val="00F21416"/>
    <w:rsid w:val="00F22021"/>
    <w:rsid w:val="00F228CE"/>
    <w:rsid w:val="00F23922"/>
    <w:rsid w:val="00F2521E"/>
    <w:rsid w:val="00F254AE"/>
    <w:rsid w:val="00F26235"/>
    <w:rsid w:val="00F3003B"/>
    <w:rsid w:val="00F30696"/>
    <w:rsid w:val="00F318C4"/>
    <w:rsid w:val="00F31EF5"/>
    <w:rsid w:val="00F32DCE"/>
    <w:rsid w:val="00F344EE"/>
    <w:rsid w:val="00F345E5"/>
    <w:rsid w:val="00F3477A"/>
    <w:rsid w:val="00F352A0"/>
    <w:rsid w:val="00F362CC"/>
    <w:rsid w:val="00F3663B"/>
    <w:rsid w:val="00F4036A"/>
    <w:rsid w:val="00F40BC2"/>
    <w:rsid w:val="00F416F3"/>
    <w:rsid w:val="00F41D14"/>
    <w:rsid w:val="00F42F66"/>
    <w:rsid w:val="00F43DF7"/>
    <w:rsid w:val="00F47B3B"/>
    <w:rsid w:val="00F5060E"/>
    <w:rsid w:val="00F53082"/>
    <w:rsid w:val="00F55CE6"/>
    <w:rsid w:val="00F56B60"/>
    <w:rsid w:val="00F56DDC"/>
    <w:rsid w:val="00F604BE"/>
    <w:rsid w:val="00F60FDE"/>
    <w:rsid w:val="00F61799"/>
    <w:rsid w:val="00F63AD3"/>
    <w:rsid w:val="00F64320"/>
    <w:rsid w:val="00F66210"/>
    <w:rsid w:val="00F70AC5"/>
    <w:rsid w:val="00F711D2"/>
    <w:rsid w:val="00F72164"/>
    <w:rsid w:val="00F75FB9"/>
    <w:rsid w:val="00F768F2"/>
    <w:rsid w:val="00F801D4"/>
    <w:rsid w:val="00F8295E"/>
    <w:rsid w:val="00F83C4C"/>
    <w:rsid w:val="00F85891"/>
    <w:rsid w:val="00F8631B"/>
    <w:rsid w:val="00F86BD2"/>
    <w:rsid w:val="00F94E7B"/>
    <w:rsid w:val="00F96659"/>
    <w:rsid w:val="00F96890"/>
    <w:rsid w:val="00F977FB"/>
    <w:rsid w:val="00F97BF4"/>
    <w:rsid w:val="00FA065E"/>
    <w:rsid w:val="00FA09FA"/>
    <w:rsid w:val="00FA24E8"/>
    <w:rsid w:val="00FA499E"/>
    <w:rsid w:val="00FA57F7"/>
    <w:rsid w:val="00FA5CE9"/>
    <w:rsid w:val="00FA7215"/>
    <w:rsid w:val="00FA7793"/>
    <w:rsid w:val="00FA7FA7"/>
    <w:rsid w:val="00FB03B8"/>
    <w:rsid w:val="00FB2A2D"/>
    <w:rsid w:val="00FB30DA"/>
    <w:rsid w:val="00FB4A41"/>
    <w:rsid w:val="00FB5B5B"/>
    <w:rsid w:val="00FB73B4"/>
    <w:rsid w:val="00FB7B04"/>
    <w:rsid w:val="00FC1ECF"/>
    <w:rsid w:val="00FC3D54"/>
    <w:rsid w:val="00FC553B"/>
    <w:rsid w:val="00FC7226"/>
    <w:rsid w:val="00FD0AA3"/>
    <w:rsid w:val="00FD1CF1"/>
    <w:rsid w:val="00FD2538"/>
    <w:rsid w:val="00FD2992"/>
    <w:rsid w:val="00FD39F1"/>
    <w:rsid w:val="00FD6583"/>
    <w:rsid w:val="00FD69E7"/>
    <w:rsid w:val="00FE0518"/>
    <w:rsid w:val="00FE2199"/>
    <w:rsid w:val="00FE50E6"/>
    <w:rsid w:val="00FE55C2"/>
    <w:rsid w:val="00FE5D8A"/>
    <w:rsid w:val="00FE6340"/>
    <w:rsid w:val="00FE682E"/>
    <w:rsid w:val="00FF02A3"/>
    <w:rsid w:val="00FF075E"/>
    <w:rsid w:val="00FF1C3C"/>
    <w:rsid w:val="00FF51EB"/>
    <w:rsid w:val="00FF71D0"/>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martTagType w:namespaceuri="urn:schemas-microsoft-com:office:smarttags" w:name="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pl-PL" w:eastAsia="pl-PL"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ny">
    <w:name w:val="Normal"/>
    <w:qFormat/>
    <w:rsid w:val="007C31C1"/>
    <w:rPr>
      <w:sz w:val="24"/>
      <w:szCs w:val="24"/>
    </w:rPr>
  </w:style>
  <w:style w:type="paragraph" w:styleId="Nagwek1">
    <w:name w:val="heading 1"/>
    <w:basedOn w:val="Normalny"/>
    <w:next w:val="Normalny"/>
    <w:link w:val="Nagwek1Znak"/>
    <w:uiPriority w:val="99"/>
    <w:qFormat/>
    <w:rsid w:val="007C31C1"/>
    <w:pPr>
      <w:keepNext/>
      <w:tabs>
        <w:tab w:val="left" w:pos="3600"/>
      </w:tabs>
      <w:ind w:right="5472"/>
      <w:jc w:val="center"/>
      <w:outlineLvl w:val="0"/>
    </w:pPr>
    <w:rPr>
      <w:b/>
      <w:bCs/>
    </w:rPr>
  </w:style>
  <w:style w:type="paragraph" w:styleId="Nagwek2">
    <w:name w:val="heading 2"/>
    <w:basedOn w:val="Normalny"/>
    <w:next w:val="Normalny"/>
    <w:link w:val="Nagwek2Znak"/>
    <w:qFormat/>
    <w:rsid w:val="007C31C1"/>
    <w:pPr>
      <w:keepNext/>
      <w:outlineLvl w:val="1"/>
    </w:pPr>
    <w:rPr>
      <w:b/>
      <w:bCs/>
    </w:rPr>
  </w:style>
  <w:style w:type="paragraph" w:styleId="Nagwek3">
    <w:name w:val="heading 3"/>
    <w:basedOn w:val="Normalny"/>
    <w:next w:val="Normalny"/>
    <w:link w:val="Nagwek3Znak"/>
    <w:uiPriority w:val="99"/>
    <w:qFormat/>
    <w:rsid w:val="007C31C1"/>
    <w:pPr>
      <w:keepNext/>
      <w:ind w:left="5580"/>
      <w:outlineLvl w:val="2"/>
    </w:pPr>
    <w:rPr>
      <w:b/>
      <w:bCs/>
    </w:rPr>
  </w:style>
  <w:style w:type="paragraph" w:styleId="Nagwek4">
    <w:name w:val="heading 4"/>
    <w:basedOn w:val="Normalny"/>
    <w:next w:val="Normalny"/>
    <w:link w:val="Nagwek4Znak"/>
    <w:uiPriority w:val="99"/>
    <w:qFormat/>
    <w:rsid w:val="007C31C1"/>
    <w:pPr>
      <w:keepNext/>
      <w:ind w:left="4680"/>
      <w:outlineLvl w:val="3"/>
    </w:pPr>
    <w:rPr>
      <w:b/>
      <w:bCs/>
      <w:sz w:val="26"/>
    </w:rPr>
  </w:style>
  <w:style w:type="paragraph" w:styleId="Nagwek5">
    <w:name w:val="heading 5"/>
    <w:basedOn w:val="Normalny"/>
    <w:next w:val="Normalny"/>
    <w:link w:val="Nagwek5Znak"/>
    <w:uiPriority w:val="99"/>
    <w:qFormat/>
    <w:rsid w:val="007C31C1"/>
    <w:pPr>
      <w:keepNext/>
      <w:spacing w:line="312" w:lineRule="auto"/>
      <w:jc w:val="both"/>
      <w:outlineLvl w:val="4"/>
    </w:pPr>
    <w:rPr>
      <w:b/>
      <w:bCs/>
    </w:rPr>
  </w:style>
  <w:style w:type="paragraph" w:styleId="Nagwek6">
    <w:name w:val="heading 6"/>
    <w:basedOn w:val="tekstpodsta"/>
    <w:next w:val="Normalny"/>
    <w:link w:val="Nagwek6Znak"/>
    <w:uiPriority w:val="99"/>
    <w:qFormat/>
    <w:rsid w:val="00C12583"/>
    <w:pPr>
      <w:tabs>
        <w:tab w:val="num" w:pos="720"/>
      </w:tabs>
      <w:outlineLvl w:val="5"/>
    </w:pPr>
  </w:style>
  <w:style w:type="paragraph" w:styleId="Nagwek7">
    <w:name w:val="heading 7"/>
    <w:basedOn w:val="Normalny"/>
    <w:next w:val="Normalny"/>
    <w:link w:val="Nagwek7Znak"/>
    <w:uiPriority w:val="99"/>
    <w:qFormat/>
    <w:rsid w:val="00C12583"/>
    <w:pPr>
      <w:numPr>
        <w:ilvl w:val="1"/>
        <w:numId w:val="1"/>
      </w:numPr>
      <w:spacing w:before="120" w:line="300" w:lineRule="auto"/>
      <w:ind w:left="1077" w:hanging="357"/>
      <w:jc w:val="both"/>
      <w:outlineLvl w:val="6"/>
    </w:pPr>
    <w:rPr>
      <w:rFonts w:ascii="Arial" w:hAnsi="Arial" w:cs="Arial"/>
      <w:sz w:val="20"/>
      <w:szCs w:val="20"/>
    </w:rPr>
  </w:style>
  <w:style w:type="paragraph" w:styleId="Nagwek8">
    <w:name w:val="heading 8"/>
    <w:basedOn w:val="Normalny"/>
    <w:next w:val="Normalny"/>
    <w:link w:val="Nagwek8Znak"/>
    <w:uiPriority w:val="99"/>
    <w:qFormat/>
    <w:rsid w:val="00E56783"/>
    <w:pPr>
      <w:spacing w:before="240" w:after="60"/>
      <w:outlineLvl w:val="7"/>
    </w:pPr>
    <w:rPr>
      <w:i/>
      <w:iCs/>
    </w:rPr>
  </w:style>
  <w:style w:type="paragraph" w:styleId="Nagwek9">
    <w:name w:val="heading 9"/>
    <w:basedOn w:val="Normalny"/>
    <w:next w:val="Normalny"/>
    <w:link w:val="Nagwek9Znak"/>
    <w:uiPriority w:val="99"/>
    <w:qFormat/>
    <w:rsid w:val="00C12583"/>
    <w:pPr>
      <w:tabs>
        <w:tab w:val="num" w:pos="1584"/>
      </w:tabs>
      <w:spacing w:before="240" w:after="60" w:line="300" w:lineRule="auto"/>
      <w:ind w:left="1584" w:hanging="144"/>
      <w:outlineLvl w:val="8"/>
    </w:pPr>
    <w:rPr>
      <w:rFonts w:ascii="Arial" w:hAnsi="Arial" w:cs="Arial"/>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locked/>
    <w:rsid w:val="00C12583"/>
    <w:rPr>
      <w:rFonts w:cs="Times New Roman"/>
      <w:b/>
      <w:bCs/>
      <w:sz w:val="24"/>
      <w:szCs w:val="24"/>
    </w:rPr>
  </w:style>
  <w:style w:type="character" w:customStyle="1" w:styleId="Nagwek2Znak">
    <w:name w:val="Nagłówek 2 Znak"/>
    <w:basedOn w:val="Domylnaczcionkaakapitu"/>
    <w:link w:val="Nagwek2"/>
    <w:uiPriority w:val="99"/>
    <w:locked/>
    <w:rsid w:val="00C12583"/>
    <w:rPr>
      <w:rFonts w:cs="Times New Roman"/>
      <w:b/>
      <w:bCs/>
      <w:sz w:val="24"/>
      <w:szCs w:val="24"/>
    </w:rPr>
  </w:style>
  <w:style w:type="character" w:customStyle="1" w:styleId="Nagwek3Znak">
    <w:name w:val="Nagłówek 3 Znak"/>
    <w:basedOn w:val="Domylnaczcionkaakapitu"/>
    <w:link w:val="Nagwek3"/>
    <w:uiPriority w:val="99"/>
    <w:locked/>
    <w:rsid w:val="00C12583"/>
    <w:rPr>
      <w:rFonts w:cs="Times New Roman"/>
      <w:b/>
      <w:bCs/>
      <w:sz w:val="24"/>
      <w:szCs w:val="24"/>
    </w:rPr>
  </w:style>
  <w:style w:type="character" w:customStyle="1" w:styleId="Nagwek4Znak">
    <w:name w:val="Nagłówek 4 Znak"/>
    <w:basedOn w:val="Domylnaczcionkaakapitu"/>
    <w:link w:val="Nagwek4"/>
    <w:uiPriority w:val="99"/>
    <w:locked/>
    <w:rsid w:val="00C12583"/>
    <w:rPr>
      <w:rFonts w:cs="Times New Roman"/>
      <w:b/>
      <w:bCs/>
      <w:sz w:val="24"/>
      <w:szCs w:val="24"/>
    </w:rPr>
  </w:style>
  <w:style w:type="character" w:customStyle="1" w:styleId="Nagwek5Znak">
    <w:name w:val="Nagłówek 5 Znak"/>
    <w:basedOn w:val="Domylnaczcionkaakapitu"/>
    <w:link w:val="Nagwek5"/>
    <w:uiPriority w:val="99"/>
    <w:locked/>
    <w:rsid w:val="00C12583"/>
    <w:rPr>
      <w:rFonts w:cs="Times New Roman"/>
      <w:b/>
      <w:bCs/>
      <w:sz w:val="24"/>
      <w:szCs w:val="24"/>
    </w:rPr>
  </w:style>
  <w:style w:type="character" w:customStyle="1" w:styleId="Nagwek6Znak">
    <w:name w:val="Nagłówek 6 Znak"/>
    <w:basedOn w:val="Domylnaczcionkaakapitu"/>
    <w:link w:val="Nagwek6"/>
    <w:uiPriority w:val="99"/>
    <w:locked/>
    <w:rsid w:val="00C12583"/>
    <w:rPr>
      <w:rFonts w:ascii="Arial" w:hAnsi="Arial" w:cs="Arial"/>
    </w:rPr>
  </w:style>
  <w:style w:type="character" w:customStyle="1" w:styleId="Nagwek7Znak">
    <w:name w:val="Nagłówek 7 Znak"/>
    <w:basedOn w:val="Domylnaczcionkaakapitu"/>
    <w:link w:val="Nagwek7"/>
    <w:uiPriority w:val="99"/>
    <w:locked/>
    <w:rsid w:val="00C12583"/>
    <w:rPr>
      <w:rFonts w:ascii="Arial" w:hAnsi="Arial" w:cs="Arial"/>
      <w:sz w:val="20"/>
      <w:szCs w:val="20"/>
    </w:rPr>
  </w:style>
  <w:style w:type="character" w:customStyle="1" w:styleId="Nagwek8Znak">
    <w:name w:val="Nagłówek 8 Znak"/>
    <w:basedOn w:val="Domylnaczcionkaakapitu"/>
    <w:link w:val="Nagwek8"/>
    <w:uiPriority w:val="99"/>
    <w:locked/>
    <w:rsid w:val="00C12583"/>
    <w:rPr>
      <w:rFonts w:cs="Times New Roman"/>
      <w:i/>
      <w:iCs/>
      <w:sz w:val="24"/>
      <w:szCs w:val="24"/>
    </w:rPr>
  </w:style>
  <w:style w:type="character" w:customStyle="1" w:styleId="Nagwek9Znak">
    <w:name w:val="Nagłówek 9 Znak"/>
    <w:basedOn w:val="Domylnaczcionkaakapitu"/>
    <w:link w:val="Nagwek9"/>
    <w:uiPriority w:val="99"/>
    <w:locked/>
    <w:rsid w:val="00C12583"/>
    <w:rPr>
      <w:rFonts w:ascii="Arial" w:hAnsi="Arial" w:cs="Arial"/>
      <w:sz w:val="22"/>
      <w:szCs w:val="22"/>
    </w:rPr>
  </w:style>
  <w:style w:type="paragraph" w:styleId="Tekstdymka">
    <w:name w:val="Balloon Text"/>
    <w:basedOn w:val="Normalny"/>
    <w:link w:val="TekstdymkaZnak"/>
    <w:uiPriority w:val="99"/>
    <w:semiHidden/>
    <w:rsid w:val="00876EE8"/>
    <w:rPr>
      <w:rFonts w:ascii="Tahoma" w:hAnsi="Tahoma" w:cs="Tahoma"/>
      <w:sz w:val="16"/>
      <w:szCs w:val="16"/>
    </w:rPr>
  </w:style>
  <w:style w:type="character" w:customStyle="1" w:styleId="TekstdymkaZnak">
    <w:name w:val="Tekst dymka Znak"/>
    <w:basedOn w:val="Domylnaczcionkaakapitu"/>
    <w:link w:val="Tekstdymka"/>
    <w:uiPriority w:val="99"/>
    <w:semiHidden/>
    <w:locked/>
    <w:rsid w:val="00C12583"/>
    <w:rPr>
      <w:rFonts w:ascii="Tahoma" w:hAnsi="Tahoma" w:cs="Tahoma"/>
      <w:sz w:val="16"/>
      <w:szCs w:val="16"/>
    </w:rPr>
  </w:style>
  <w:style w:type="character" w:styleId="Hipercze">
    <w:name w:val="Hyperlink"/>
    <w:basedOn w:val="Domylnaczcionkaakapitu"/>
    <w:uiPriority w:val="99"/>
    <w:rsid w:val="007C31C1"/>
    <w:rPr>
      <w:rFonts w:cs="Times New Roman"/>
      <w:color w:val="0000FF"/>
      <w:u w:val="single"/>
    </w:rPr>
  </w:style>
  <w:style w:type="paragraph" w:styleId="Tekstprzypisudolnego">
    <w:name w:val="footnote text"/>
    <w:aliases w:val="Footnote Text2,Footnote Text11,ALTS FOOTNOTE11,Footnote Text Char111,Footnote Text Char Char Char11,Footnote Text Char1 Char Char Char Char11,Footnote Text Char1 Char Char Char11,ALTS FOOTNOTE2,Char Char,Tekst przypisu,Znak"/>
    <w:basedOn w:val="Normalny"/>
    <w:link w:val="TekstprzypisudolnegoZnak"/>
    <w:uiPriority w:val="99"/>
    <w:rsid w:val="00C12583"/>
    <w:pPr>
      <w:spacing w:before="120" w:after="120" w:line="240" w:lineRule="exact"/>
    </w:pPr>
    <w:rPr>
      <w:rFonts w:ascii="Verdana" w:hAnsi="Verdana" w:cs="Verdana"/>
      <w:sz w:val="20"/>
      <w:szCs w:val="20"/>
      <w:lang w:val="en-US" w:eastAsia="en-US"/>
    </w:rPr>
  </w:style>
  <w:style w:type="character" w:customStyle="1" w:styleId="FootnoteTextChar">
    <w:name w:val="Footnote Text Char"/>
    <w:aliases w:val="Footnote Text2 Char,Footnote Text11 Char,ALTS FOOTNOTE11 Char,Footnote Text Char111 Char,Footnote Text Char Char Char11 Char,Footnote Text Char1 Char Char Char Char11 Char,Footnote Text Char1 Char Char Char11 Char,ALTS FOOTNOTE2 Char"/>
    <w:basedOn w:val="Domylnaczcionkaakapitu"/>
    <w:link w:val="Tekstprzypisudolnego"/>
    <w:uiPriority w:val="99"/>
    <w:semiHidden/>
    <w:locked/>
    <w:rsid w:val="00E16509"/>
    <w:rPr>
      <w:rFonts w:cs="Times New Roman"/>
      <w:lang w:val="pl-PL" w:eastAsia="pl-PL" w:bidi="ar-SA"/>
    </w:rPr>
  </w:style>
  <w:style w:type="character" w:styleId="Odwoanieprzypisudolnego">
    <w:name w:val="footnote reference"/>
    <w:aliases w:val="Nota,(NECG) Footnote Reference,Footnote,Footnote symbol,fr,o,Style 6,Odwołanie przypisu"/>
    <w:basedOn w:val="Domylnaczcionkaakapitu"/>
    <w:uiPriority w:val="99"/>
    <w:rsid w:val="007C31C1"/>
    <w:rPr>
      <w:rFonts w:cs="Times New Roman"/>
      <w:vertAlign w:val="superscript"/>
    </w:rPr>
  </w:style>
  <w:style w:type="paragraph" w:styleId="Tekstpodstawowy">
    <w:name w:val="Body Text"/>
    <w:aliases w:val="b,b1,L1 Body Text,body text,BodyText,body,text"/>
    <w:basedOn w:val="Normalny"/>
    <w:link w:val="TekstpodstawowyZnak"/>
    <w:rsid w:val="007C31C1"/>
    <w:pPr>
      <w:spacing w:line="312" w:lineRule="auto"/>
      <w:jc w:val="both"/>
    </w:pPr>
    <w:rPr>
      <w:rFonts w:ascii="Verdana" w:hAnsi="Verdana" w:cs="Tahoma"/>
      <w:sz w:val="28"/>
    </w:rPr>
  </w:style>
  <w:style w:type="character" w:customStyle="1" w:styleId="TekstpodstawowyZnak">
    <w:name w:val="Tekst podstawowy Znak"/>
    <w:aliases w:val="b Znak1,b1 Znak1,L1 Body Text Znak1,body text Znak1,BodyText Znak1,body Znak1,text Znak"/>
    <w:basedOn w:val="Domylnaczcionkaakapitu"/>
    <w:link w:val="Tekstpodstawowy"/>
    <w:locked/>
    <w:rsid w:val="00451487"/>
    <w:rPr>
      <w:rFonts w:ascii="Verdana" w:hAnsi="Verdana" w:cs="Tahoma"/>
      <w:sz w:val="24"/>
      <w:szCs w:val="24"/>
      <w:lang w:val="pl-PL" w:eastAsia="pl-PL" w:bidi="ar-SA"/>
    </w:rPr>
  </w:style>
  <w:style w:type="paragraph" w:styleId="Nagwek">
    <w:name w:val="header"/>
    <w:basedOn w:val="Normalny"/>
    <w:link w:val="NagwekZnak"/>
    <w:uiPriority w:val="99"/>
    <w:rsid w:val="007C31C1"/>
    <w:pPr>
      <w:tabs>
        <w:tab w:val="center" w:pos="4536"/>
        <w:tab w:val="right" w:pos="9072"/>
      </w:tabs>
    </w:pPr>
  </w:style>
  <w:style w:type="character" w:customStyle="1" w:styleId="NagwekZnak">
    <w:name w:val="Nagłówek Znak"/>
    <w:basedOn w:val="Domylnaczcionkaakapitu"/>
    <w:link w:val="Nagwek"/>
    <w:uiPriority w:val="99"/>
    <w:locked/>
    <w:rsid w:val="008A3115"/>
    <w:rPr>
      <w:rFonts w:cs="Times New Roman"/>
      <w:sz w:val="24"/>
    </w:rPr>
  </w:style>
  <w:style w:type="paragraph" w:styleId="Stopka">
    <w:name w:val="footer"/>
    <w:basedOn w:val="Normalny"/>
    <w:link w:val="StopkaZnak"/>
    <w:uiPriority w:val="99"/>
    <w:rsid w:val="007C31C1"/>
    <w:pPr>
      <w:tabs>
        <w:tab w:val="center" w:pos="4536"/>
        <w:tab w:val="right" w:pos="9072"/>
      </w:tabs>
    </w:pPr>
  </w:style>
  <w:style w:type="character" w:customStyle="1" w:styleId="StopkaZnak">
    <w:name w:val="Stopka Znak"/>
    <w:basedOn w:val="Domylnaczcionkaakapitu"/>
    <w:link w:val="Stopka"/>
    <w:uiPriority w:val="99"/>
    <w:locked/>
    <w:rsid w:val="00C12583"/>
    <w:rPr>
      <w:rFonts w:cs="Times New Roman"/>
      <w:sz w:val="24"/>
      <w:szCs w:val="24"/>
    </w:rPr>
  </w:style>
  <w:style w:type="paragraph" w:styleId="Tekstpodstawowy2">
    <w:name w:val="Body Text 2"/>
    <w:basedOn w:val="Normalny"/>
    <w:link w:val="Tekstpodstawowy2Znak"/>
    <w:rsid w:val="007C31C1"/>
    <w:pPr>
      <w:tabs>
        <w:tab w:val="left" w:pos="3780"/>
      </w:tabs>
      <w:ind w:right="5472"/>
      <w:jc w:val="center"/>
    </w:pPr>
    <w:rPr>
      <w:b/>
      <w:bCs/>
    </w:rPr>
  </w:style>
  <w:style w:type="character" w:customStyle="1" w:styleId="Tekstpodstawowy2Znak">
    <w:name w:val="Tekst podstawowy 2 Znak"/>
    <w:basedOn w:val="Domylnaczcionkaakapitu"/>
    <w:link w:val="Tekstpodstawowy2"/>
    <w:uiPriority w:val="99"/>
    <w:locked/>
    <w:rsid w:val="00C12583"/>
    <w:rPr>
      <w:rFonts w:cs="Times New Roman"/>
      <w:b/>
      <w:bCs/>
      <w:sz w:val="24"/>
      <w:szCs w:val="24"/>
    </w:rPr>
  </w:style>
  <w:style w:type="paragraph" w:customStyle="1" w:styleId="Tekstpodstawowy21">
    <w:name w:val="Tekst podstawowy 21"/>
    <w:basedOn w:val="Normalny"/>
    <w:uiPriority w:val="99"/>
    <w:rsid w:val="00451487"/>
    <w:pPr>
      <w:jc w:val="both"/>
    </w:pPr>
    <w:rPr>
      <w:i/>
    </w:rPr>
  </w:style>
  <w:style w:type="character" w:styleId="Numerstrony">
    <w:name w:val="page number"/>
    <w:basedOn w:val="Domylnaczcionkaakapitu"/>
    <w:uiPriority w:val="99"/>
    <w:rsid w:val="00AA41AC"/>
    <w:rPr>
      <w:rFonts w:cs="Times New Roman"/>
    </w:rPr>
  </w:style>
  <w:style w:type="character" w:customStyle="1" w:styleId="bZnak">
    <w:name w:val="b Znak"/>
    <w:aliases w:val="b1 Znak,L1 Body Text Znak,body text Znak,BodyText Znak,body Znak,text Znak Znak"/>
    <w:basedOn w:val="Domylnaczcionkaakapitu"/>
    <w:uiPriority w:val="99"/>
    <w:semiHidden/>
    <w:locked/>
    <w:rsid w:val="00E56783"/>
    <w:rPr>
      <w:rFonts w:ascii="Verdana" w:hAnsi="Verdana" w:cs="Tahoma"/>
      <w:sz w:val="24"/>
      <w:szCs w:val="24"/>
      <w:lang w:val="pl-PL" w:eastAsia="pl-PL" w:bidi="ar-SA"/>
    </w:rPr>
  </w:style>
  <w:style w:type="character" w:styleId="Odwoaniedokomentarza">
    <w:name w:val="annotation reference"/>
    <w:basedOn w:val="Domylnaczcionkaakapitu"/>
    <w:uiPriority w:val="99"/>
    <w:rsid w:val="00377B3A"/>
    <w:rPr>
      <w:rFonts w:cs="Times New Roman"/>
      <w:sz w:val="16"/>
      <w:szCs w:val="16"/>
    </w:rPr>
  </w:style>
  <w:style w:type="paragraph" w:styleId="Tekstkomentarza">
    <w:name w:val="annotation text"/>
    <w:basedOn w:val="Normalny"/>
    <w:link w:val="TekstkomentarzaZnak"/>
    <w:uiPriority w:val="99"/>
    <w:rsid w:val="00377B3A"/>
    <w:rPr>
      <w:sz w:val="20"/>
      <w:szCs w:val="20"/>
    </w:rPr>
  </w:style>
  <w:style w:type="character" w:customStyle="1" w:styleId="CommentTextChar">
    <w:name w:val="Comment Text Char"/>
    <w:basedOn w:val="Domylnaczcionkaakapitu"/>
    <w:link w:val="Tekstkomentarza"/>
    <w:uiPriority w:val="99"/>
    <w:semiHidden/>
    <w:locked/>
    <w:rsid w:val="00C12583"/>
    <w:rPr>
      <w:rFonts w:cs="Times New Roman"/>
      <w:lang w:val="pl-PL" w:eastAsia="pl-PL"/>
    </w:rPr>
  </w:style>
  <w:style w:type="paragraph" w:styleId="Tematkomentarza">
    <w:name w:val="annotation subject"/>
    <w:basedOn w:val="Tekstkomentarza"/>
    <w:next w:val="Tekstkomentarza"/>
    <w:link w:val="TematkomentarzaZnak"/>
    <w:uiPriority w:val="99"/>
    <w:semiHidden/>
    <w:rsid w:val="00377B3A"/>
    <w:rPr>
      <w:b/>
      <w:bCs/>
    </w:rPr>
  </w:style>
  <w:style w:type="character" w:customStyle="1" w:styleId="TematkomentarzaZnak">
    <w:name w:val="Temat komentarza Znak"/>
    <w:basedOn w:val="TekstkomentarzaZnak"/>
    <w:link w:val="Tematkomentarza"/>
    <w:uiPriority w:val="99"/>
    <w:semiHidden/>
    <w:locked/>
    <w:rsid w:val="00C12583"/>
    <w:rPr>
      <w:b/>
      <w:bCs/>
    </w:rPr>
  </w:style>
  <w:style w:type="paragraph" w:styleId="Tekstpodstawowy3">
    <w:name w:val="Body Text 3"/>
    <w:basedOn w:val="Normalny"/>
    <w:link w:val="Tekstpodstawowy3Znak"/>
    <w:uiPriority w:val="99"/>
    <w:rsid w:val="009629EB"/>
    <w:pPr>
      <w:spacing w:after="120"/>
    </w:pPr>
    <w:rPr>
      <w:sz w:val="16"/>
      <w:szCs w:val="20"/>
    </w:rPr>
  </w:style>
  <w:style w:type="character" w:customStyle="1" w:styleId="BodyText3Char">
    <w:name w:val="Body Text 3 Char"/>
    <w:basedOn w:val="Domylnaczcionkaakapitu"/>
    <w:link w:val="Tekstpodstawowy3"/>
    <w:uiPriority w:val="99"/>
    <w:locked/>
    <w:rsid w:val="00515B99"/>
    <w:rPr>
      <w:rFonts w:cs="Times New Roman"/>
      <w:sz w:val="16"/>
    </w:rPr>
  </w:style>
  <w:style w:type="character" w:customStyle="1" w:styleId="Tekstpodstawowy3Znak">
    <w:name w:val="Tekst podstawowy 3 Znak"/>
    <w:link w:val="Tekstpodstawowy3"/>
    <w:uiPriority w:val="99"/>
    <w:locked/>
    <w:rsid w:val="00C12583"/>
    <w:rPr>
      <w:sz w:val="16"/>
    </w:rPr>
  </w:style>
  <w:style w:type="paragraph" w:customStyle="1" w:styleId="tekstpodstawowynumerowany">
    <w:name w:val="tekst podstawowy numerowany"/>
    <w:basedOn w:val="Normalny"/>
    <w:link w:val="tekstpodstawowynumerowanyZnak"/>
    <w:uiPriority w:val="99"/>
    <w:rsid w:val="00C12583"/>
    <w:pPr>
      <w:spacing w:before="120" w:line="300" w:lineRule="auto"/>
      <w:jc w:val="both"/>
    </w:pPr>
    <w:rPr>
      <w:rFonts w:ascii="Arial" w:hAnsi="Arial"/>
      <w:sz w:val="20"/>
      <w:szCs w:val="20"/>
    </w:rPr>
  </w:style>
  <w:style w:type="character" w:customStyle="1" w:styleId="tekstpodstawowynumerowanyZnak">
    <w:name w:val="tekst podstawowy numerowany Znak"/>
    <w:link w:val="tekstpodstawowynumerowany"/>
    <w:uiPriority w:val="99"/>
    <w:locked/>
    <w:rsid w:val="00C12583"/>
    <w:rPr>
      <w:rFonts w:ascii="Arial" w:hAnsi="Arial"/>
    </w:rPr>
  </w:style>
  <w:style w:type="paragraph" w:customStyle="1" w:styleId="tekstpodsta">
    <w:name w:val="tekst podst a)"/>
    <w:basedOn w:val="Normalny"/>
    <w:next w:val="tekstpodstawowynumerowany"/>
    <w:link w:val="tekstpodstaZnak"/>
    <w:uiPriority w:val="99"/>
    <w:rsid w:val="00C12583"/>
    <w:pPr>
      <w:spacing w:before="120" w:line="300" w:lineRule="auto"/>
      <w:jc w:val="both"/>
    </w:pPr>
    <w:rPr>
      <w:rFonts w:ascii="Arial" w:hAnsi="Arial"/>
      <w:sz w:val="20"/>
      <w:szCs w:val="20"/>
    </w:rPr>
  </w:style>
  <w:style w:type="character" w:customStyle="1" w:styleId="tekstpodstaZnak">
    <w:name w:val="tekst podst a) Znak"/>
    <w:link w:val="tekstpodsta"/>
    <w:uiPriority w:val="99"/>
    <w:locked/>
    <w:rsid w:val="00C12583"/>
    <w:rPr>
      <w:rFonts w:ascii="Arial" w:hAnsi="Arial"/>
    </w:rPr>
  </w:style>
  <w:style w:type="paragraph" w:customStyle="1" w:styleId="ZnakZnakZnakZnak1">
    <w:name w:val="Znak Znak Znak Znak1"/>
    <w:basedOn w:val="Normalny"/>
    <w:autoRedefine/>
    <w:rsid w:val="00C12583"/>
    <w:pPr>
      <w:spacing w:after="120" w:line="240" w:lineRule="exact"/>
    </w:pPr>
    <w:rPr>
      <w:rFonts w:ascii="Arial" w:hAnsi="Arial" w:cs="Arial"/>
      <w:sz w:val="20"/>
      <w:szCs w:val="20"/>
      <w:lang w:val="en-US" w:eastAsia="en-US"/>
    </w:rPr>
  </w:style>
  <w:style w:type="paragraph" w:customStyle="1" w:styleId="Styl">
    <w:name w:val="Styl"/>
    <w:basedOn w:val="Normalny"/>
    <w:next w:val="Plandokumentu"/>
    <w:uiPriority w:val="99"/>
    <w:rsid w:val="00C12583"/>
    <w:pPr>
      <w:shd w:val="clear" w:color="auto" w:fill="000080"/>
      <w:spacing w:before="120" w:line="300" w:lineRule="auto"/>
    </w:pPr>
    <w:rPr>
      <w:rFonts w:ascii="Tahoma" w:hAnsi="Tahoma" w:cs="Tahoma"/>
      <w:sz w:val="20"/>
      <w:szCs w:val="20"/>
    </w:rPr>
  </w:style>
  <w:style w:type="character" w:customStyle="1" w:styleId="TekstprzypisudolnegoZnak">
    <w:name w:val="Tekst przypisu dolnego Znak"/>
    <w:aliases w:val="Footnote Text2 Znak,Footnote Text11 Znak,ALTS FOOTNOTE11 Znak,Footnote Text Char111 Znak,Footnote Text Char Char Char11 Znak,Footnote Text Char1 Char Char Char Char11 Znak,Footnote Text Char1 Char Char Char11 Znak,Znak Znak"/>
    <w:basedOn w:val="Domylnaczcionkaakapitu"/>
    <w:link w:val="Tekstprzypisudolnego"/>
    <w:uiPriority w:val="99"/>
    <w:locked/>
    <w:rsid w:val="00C12583"/>
    <w:rPr>
      <w:rFonts w:cs="Times New Roman"/>
    </w:rPr>
  </w:style>
  <w:style w:type="paragraph" w:customStyle="1" w:styleId="StylNagwek410pt">
    <w:name w:val="Styl Nagłówek 4 + 10 pt"/>
    <w:basedOn w:val="Nagwek4"/>
    <w:next w:val="tekstpodstawowynumerowany"/>
    <w:uiPriority w:val="99"/>
    <w:rsid w:val="00C12583"/>
    <w:pPr>
      <w:numPr>
        <w:ilvl w:val="3"/>
      </w:numPr>
      <w:tabs>
        <w:tab w:val="num" w:pos="864"/>
      </w:tabs>
      <w:spacing w:before="240" w:after="180" w:line="300" w:lineRule="auto"/>
      <w:ind w:left="864" w:hanging="864"/>
    </w:pPr>
    <w:rPr>
      <w:rFonts w:ascii="Arial" w:hAnsi="Arial"/>
      <w:bCs w:val="0"/>
      <w:sz w:val="20"/>
      <w:szCs w:val="28"/>
    </w:rPr>
  </w:style>
  <w:style w:type="character" w:customStyle="1" w:styleId="TekstkomentarzaZnak">
    <w:name w:val="Tekst komentarza Znak"/>
    <w:basedOn w:val="Domylnaczcionkaakapitu"/>
    <w:link w:val="Tekstkomentarza"/>
    <w:uiPriority w:val="99"/>
    <w:locked/>
    <w:rsid w:val="00C12583"/>
    <w:rPr>
      <w:rFonts w:cs="Times New Roman"/>
    </w:rPr>
  </w:style>
  <w:style w:type="paragraph" w:styleId="Spistreci1">
    <w:name w:val="toc 1"/>
    <w:basedOn w:val="Normalny"/>
    <w:next w:val="Normalny"/>
    <w:autoRedefine/>
    <w:uiPriority w:val="99"/>
    <w:rsid w:val="00C12583"/>
    <w:pPr>
      <w:tabs>
        <w:tab w:val="right" w:leader="dot" w:pos="9062"/>
        <w:tab w:val="right" w:leader="dot" w:pos="9180"/>
      </w:tabs>
      <w:spacing w:before="120" w:line="300" w:lineRule="auto"/>
    </w:pPr>
    <w:rPr>
      <w:rFonts w:ascii="Arial" w:hAnsi="Arial"/>
      <w:sz w:val="20"/>
    </w:rPr>
  </w:style>
  <w:style w:type="paragraph" w:styleId="Spistreci2">
    <w:name w:val="toc 2"/>
    <w:basedOn w:val="Normalny"/>
    <w:next w:val="Normalny"/>
    <w:autoRedefine/>
    <w:uiPriority w:val="99"/>
    <w:rsid w:val="00C12583"/>
    <w:pPr>
      <w:tabs>
        <w:tab w:val="left" w:pos="1440"/>
        <w:tab w:val="right" w:leader="dot" w:pos="9071"/>
      </w:tabs>
      <w:spacing w:before="120" w:line="300" w:lineRule="auto"/>
      <w:ind w:left="1440" w:right="323" w:hanging="1202"/>
    </w:pPr>
    <w:rPr>
      <w:rFonts w:ascii="Arial" w:hAnsi="Arial"/>
      <w:sz w:val="20"/>
    </w:rPr>
  </w:style>
  <w:style w:type="paragraph" w:styleId="Spistreci3">
    <w:name w:val="toc 3"/>
    <w:basedOn w:val="Normalny"/>
    <w:next w:val="Normalny"/>
    <w:autoRedefine/>
    <w:uiPriority w:val="99"/>
    <w:rsid w:val="00C12583"/>
    <w:pPr>
      <w:tabs>
        <w:tab w:val="left" w:pos="1440"/>
        <w:tab w:val="right" w:leader="dot" w:pos="9071"/>
      </w:tabs>
      <w:spacing w:before="120" w:line="300" w:lineRule="auto"/>
      <w:ind w:left="1440" w:right="365" w:hanging="852"/>
    </w:pPr>
    <w:rPr>
      <w:rFonts w:ascii="Arial" w:hAnsi="Arial"/>
      <w:noProof/>
      <w:sz w:val="20"/>
    </w:rPr>
  </w:style>
  <w:style w:type="paragraph" w:styleId="Zwykytekst">
    <w:name w:val="Plain Text"/>
    <w:basedOn w:val="Normalny"/>
    <w:link w:val="ZwykytekstZnak"/>
    <w:uiPriority w:val="99"/>
    <w:rsid w:val="00C12583"/>
    <w:pPr>
      <w:spacing w:before="120" w:line="300" w:lineRule="auto"/>
    </w:pPr>
    <w:rPr>
      <w:rFonts w:ascii="Courier New" w:hAnsi="Courier New" w:cs="Courier New"/>
      <w:sz w:val="20"/>
      <w:szCs w:val="20"/>
    </w:rPr>
  </w:style>
  <w:style w:type="character" w:customStyle="1" w:styleId="ZwykytekstZnak">
    <w:name w:val="Zwykły tekst Znak"/>
    <w:basedOn w:val="Domylnaczcionkaakapitu"/>
    <w:link w:val="Zwykytekst"/>
    <w:uiPriority w:val="99"/>
    <w:locked/>
    <w:rsid w:val="00C12583"/>
    <w:rPr>
      <w:rFonts w:ascii="Courier New" w:hAnsi="Courier New" w:cs="Courier New"/>
    </w:rPr>
  </w:style>
  <w:style w:type="table" w:styleId="Tabela-Siatka">
    <w:name w:val="Table Grid"/>
    <w:basedOn w:val="Standardowy"/>
    <w:uiPriority w:val="99"/>
    <w:rsid w:val="00C12583"/>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pistreci4">
    <w:name w:val="toc 4"/>
    <w:basedOn w:val="Normalny"/>
    <w:next w:val="Normalny"/>
    <w:autoRedefine/>
    <w:uiPriority w:val="99"/>
    <w:rsid w:val="00C12583"/>
    <w:pPr>
      <w:tabs>
        <w:tab w:val="left" w:pos="1440"/>
        <w:tab w:val="right" w:leader="dot" w:pos="9057"/>
      </w:tabs>
      <w:spacing w:before="120" w:line="300" w:lineRule="auto"/>
      <w:ind w:left="1440" w:right="432" w:hanging="720"/>
    </w:pPr>
    <w:rPr>
      <w:rFonts w:ascii="Arial" w:hAnsi="Arial"/>
      <w:sz w:val="20"/>
    </w:rPr>
  </w:style>
  <w:style w:type="paragraph" w:styleId="Legenda">
    <w:name w:val="caption"/>
    <w:basedOn w:val="Normalny"/>
    <w:next w:val="Normalny"/>
    <w:uiPriority w:val="99"/>
    <w:qFormat/>
    <w:rsid w:val="00C12583"/>
    <w:pPr>
      <w:spacing w:before="120" w:line="300" w:lineRule="auto"/>
      <w:jc w:val="both"/>
    </w:pPr>
    <w:rPr>
      <w:rFonts w:ascii="Arial" w:hAnsi="Arial" w:cs="Comic Sans MS"/>
      <w:iCs/>
      <w:sz w:val="20"/>
      <w:szCs w:val="20"/>
    </w:rPr>
  </w:style>
  <w:style w:type="character" w:styleId="Pogrubienie">
    <w:name w:val="Strong"/>
    <w:basedOn w:val="Domylnaczcionkaakapitu"/>
    <w:uiPriority w:val="99"/>
    <w:qFormat/>
    <w:rsid w:val="00C12583"/>
    <w:rPr>
      <w:rFonts w:cs="Times New Roman"/>
      <w:b/>
    </w:rPr>
  </w:style>
  <w:style w:type="paragraph" w:customStyle="1" w:styleId="Tekstpodstawowywci">
    <w:name w:val="Tekst podstawowy wci"/>
    <w:basedOn w:val="Normalny"/>
    <w:uiPriority w:val="99"/>
    <w:rsid w:val="00C12583"/>
    <w:pPr>
      <w:spacing w:before="120" w:line="300" w:lineRule="auto"/>
      <w:jc w:val="both"/>
    </w:pPr>
    <w:rPr>
      <w:rFonts w:ascii="Arial" w:hAnsi="Arial"/>
      <w:sz w:val="20"/>
    </w:rPr>
  </w:style>
  <w:style w:type="character" w:customStyle="1" w:styleId="ZnakZnak3">
    <w:name w:val="Znak Znak3"/>
    <w:uiPriority w:val="99"/>
    <w:locked/>
    <w:rsid w:val="00C12583"/>
    <w:rPr>
      <w:rFonts w:ascii="Arial" w:hAnsi="Arial"/>
      <w:lang w:val="pl-PL" w:eastAsia="pl-PL"/>
    </w:rPr>
  </w:style>
  <w:style w:type="paragraph" w:customStyle="1" w:styleId="wypunktowanie1">
    <w:name w:val="wypunktowanie 1"/>
    <w:uiPriority w:val="99"/>
    <w:rsid w:val="00C12583"/>
    <w:pPr>
      <w:spacing w:before="120" w:line="300" w:lineRule="auto"/>
      <w:jc w:val="both"/>
    </w:pPr>
    <w:rPr>
      <w:rFonts w:ascii="Arial" w:hAnsi="Arial" w:cs="Arial"/>
      <w:sz w:val="20"/>
      <w:szCs w:val="20"/>
    </w:rPr>
  </w:style>
  <w:style w:type="paragraph" w:customStyle="1" w:styleId="Tabela">
    <w:name w:val="Tabela"/>
    <w:basedOn w:val="Legenda"/>
    <w:uiPriority w:val="99"/>
    <w:rsid w:val="00C12583"/>
    <w:pPr>
      <w:tabs>
        <w:tab w:val="left" w:pos="1260"/>
      </w:tabs>
      <w:spacing w:before="360"/>
      <w:ind w:left="1259" w:hanging="1259"/>
    </w:pPr>
  </w:style>
  <w:style w:type="paragraph" w:styleId="Spisilustracji">
    <w:name w:val="table of figures"/>
    <w:basedOn w:val="Normalny"/>
    <w:next w:val="Normalny"/>
    <w:uiPriority w:val="99"/>
    <w:rsid w:val="00C12583"/>
    <w:pPr>
      <w:tabs>
        <w:tab w:val="left" w:pos="1260"/>
        <w:tab w:val="right" w:leader="dot" w:pos="9062"/>
      </w:tabs>
      <w:spacing w:before="120" w:line="300" w:lineRule="auto"/>
      <w:ind w:left="1260" w:hanging="1260"/>
    </w:pPr>
    <w:rPr>
      <w:rFonts w:ascii="Arial" w:hAnsi="Arial" w:cs="Arial"/>
      <w:noProof/>
      <w:sz w:val="20"/>
    </w:rPr>
  </w:style>
  <w:style w:type="paragraph" w:customStyle="1" w:styleId="wypunktowanie0">
    <w:name w:val="wypunktowanie 0"/>
    <w:basedOn w:val="wypunktowanie1"/>
    <w:uiPriority w:val="99"/>
    <w:rsid w:val="00C12583"/>
    <w:pPr>
      <w:ind w:left="284" w:hanging="284"/>
    </w:pPr>
  </w:style>
  <w:style w:type="paragraph" w:customStyle="1" w:styleId="hasodef">
    <w:name w:val="hasło_def"/>
    <w:basedOn w:val="Normalny"/>
    <w:uiPriority w:val="99"/>
    <w:rsid w:val="00C12583"/>
    <w:pPr>
      <w:spacing w:before="120" w:line="300" w:lineRule="auto"/>
      <w:jc w:val="both"/>
    </w:pPr>
    <w:rPr>
      <w:rFonts w:ascii="Arial" w:hAnsi="Arial"/>
      <w:b/>
      <w:sz w:val="20"/>
    </w:rPr>
  </w:style>
  <w:style w:type="paragraph" w:customStyle="1" w:styleId="StandardowyStandardowy1">
    <w:name w:val="Standardowy.Standardowy1"/>
    <w:uiPriority w:val="99"/>
    <w:rsid w:val="00C12583"/>
    <w:rPr>
      <w:sz w:val="20"/>
      <w:szCs w:val="20"/>
    </w:rPr>
  </w:style>
  <w:style w:type="character" w:styleId="Uwydatnienie">
    <w:name w:val="Emphasis"/>
    <w:basedOn w:val="Domylnaczcionkaakapitu"/>
    <w:uiPriority w:val="99"/>
    <w:qFormat/>
    <w:rsid w:val="00C12583"/>
    <w:rPr>
      <w:rFonts w:cs="Times New Roman"/>
      <w:b/>
    </w:rPr>
  </w:style>
  <w:style w:type="paragraph" w:customStyle="1" w:styleId="Default">
    <w:name w:val="Default"/>
    <w:uiPriority w:val="99"/>
    <w:rsid w:val="00C12583"/>
    <w:rPr>
      <w:rFonts w:ascii="ComicSansMS-Bold" w:hAnsi="ComicSansMS-Bold" w:cs="ComicSansMS-Bold"/>
      <w:sz w:val="20"/>
      <w:szCs w:val="20"/>
    </w:rPr>
  </w:style>
  <w:style w:type="paragraph" w:customStyle="1" w:styleId="wypunktowanie2">
    <w:name w:val="wypunktowanie 2"/>
    <w:basedOn w:val="wypunktowanie1"/>
    <w:uiPriority w:val="99"/>
    <w:rsid w:val="00C12583"/>
    <w:pPr>
      <w:ind w:left="900"/>
    </w:pPr>
  </w:style>
  <w:style w:type="paragraph" w:customStyle="1" w:styleId="wypunktowanie3">
    <w:name w:val="wypunktowanie 3"/>
    <w:basedOn w:val="wypunktowanie2"/>
    <w:uiPriority w:val="99"/>
    <w:rsid w:val="00C12583"/>
    <w:pPr>
      <w:ind w:left="1620"/>
    </w:pPr>
  </w:style>
  <w:style w:type="paragraph" w:customStyle="1" w:styleId="tabelawpis">
    <w:name w:val="tabela wpis"/>
    <w:basedOn w:val="Normalny"/>
    <w:uiPriority w:val="99"/>
    <w:rsid w:val="00C12583"/>
    <w:pPr>
      <w:spacing w:before="60" w:after="60" w:line="300" w:lineRule="auto"/>
    </w:pPr>
    <w:rPr>
      <w:rFonts w:ascii="Arial" w:hAnsi="Arial" w:cs="Arial"/>
      <w:sz w:val="20"/>
      <w:szCs w:val="20"/>
    </w:rPr>
  </w:style>
  <w:style w:type="character" w:customStyle="1" w:styleId="ZnakZnak7">
    <w:name w:val="Znak Znak7"/>
    <w:uiPriority w:val="99"/>
    <w:locked/>
    <w:rsid w:val="00C12583"/>
    <w:rPr>
      <w:rFonts w:ascii="Arial" w:hAnsi="Arial"/>
      <w:sz w:val="28"/>
      <w:lang w:val="pl-PL" w:eastAsia="pl-PL"/>
    </w:rPr>
  </w:style>
  <w:style w:type="character" w:customStyle="1" w:styleId="ZnakZnak6">
    <w:name w:val="Znak Znak6"/>
    <w:uiPriority w:val="99"/>
    <w:rsid w:val="00C12583"/>
    <w:rPr>
      <w:rFonts w:ascii="Book Antiqua" w:hAnsi="Book Antiqua"/>
    </w:rPr>
  </w:style>
  <w:style w:type="character" w:customStyle="1" w:styleId="FootnoteCharacters">
    <w:name w:val="Footnote Characters"/>
    <w:uiPriority w:val="99"/>
    <w:rsid w:val="00C12583"/>
    <w:rPr>
      <w:vertAlign w:val="superscript"/>
    </w:rPr>
  </w:style>
  <w:style w:type="paragraph" w:styleId="Lista">
    <w:name w:val="List"/>
    <w:basedOn w:val="Normalny"/>
    <w:uiPriority w:val="99"/>
    <w:rsid w:val="00C12583"/>
    <w:pPr>
      <w:tabs>
        <w:tab w:val="num" w:pos="964"/>
      </w:tabs>
      <w:spacing w:before="120" w:line="300" w:lineRule="auto"/>
      <w:ind w:left="964" w:hanging="397"/>
      <w:jc w:val="both"/>
    </w:pPr>
    <w:rPr>
      <w:rFonts w:ascii="Book Antiqua" w:hAnsi="Book Antiqua"/>
      <w:sz w:val="20"/>
      <w:szCs w:val="20"/>
    </w:rPr>
  </w:style>
  <w:style w:type="paragraph" w:styleId="Spistreci5">
    <w:name w:val="toc 5"/>
    <w:basedOn w:val="Normalny"/>
    <w:next w:val="Normalny"/>
    <w:autoRedefine/>
    <w:uiPriority w:val="99"/>
    <w:rsid w:val="00C12583"/>
    <w:pPr>
      <w:spacing w:before="120" w:line="300" w:lineRule="auto"/>
      <w:ind w:left="960"/>
    </w:pPr>
    <w:rPr>
      <w:rFonts w:ascii="Arial" w:hAnsi="Arial"/>
      <w:sz w:val="20"/>
    </w:rPr>
  </w:style>
  <w:style w:type="paragraph" w:styleId="Spistreci6">
    <w:name w:val="toc 6"/>
    <w:basedOn w:val="Normalny"/>
    <w:next w:val="Normalny"/>
    <w:autoRedefine/>
    <w:uiPriority w:val="99"/>
    <w:rsid w:val="00C12583"/>
    <w:pPr>
      <w:spacing w:before="120" w:line="300" w:lineRule="auto"/>
      <w:ind w:left="1200"/>
    </w:pPr>
    <w:rPr>
      <w:rFonts w:ascii="Arial" w:hAnsi="Arial"/>
      <w:sz w:val="20"/>
    </w:rPr>
  </w:style>
  <w:style w:type="paragraph" w:styleId="Spistreci7">
    <w:name w:val="toc 7"/>
    <w:basedOn w:val="Normalny"/>
    <w:next w:val="Normalny"/>
    <w:autoRedefine/>
    <w:uiPriority w:val="99"/>
    <w:rsid w:val="00C12583"/>
    <w:pPr>
      <w:spacing w:before="120" w:line="300" w:lineRule="auto"/>
      <w:ind w:left="1440"/>
    </w:pPr>
    <w:rPr>
      <w:rFonts w:ascii="Arial" w:hAnsi="Arial"/>
      <w:sz w:val="20"/>
    </w:rPr>
  </w:style>
  <w:style w:type="paragraph" w:styleId="Spistreci8">
    <w:name w:val="toc 8"/>
    <w:basedOn w:val="Normalny"/>
    <w:next w:val="Normalny"/>
    <w:autoRedefine/>
    <w:uiPriority w:val="99"/>
    <w:rsid w:val="00C12583"/>
    <w:pPr>
      <w:spacing w:before="120" w:line="300" w:lineRule="auto"/>
      <w:ind w:left="1680"/>
    </w:pPr>
    <w:rPr>
      <w:rFonts w:ascii="Arial" w:hAnsi="Arial"/>
      <w:sz w:val="20"/>
    </w:rPr>
  </w:style>
  <w:style w:type="paragraph" w:styleId="Spistreci9">
    <w:name w:val="toc 9"/>
    <w:basedOn w:val="Normalny"/>
    <w:next w:val="Normalny"/>
    <w:autoRedefine/>
    <w:uiPriority w:val="99"/>
    <w:rsid w:val="00C12583"/>
    <w:pPr>
      <w:spacing w:before="120" w:line="300" w:lineRule="auto"/>
      <w:ind w:left="1920"/>
    </w:pPr>
    <w:rPr>
      <w:rFonts w:ascii="Arial" w:hAnsi="Arial"/>
      <w:sz w:val="20"/>
    </w:rPr>
  </w:style>
  <w:style w:type="paragraph" w:styleId="Lista-kontynuacja">
    <w:name w:val="List Continue"/>
    <w:basedOn w:val="Normalny"/>
    <w:uiPriority w:val="99"/>
    <w:rsid w:val="00C12583"/>
    <w:pPr>
      <w:spacing w:before="120" w:after="120" w:line="300" w:lineRule="auto"/>
      <w:ind w:left="283"/>
    </w:pPr>
    <w:rPr>
      <w:rFonts w:ascii="Arial" w:hAnsi="Arial"/>
      <w:sz w:val="20"/>
    </w:rPr>
  </w:style>
  <w:style w:type="paragraph" w:customStyle="1" w:styleId="bodytext2">
    <w:name w:val="bodytext2"/>
    <w:basedOn w:val="Normalny"/>
    <w:uiPriority w:val="99"/>
    <w:rsid w:val="00C12583"/>
    <w:pPr>
      <w:spacing w:before="120" w:line="360" w:lineRule="auto"/>
      <w:jc w:val="both"/>
    </w:pPr>
    <w:rPr>
      <w:rFonts w:ascii="Bookman Old Style" w:hAnsi="Bookman Old Style" w:cs="Bookman Old Style"/>
      <w:sz w:val="20"/>
    </w:rPr>
  </w:style>
  <w:style w:type="paragraph" w:customStyle="1" w:styleId="ZnakZnakCharChar">
    <w:name w:val="Znak Znak Char Char"/>
    <w:basedOn w:val="Normalny"/>
    <w:uiPriority w:val="99"/>
    <w:rsid w:val="00C12583"/>
    <w:pPr>
      <w:spacing w:before="120" w:after="120" w:line="240" w:lineRule="exact"/>
    </w:pPr>
    <w:rPr>
      <w:rFonts w:ascii="Verdana" w:hAnsi="Verdana" w:cs="Verdana"/>
      <w:sz w:val="20"/>
      <w:szCs w:val="20"/>
      <w:lang w:eastAsia="en-US"/>
    </w:rPr>
  </w:style>
  <w:style w:type="paragraph" w:customStyle="1" w:styleId="bullet1">
    <w:name w:val="bullet(1)"/>
    <w:basedOn w:val="Normalny"/>
    <w:uiPriority w:val="99"/>
    <w:rsid w:val="00C12583"/>
    <w:pPr>
      <w:tabs>
        <w:tab w:val="num" w:pos="360"/>
      </w:tabs>
      <w:spacing w:before="120" w:line="360" w:lineRule="auto"/>
      <w:ind w:left="357" w:hanging="357"/>
      <w:jc w:val="both"/>
    </w:pPr>
    <w:rPr>
      <w:rFonts w:ascii="Arial" w:hAnsi="Arial" w:cs="Arial"/>
      <w:color w:val="000000"/>
      <w:sz w:val="22"/>
      <w:szCs w:val="22"/>
    </w:rPr>
  </w:style>
  <w:style w:type="paragraph" w:styleId="Listanumerowana2">
    <w:name w:val="List Number 2"/>
    <w:basedOn w:val="Normalny"/>
    <w:uiPriority w:val="99"/>
    <w:rsid w:val="00C12583"/>
    <w:pPr>
      <w:tabs>
        <w:tab w:val="num" w:pos="1069"/>
      </w:tabs>
      <w:spacing w:before="120" w:line="300" w:lineRule="auto"/>
      <w:ind w:left="1069" w:hanging="360"/>
    </w:pPr>
    <w:rPr>
      <w:rFonts w:ascii="Arial" w:hAnsi="Arial"/>
      <w:sz w:val="20"/>
      <w:szCs w:val="20"/>
    </w:rPr>
  </w:style>
  <w:style w:type="paragraph" w:customStyle="1" w:styleId="ZnakZnakZnakZnakZnakZnakZnakZnakZnakZnakZnakZnakZnak">
    <w:name w:val="Znak Znak Znak Znak Znak Znak Znak Znak Znak Znak Znak Znak Znak"/>
    <w:basedOn w:val="Normalny"/>
    <w:autoRedefine/>
    <w:uiPriority w:val="99"/>
    <w:rsid w:val="00C12583"/>
    <w:pPr>
      <w:spacing w:after="120" w:line="240" w:lineRule="exact"/>
    </w:pPr>
    <w:rPr>
      <w:rFonts w:ascii="Arial" w:hAnsi="Arial" w:cs="Arial"/>
      <w:sz w:val="20"/>
      <w:szCs w:val="20"/>
      <w:lang w:val="en-US" w:eastAsia="en-US"/>
    </w:rPr>
  </w:style>
  <w:style w:type="paragraph" w:customStyle="1" w:styleId="BalloonText1">
    <w:name w:val="Balloon Text1"/>
    <w:basedOn w:val="Normalny"/>
    <w:uiPriority w:val="99"/>
    <w:rsid w:val="00C12583"/>
    <w:rPr>
      <w:rFonts w:ascii="Tahoma" w:hAnsi="Tahoma" w:cs="Tahoma"/>
      <w:sz w:val="16"/>
      <w:szCs w:val="16"/>
    </w:rPr>
  </w:style>
  <w:style w:type="paragraph" w:styleId="Listapunktowana2">
    <w:name w:val="List Bullet 2"/>
    <w:basedOn w:val="Normalny"/>
    <w:uiPriority w:val="99"/>
    <w:rsid w:val="00C12583"/>
    <w:pPr>
      <w:tabs>
        <w:tab w:val="num" w:pos="1960"/>
      </w:tabs>
      <w:ind w:left="1960" w:hanging="340"/>
    </w:pPr>
  </w:style>
  <w:style w:type="paragraph" w:styleId="NormalnyWeb">
    <w:name w:val="Normal (Web)"/>
    <w:basedOn w:val="Normalny"/>
    <w:uiPriority w:val="99"/>
    <w:rsid w:val="00C12583"/>
    <w:pPr>
      <w:spacing w:before="100" w:beforeAutospacing="1" w:after="100" w:afterAutospacing="1"/>
    </w:pPr>
  </w:style>
  <w:style w:type="paragraph" w:customStyle="1" w:styleId="TPNagwek1">
    <w:name w:val="TP_Nagłówek_1"/>
    <w:basedOn w:val="Nagwek1"/>
    <w:uiPriority w:val="99"/>
    <w:rsid w:val="00C12583"/>
    <w:pPr>
      <w:tabs>
        <w:tab w:val="clear" w:pos="3600"/>
      </w:tabs>
      <w:spacing w:before="240" w:after="60" w:line="300" w:lineRule="auto"/>
      <w:ind w:right="0"/>
      <w:jc w:val="left"/>
    </w:pPr>
    <w:rPr>
      <w:rFonts w:ascii="Arial" w:hAnsi="Arial" w:cs="Arial"/>
      <w:b w:val="0"/>
      <w:kern w:val="32"/>
      <w:sz w:val="32"/>
      <w:szCs w:val="32"/>
    </w:rPr>
  </w:style>
  <w:style w:type="paragraph" w:customStyle="1" w:styleId="TPNagwek3">
    <w:name w:val="TP_Nagłówek_3"/>
    <w:basedOn w:val="Nagwek3"/>
    <w:next w:val="Nagwek4"/>
    <w:uiPriority w:val="99"/>
    <w:rsid w:val="00C12583"/>
    <w:pPr>
      <w:numPr>
        <w:ilvl w:val="2"/>
      </w:numPr>
      <w:tabs>
        <w:tab w:val="num" w:pos="454"/>
      </w:tabs>
      <w:spacing w:after="180" w:line="300" w:lineRule="auto"/>
      <w:ind w:left="454" w:hanging="454"/>
      <w:jc w:val="both"/>
    </w:pPr>
    <w:rPr>
      <w:rFonts w:ascii="Arial" w:hAnsi="Arial" w:cs="Arial"/>
      <w:b w:val="0"/>
      <w:sz w:val="20"/>
      <w:szCs w:val="26"/>
    </w:rPr>
  </w:style>
  <w:style w:type="paragraph" w:customStyle="1" w:styleId="TPNagwek2">
    <w:name w:val="TP_Nagłówek_2"/>
    <w:basedOn w:val="Nagwek2"/>
    <w:next w:val="Nagwek3"/>
    <w:uiPriority w:val="99"/>
    <w:rsid w:val="00C12583"/>
    <w:pPr>
      <w:numPr>
        <w:ilvl w:val="1"/>
      </w:numPr>
      <w:tabs>
        <w:tab w:val="left" w:pos="1800"/>
      </w:tabs>
      <w:spacing w:before="240" w:after="240" w:line="300" w:lineRule="auto"/>
      <w:jc w:val="center"/>
    </w:pPr>
    <w:rPr>
      <w:rFonts w:ascii="Arial" w:hAnsi="Arial"/>
      <w:bCs w:val="0"/>
      <w:i/>
      <w:sz w:val="20"/>
      <w:lang w:val="en-GB"/>
    </w:rPr>
  </w:style>
  <w:style w:type="paragraph" w:customStyle="1" w:styleId="TPNagwek4">
    <w:name w:val="TP_Nagłówek_4"/>
    <w:basedOn w:val="TPNagwek3"/>
    <w:next w:val="Nagwek5"/>
    <w:uiPriority w:val="99"/>
    <w:rsid w:val="00C12583"/>
    <w:pPr>
      <w:numPr>
        <w:ilvl w:val="3"/>
      </w:numPr>
      <w:tabs>
        <w:tab w:val="num" w:pos="454"/>
        <w:tab w:val="left" w:pos="907"/>
      </w:tabs>
      <w:ind w:left="907" w:hanging="453"/>
    </w:pPr>
  </w:style>
  <w:style w:type="paragraph" w:customStyle="1" w:styleId="ZnakZnakZnakZnakZnakZnak">
    <w:name w:val="Znak Znak Znak Znak Znak Znak"/>
    <w:basedOn w:val="Normalny"/>
    <w:uiPriority w:val="99"/>
    <w:rsid w:val="00C12583"/>
    <w:pPr>
      <w:tabs>
        <w:tab w:val="left" w:pos="709"/>
      </w:tabs>
      <w:spacing w:before="120" w:line="300" w:lineRule="auto"/>
    </w:pPr>
    <w:rPr>
      <w:rFonts w:ascii="Tahoma" w:eastAsia="Batang" w:hAnsi="Tahoma" w:cs="Tahoma"/>
      <w:sz w:val="20"/>
    </w:rPr>
  </w:style>
  <w:style w:type="paragraph" w:customStyle="1" w:styleId="ZnakZnakZnakZnakZnakZnakZnak">
    <w:name w:val="Znak Znak Znak Znak Znak Znak Znak"/>
    <w:basedOn w:val="Normalny"/>
    <w:autoRedefine/>
    <w:uiPriority w:val="99"/>
    <w:rsid w:val="00C12583"/>
    <w:pPr>
      <w:spacing w:before="120" w:after="120" w:line="240" w:lineRule="exact"/>
    </w:pPr>
    <w:rPr>
      <w:rFonts w:ascii="Arial" w:hAnsi="Arial" w:cs="Arial"/>
      <w:sz w:val="20"/>
      <w:szCs w:val="20"/>
      <w:lang w:val="en-US" w:eastAsia="en-US"/>
    </w:rPr>
  </w:style>
  <w:style w:type="character" w:customStyle="1" w:styleId="Tekstpodstawowy3Znak1">
    <w:name w:val="Tekst podstawowy 3 Znak1"/>
    <w:basedOn w:val="Domylnaczcionkaakapitu"/>
    <w:uiPriority w:val="99"/>
    <w:semiHidden/>
    <w:rsid w:val="00C12583"/>
    <w:rPr>
      <w:rFonts w:ascii="Arial" w:hAnsi="Arial" w:cs="Times New Roman"/>
      <w:sz w:val="16"/>
      <w:szCs w:val="16"/>
    </w:rPr>
  </w:style>
  <w:style w:type="paragraph" w:styleId="Tekstpodstawowywcity">
    <w:name w:val="Body Text Indent"/>
    <w:basedOn w:val="Normalny"/>
    <w:link w:val="TekstpodstawowywcityZnak"/>
    <w:uiPriority w:val="99"/>
    <w:rsid w:val="00C12583"/>
    <w:pPr>
      <w:spacing w:before="120" w:after="120" w:line="300" w:lineRule="auto"/>
      <w:ind w:left="283"/>
    </w:pPr>
  </w:style>
  <w:style w:type="character" w:customStyle="1" w:styleId="TekstpodstawowywcityZnak">
    <w:name w:val="Tekst podstawowy wcięty Znak"/>
    <w:basedOn w:val="Domylnaczcionkaakapitu"/>
    <w:link w:val="Tekstpodstawowywcity"/>
    <w:uiPriority w:val="99"/>
    <w:locked/>
    <w:rsid w:val="00C12583"/>
    <w:rPr>
      <w:rFonts w:cs="Times New Roman"/>
      <w:sz w:val="24"/>
      <w:szCs w:val="24"/>
      <w:lang w:val="pl-PL" w:eastAsia="pl-PL"/>
    </w:rPr>
  </w:style>
  <w:style w:type="paragraph" w:customStyle="1" w:styleId="ZnakZnakZnakZnakZnak">
    <w:name w:val="Znak Znak Znak Znak Znak"/>
    <w:basedOn w:val="Normalny"/>
    <w:autoRedefine/>
    <w:uiPriority w:val="99"/>
    <w:rsid w:val="00C12583"/>
    <w:pPr>
      <w:spacing w:before="120" w:after="120" w:line="240" w:lineRule="exact"/>
    </w:pPr>
    <w:rPr>
      <w:rFonts w:ascii="Arial" w:hAnsi="Arial" w:cs="Arial"/>
      <w:sz w:val="20"/>
      <w:szCs w:val="20"/>
      <w:lang w:val="en-US" w:eastAsia="en-US"/>
    </w:rPr>
  </w:style>
  <w:style w:type="paragraph" w:customStyle="1" w:styleId="Nag3wek8">
    <w:name w:val="Nag3ówek 8"/>
    <w:basedOn w:val="Normalny"/>
    <w:next w:val="Normalny"/>
    <w:uiPriority w:val="99"/>
    <w:rsid w:val="00C12583"/>
    <w:pPr>
      <w:spacing w:before="120" w:line="300" w:lineRule="auto"/>
    </w:pPr>
    <w:rPr>
      <w:rFonts w:ascii="ComicSansMS-Bold" w:hAnsi="ComicSansMS-Bold" w:cs="ComicSansMS-Bold"/>
      <w:sz w:val="20"/>
    </w:rPr>
  </w:style>
  <w:style w:type="paragraph" w:customStyle="1" w:styleId="Tekstpodstawowywcitybi">
    <w:name w:val="Tekst podstawowy wcięty.bi"/>
    <w:basedOn w:val="Normalny"/>
    <w:uiPriority w:val="99"/>
    <w:rsid w:val="00C12583"/>
    <w:pPr>
      <w:tabs>
        <w:tab w:val="left" w:pos="360"/>
      </w:tabs>
      <w:ind w:left="360"/>
      <w:jc w:val="both"/>
    </w:pPr>
  </w:style>
  <w:style w:type="paragraph" w:customStyle="1" w:styleId="Tekstpodstawowybb1">
    <w:name w:val="Tekst podstawowy.b.b1"/>
    <w:basedOn w:val="StandardowyStandardowy1"/>
    <w:uiPriority w:val="99"/>
    <w:rsid w:val="00C12583"/>
    <w:pPr>
      <w:jc w:val="both"/>
    </w:pPr>
    <w:rPr>
      <w:rFonts w:ascii="Arial" w:hAnsi="Arial" w:cs="Arial"/>
      <w:sz w:val="24"/>
      <w:szCs w:val="24"/>
    </w:rPr>
  </w:style>
  <w:style w:type="paragraph" w:customStyle="1" w:styleId="ZnakZnakZnakZnakZnakZnakZnakZnakZnakZnakZnakZnakZnak1">
    <w:name w:val="Znak Znak Znak Znak Znak Znak Znak Znak Znak Znak Znak Znak Znak1"/>
    <w:basedOn w:val="Normalny"/>
    <w:autoRedefine/>
    <w:uiPriority w:val="99"/>
    <w:rsid w:val="00C12583"/>
    <w:pPr>
      <w:spacing w:after="120" w:line="240" w:lineRule="exact"/>
    </w:pPr>
    <w:rPr>
      <w:rFonts w:ascii="Arial" w:hAnsi="Arial" w:cs="Arial"/>
      <w:sz w:val="20"/>
      <w:szCs w:val="20"/>
      <w:lang w:val="en-US" w:eastAsia="en-US"/>
    </w:rPr>
  </w:style>
  <w:style w:type="paragraph" w:customStyle="1" w:styleId="wypunktowanie">
    <w:name w:val="wypunktowanie"/>
    <w:uiPriority w:val="99"/>
    <w:rsid w:val="00C12583"/>
    <w:pPr>
      <w:tabs>
        <w:tab w:val="num" w:pos="360"/>
        <w:tab w:val="num" w:pos="900"/>
      </w:tabs>
      <w:spacing w:before="120" w:line="300" w:lineRule="auto"/>
      <w:ind w:left="901" w:hanging="181"/>
      <w:jc w:val="both"/>
    </w:pPr>
    <w:rPr>
      <w:rFonts w:ascii="Arial" w:hAnsi="Arial" w:cs="Arial"/>
      <w:sz w:val="20"/>
      <w:szCs w:val="20"/>
    </w:rPr>
  </w:style>
  <w:style w:type="paragraph" w:customStyle="1" w:styleId="ZnakZnakCharChar1">
    <w:name w:val="Znak Znak Char Char1"/>
    <w:basedOn w:val="Normalny"/>
    <w:uiPriority w:val="99"/>
    <w:rsid w:val="00C12583"/>
    <w:pPr>
      <w:spacing w:after="120" w:line="240" w:lineRule="exact"/>
    </w:pPr>
    <w:rPr>
      <w:rFonts w:ascii="Verdana" w:hAnsi="Verdana" w:cs="Verdana"/>
      <w:sz w:val="20"/>
      <w:szCs w:val="20"/>
      <w:lang w:eastAsia="en-US"/>
    </w:rPr>
  </w:style>
  <w:style w:type="character" w:styleId="UyteHipercze">
    <w:name w:val="FollowedHyperlink"/>
    <w:basedOn w:val="Domylnaczcionkaakapitu"/>
    <w:uiPriority w:val="99"/>
    <w:rsid w:val="00C12583"/>
    <w:rPr>
      <w:rFonts w:cs="Times New Roman"/>
      <w:color w:val="606420"/>
      <w:u w:val="single"/>
    </w:rPr>
  </w:style>
  <w:style w:type="paragraph" w:customStyle="1" w:styleId="tekstpodsta0">
    <w:name w:val="tekst podst a) 0"/>
    <w:basedOn w:val="tekstpodsta"/>
    <w:uiPriority w:val="99"/>
    <w:rsid w:val="00C12583"/>
    <w:pPr>
      <w:ind w:left="360"/>
    </w:pPr>
  </w:style>
  <w:style w:type="character" w:customStyle="1" w:styleId="Styl3TPprawny-IustpwyliczeniaIpoziomZnakZnakZnak">
    <w:name w:val="Styl 3 TP prawny-I ustęp (wyliczenia I poziom) Znak Znak Znak"/>
    <w:uiPriority w:val="99"/>
    <w:locked/>
    <w:rsid w:val="00C12583"/>
    <w:rPr>
      <w:b/>
      <w:sz w:val="28"/>
      <w:lang w:val="pl-PL" w:eastAsia="pl-PL"/>
    </w:rPr>
  </w:style>
  <w:style w:type="paragraph" w:customStyle="1" w:styleId="tabelanagwek">
    <w:name w:val="tabela_nagłówek"/>
    <w:basedOn w:val="Normalny"/>
    <w:uiPriority w:val="99"/>
    <w:rsid w:val="00C12583"/>
    <w:pPr>
      <w:spacing w:before="120" w:after="120"/>
      <w:jc w:val="center"/>
    </w:pPr>
    <w:rPr>
      <w:rFonts w:ascii="Arial" w:hAnsi="Arial" w:cs="Arial"/>
      <w:b/>
      <w:bCs/>
      <w:sz w:val="20"/>
      <w:szCs w:val="20"/>
    </w:rPr>
  </w:style>
  <w:style w:type="paragraph" w:customStyle="1" w:styleId="tabelanagwekLP">
    <w:name w:val="tabela_nagłówek_LP"/>
    <w:basedOn w:val="Normalny"/>
    <w:uiPriority w:val="99"/>
    <w:rsid w:val="00C12583"/>
    <w:pPr>
      <w:spacing w:before="120" w:after="120"/>
      <w:jc w:val="center"/>
    </w:pPr>
    <w:rPr>
      <w:rFonts w:ascii="Arial" w:hAnsi="Arial" w:cs="Arial"/>
      <w:sz w:val="20"/>
      <w:szCs w:val="20"/>
    </w:rPr>
  </w:style>
  <w:style w:type="paragraph" w:customStyle="1" w:styleId="tabelatekst">
    <w:name w:val="tabela_tekst"/>
    <w:basedOn w:val="Normalny"/>
    <w:uiPriority w:val="99"/>
    <w:rsid w:val="00C12583"/>
    <w:pPr>
      <w:spacing w:before="120" w:after="120" w:line="280" w:lineRule="exact"/>
      <w:jc w:val="center"/>
    </w:pPr>
    <w:rPr>
      <w:rFonts w:ascii="Arial" w:hAnsi="Arial" w:cs="Arial"/>
      <w:sz w:val="20"/>
      <w:szCs w:val="20"/>
    </w:rPr>
  </w:style>
  <w:style w:type="paragraph" w:customStyle="1" w:styleId="tabelawyjustowany">
    <w:name w:val="tabela_wyjustowany"/>
    <w:basedOn w:val="tabelatekst"/>
    <w:uiPriority w:val="99"/>
    <w:rsid w:val="00C12583"/>
    <w:pPr>
      <w:jc w:val="left"/>
    </w:pPr>
  </w:style>
  <w:style w:type="paragraph" w:customStyle="1" w:styleId="tabelaniskiwiersz">
    <w:name w:val="tabela_niski wiersz"/>
    <w:basedOn w:val="tabelatekst"/>
    <w:uiPriority w:val="99"/>
    <w:rsid w:val="00C12583"/>
    <w:pPr>
      <w:spacing w:before="60" w:after="60" w:line="240" w:lineRule="auto"/>
    </w:pPr>
  </w:style>
  <w:style w:type="paragraph" w:styleId="Tekstprzypisukocowego">
    <w:name w:val="endnote text"/>
    <w:basedOn w:val="Normalny"/>
    <w:link w:val="TekstprzypisukocowegoZnak"/>
    <w:uiPriority w:val="99"/>
    <w:rsid w:val="00C12583"/>
    <w:pPr>
      <w:spacing w:before="120" w:line="300" w:lineRule="auto"/>
    </w:pPr>
    <w:rPr>
      <w:rFonts w:ascii="Arial" w:hAnsi="Arial"/>
      <w:sz w:val="20"/>
      <w:szCs w:val="20"/>
    </w:rPr>
  </w:style>
  <w:style w:type="character" w:customStyle="1" w:styleId="TekstprzypisukocowegoZnak">
    <w:name w:val="Tekst przypisu końcowego Znak"/>
    <w:basedOn w:val="Domylnaczcionkaakapitu"/>
    <w:link w:val="Tekstprzypisukocowego"/>
    <w:uiPriority w:val="99"/>
    <w:locked/>
    <w:rsid w:val="00C12583"/>
    <w:rPr>
      <w:rFonts w:ascii="Arial" w:hAnsi="Arial" w:cs="Times New Roman"/>
    </w:rPr>
  </w:style>
  <w:style w:type="character" w:styleId="Odwoanieprzypisukocowego">
    <w:name w:val="endnote reference"/>
    <w:basedOn w:val="Domylnaczcionkaakapitu"/>
    <w:uiPriority w:val="99"/>
    <w:rsid w:val="00C12583"/>
    <w:rPr>
      <w:rFonts w:cs="Times New Roman"/>
      <w:vertAlign w:val="superscript"/>
    </w:rPr>
  </w:style>
  <w:style w:type="paragraph" w:customStyle="1" w:styleId="spistabela">
    <w:name w:val="spis_tabela"/>
    <w:basedOn w:val="Spisilustracji"/>
    <w:uiPriority w:val="99"/>
    <w:rsid w:val="00C12583"/>
    <w:pPr>
      <w:tabs>
        <w:tab w:val="clear" w:pos="9062"/>
        <w:tab w:val="right" w:leader="dot" w:pos="9043"/>
      </w:tabs>
      <w:ind w:right="393"/>
    </w:pPr>
  </w:style>
  <w:style w:type="paragraph" w:customStyle="1" w:styleId="cena">
    <w:name w:val="cena"/>
    <w:basedOn w:val="tabelatekst"/>
    <w:uiPriority w:val="99"/>
    <w:rsid w:val="00C12583"/>
    <w:pPr>
      <w:ind w:right="574"/>
      <w:jc w:val="right"/>
    </w:pPr>
  </w:style>
  <w:style w:type="paragraph" w:customStyle="1" w:styleId="normalsolide">
    <w:name w:val="normalsolide"/>
    <w:basedOn w:val="StandardowyStandardowy1"/>
    <w:uiPriority w:val="99"/>
    <w:rsid w:val="00C12583"/>
    <w:pPr>
      <w:keepNext/>
      <w:spacing w:before="120"/>
      <w:jc w:val="both"/>
    </w:pPr>
    <w:rPr>
      <w:rFonts w:ascii="Times" w:hAnsi="Times" w:cs="Times"/>
      <w:sz w:val="24"/>
      <w:szCs w:val="24"/>
    </w:rPr>
  </w:style>
  <w:style w:type="paragraph" w:styleId="Akapitzlist">
    <w:name w:val="List Paragraph"/>
    <w:basedOn w:val="Normalny"/>
    <w:uiPriority w:val="99"/>
    <w:qFormat/>
    <w:rsid w:val="00C12583"/>
    <w:pPr>
      <w:spacing w:before="120" w:line="300" w:lineRule="auto"/>
      <w:ind w:left="708"/>
    </w:pPr>
    <w:rPr>
      <w:rFonts w:ascii="Arial" w:hAnsi="Arial"/>
      <w:sz w:val="20"/>
    </w:rPr>
  </w:style>
  <w:style w:type="paragraph" w:customStyle="1" w:styleId="ZnakZnakZnakZnak">
    <w:name w:val="Znak Znak Znak Znak"/>
    <w:basedOn w:val="Normalny"/>
    <w:autoRedefine/>
    <w:uiPriority w:val="99"/>
    <w:rsid w:val="00C12583"/>
    <w:pPr>
      <w:spacing w:after="120" w:line="240" w:lineRule="exact"/>
    </w:pPr>
    <w:rPr>
      <w:rFonts w:ascii="Arial" w:hAnsi="Arial" w:cs="Arial"/>
      <w:sz w:val="20"/>
      <w:szCs w:val="20"/>
      <w:lang w:val="en-US" w:eastAsia="en-US"/>
    </w:rPr>
  </w:style>
  <w:style w:type="paragraph" w:customStyle="1" w:styleId="newtekstnum1">
    <w:name w:val="new_tekst_num_1"/>
    <w:uiPriority w:val="99"/>
    <w:rsid w:val="00C12583"/>
    <w:pPr>
      <w:tabs>
        <w:tab w:val="num" w:pos="720"/>
      </w:tabs>
      <w:spacing w:before="120" w:line="300" w:lineRule="auto"/>
      <w:ind w:left="720" w:hanging="360"/>
      <w:jc w:val="both"/>
    </w:pPr>
    <w:rPr>
      <w:rFonts w:ascii="Arial" w:hAnsi="Arial" w:cs="Arial"/>
      <w:sz w:val="20"/>
      <w:szCs w:val="20"/>
    </w:rPr>
  </w:style>
  <w:style w:type="paragraph" w:customStyle="1" w:styleId="mojtekstpodstawowy">
    <w:name w:val="moj tekst podstawowy"/>
    <w:basedOn w:val="Normalny"/>
    <w:link w:val="mojtekstpodstawowyZnak"/>
    <w:uiPriority w:val="99"/>
    <w:rsid w:val="00C12583"/>
    <w:pPr>
      <w:spacing w:after="120" w:line="288" w:lineRule="auto"/>
      <w:jc w:val="both"/>
    </w:pPr>
    <w:rPr>
      <w:rFonts w:ascii="Arial" w:hAnsi="Arial"/>
      <w:szCs w:val="20"/>
    </w:rPr>
  </w:style>
  <w:style w:type="character" w:customStyle="1" w:styleId="mojtekstpodstawowyZnak">
    <w:name w:val="moj tekst podstawowy Znak"/>
    <w:link w:val="mojtekstpodstawowy"/>
    <w:uiPriority w:val="99"/>
    <w:locked/>
    <w:rsid w:val="00C12583"/>
    <w:rPr>
      <w:rFonts w:ascii="Arial" w:hAnsi="Arial"/>
      <w:sz w:val="24"/>
    </w:rPr>
  </w:style>
  <w:style w:type="paragraph" w:customStyle="1" w:styleId="ZnakZnakZnakZnakZnakZnakZnakZnakZnakZnak">
    <w:name w:val="Znak Znak Znak Znak Znak Znak Znak Znak Znak Znak"/>
    <w:basedOn w:val="Normalny"/>
    <w:autoRedefine/>
    <w:uiPriority w:val="99"/>
    <w:rsid w:val="00C12583"/>
    <w:pPr>
      <w:spacing w:after="120" w:line="240" w:lineRule="exact"/>
    </w:pPr>
    <w:rPr>
      <w:rFonts w:ascii="Arial" w:hAnsi="Arial" w:cs="Arial"/>
      <w:sz w:val="20"/>
      <w:szCs w:val="20"/>
      <w:lang w:val="en-US" w:eastAsia="en-US"/>
    </w:rPr>
  </w:style>
  <w:style w:type="paragraph" w:customStyle="1" w:styleId="Znak1">
    <w:name w:val="Znak1"/>
    <w:basedOn w:val="Normalny"/>
    <w:autoRedefine/>
    <w:uiPriority w:val="99"/>
    <w:rsid w:val="00C12583"/>
    <w:pPr>
      <w:spacing w:after="120" w:line="240" w:lineRule="exact"/>
    </w:pPr>
    <w:rPr>
      <w:rFonts w:ascii="Arial" w:hAnsi="Arial" w:cs="Arial"/>
      <w:sz w:val="20"/>
      <w:szCs w:val="20"/>
      <w:lang w:val="en-US" w:eastAsia="en-US"/>
    </w:rPr>
  </w:style>
  <w:style w:type="paragraph" w:customStyle="1" w:styleId="ZnakZnak5ZnakZnak">
    <w:name w:val="Znak Znak5 Znak Znak"/>
    <w:basedOn w:val="Normalny"/>
    <w:uiPriority w:val="99"/>
    <w:semiHidden/>
    <w:rsid w:val="00C12583"/>
    <w:pPr>
      <w:spacing w:after="160" w:line="240" w:lineRule="exact"/>
    </w:pPr>
    <w:rPr>
      <w:rFonts w:ascii="Arial" w:hAnsi="Arial"/>
      <w:sz w:val="22"/>
      <w:szCs w:val="22"/>
      <w:lang w:val="en-US" w:eastAsia="en-US"/>
    </w:rPr>
  </w:style>
  <w:style w:type="paragraph" w:customStyle="1" w:styleId="tabelanagwek0">
    <w:name w:val="tabelanagwek"/>
    <w:basedOn w:val="Normalny"/>
    <w:uiPriority w:val="99"/>
    <w:rsid w:val="00C12583"/>
    <w:pPr>
      <w:spacing w:before="100" w:beforeAutospacing="1" w:after="100" w:afterAutospacing="1"/>
    </w:pPr>
  </w:style>
  <w:style w:type="paragraph" w:customStyle="1" w:styleId="tabelanagweklp0">
    <w:name w:val="tabelanagweklp"/>
    <w:basedOn w:val="Normalny"/>
    <w:uiPriority w:val="99"/>
    <w:rsid w:val="00C12583"/>
    <w:pPr>
      <w:spacing w:before="100" w:beforeAutospacing="1" w:after="100" w:afterAutospacing="1"/>
    </w:pPr>
  </w:style>
  <w:style w:type="paragraph" w:customStyle="1" w:styleId="Tekstprzypisuko">
    <w:name w:val="Tekst przypisu ko"/>
    <w:basedOn w:val="Normalny"/>
    <w:uiPriority w:val="99"/>
    <w:rsid w:val="00C12583"/>
    <w:pPr>
      <w:spacing w:after="240"/>
    </w:pPr>
  </w:style>
  <w:style w:type="character" w:customStyle="1" w:styleId="x810">
    <w:name w:val="x810"/>
    <w:uiPriority w:val="99"/>
    <w:rsid w:val="00C12583"/>
    <w:rPr>
      <w:rFonts w:ascii="Arial" w:hAnsi="Arial"/>
      <w:color w:val="000000"/>
      <w:sz w:val="20"/>
    </w:rPr>
  </w:style>
  <w:style w:type="paragraph" w:customStyle="1" w:styleId="Znak4ZnakZnakCharChar">
    <w:name w:val="Znak4 Znak Znak Char Char"/>
    <w:basedOn w:val="Normalny"/>
    <w:uiPriority w:val="99"/>
    <w:semiHidden/>
    <w:rsid w:val="00C12583"/>
    <w:pPr>
      <w:spacing w:after="160" w:line="240" w:lineRule="exact"/>
    </w:pPr>
    <w:rPr>
      <w:rFonts w:ascii="Arial" w:hAnsi="Arial"/>
      <w:sz w:val="22"/>
      <w:szCs w:val="22"/>
      <w:lang w:val="en-US" w:eastAsia="en-US"/>
    </w:rPr>
  </w:style>
  <w:style w:type="paragraph" w:styleId="Poprawka">
    <w:name w:val="Revision"/>
    <w:hidden/>
    <w:uiPriority w:val="99"/>
    <w:semiHidden/>
    <w:rsid w:val="00C12583"/>
    <w:rPr>
      <w:rFonts w:ascii="Arial" w:hAnsi="Arial"/>
      <w:sz w:val="20"/>
      <w:szCs w:val="24"/>
    </w:rPr>
  </w:style>
  <w:style w:type="paragraph" w:styleId="Plandokumentu">
    <w:name w:val="Document Map"/>
    <w:basedOn w:val="Normalny"/>
    <w:link w:val="PlandokumentuZnak"/>
    <w:uiPriority w:val="99"/>
    <w:rsid w:val="00C12583"/>
    <w:rPr>
      <w:rFonts w:ascii="Tahoma" w:hAnsi="Tahoma" w:cs="Tahoma"/>
      <w:sz w:val="16"/>
      <w:szCs w:val="16"/>
    </w:rPr>
  </w:style>
  <w:style w:type="character" w:customStyle="1" w:styleId="PlandokumentuZnak">
    <w:name w:val="Plan dokumentu Znak"/>
    <w:basedOn w:val="Domylnaczcionkaakapitu"/>
    <w:link w:val="Plandokumentu"/>
    <w:uiPriority w:val="99"/>
    <w:locked/>
    <w:rsid w:val="00C12583"/>
    <w:rPr>
      <w:rFonts w:ascii="Tahoma" w:hAnsi="Tahoma" w:cs="Tahoma"/>
      <w:sz w:val="16"/>
      <w:szCs w:val="16"/>
    </w:rPr>
  </w:style>
  <w:style w:type="paragraph" w:customStyle="1" w:styleId="stopkastrony">
    <w:name w:val="stopka strony"/>
    <w:basedOn w:val="Normalny"/>
    <w:uiPriority w:val="99"/>
    <w:rsid w:val="001D19F0"/>
    <w:pPr>
      <w:pBdr>
        <w:top w:val="single" w:sz="4" w:space="1" w:color="auto"/>
      </w:pBdr>
      <w:jc w:val="center"/>
    </w:pPr>
    <w:rPr>
      <w:rFonts w:ascii="Arial" w:hAnsi="Arial"/>
      <w:b/>
      <w:sz w:val="16"/>
    </w:rPr>
  </w:style>
  <w:style w:type="paragraph" w:styleId="Tekstpodstawowywcity3">
    <w:name w:val="Body Text Indent 3"/>
    <w:basedOn w:val="Normalny"/>
    <w:link w:val="Tekstpodstawowywcity3Znak"/>
    <w:uiPriority w:val="99"/>
    <w:rsid w:val="00E16509"/>
    <w:pPr>
      <w:spacing w:after="120"/>
      <w:ind w:left="283"/>
    </w:pPr>
    <w:rPr>
      <w:sz w:val="16"/>
      <w:szCs w:val="16"/>
    </w:rPr>
  </w:style>
  <w:style w:type="character" w:customStyle="1" w:styleId="Tekstpodstawowywcity3Znak">
    <w:name w:val="Tekst podstawowy wcięty 3 Znak"/>
    <w:basedOn w:val="Domylnaczcionkaakapitu"/>
    <w:link w:val="Tekstpodstawowywcity3"/>
    <w:uiPriority w:val="99"/>
    <w:locked/>
    <w:rsid w:val="00E16509"/>
    <w:rPr>
      <w:rFonts w:cs="Times New Roman"/>
      <w:sz w:val="16"/>
      <w:szCs w:val="16"/>
    </w:rPr>
  </w:style>
  <w:style w:type="paragraph" w:customStyle="1" w:styleId="Wypunktowaniemocne">
    <w:name w:val="Wypunktowanie mocne"/>
    <w:basedOn w:val="Normalny"/>
    <w:uiPriority w:val="99"/>
    <w:rsid w:val="00E16509"/>
    <w:pPr>
      <w:tabs>
        <w:tab w:val="num" w:pos="360"/>
      </w:tabs>
      <w:suppressAutoHyphens/>
      <w:jc w:val="both"/>
    </w:pPr>
    <w:rPr>
      <w:lang w:eastAsia="ar-SA"/>
    </w:rPr>
  </w:style>
  <w:style w:type="paragraph" w:customStyle="1" w:styleId="Tekstpodstawowywcity21">
    <w:name w:val="Tekst podstawowy wcięty 21"/>
    <w:basedOn w:val="Normalny"/>
    <w:uiPriority w:val="99"/>
    <w:rsid w:val="00E16509"/>
    <w:pPr>
      <w:overflowPunct w:val="0"/>
      <w:autoSpaceDE w:val="0"/>
      <w:autoSpaceDN w:val="0"/>
      <w:adjustRightInd w:val="0"/>
      <w:spacing w:before="240" w:line="360" w:lineRule="atLeast"/>
      <w:ind w:left="567" w:hanging="425"/>
      <w:jc w:val="both"/>
      <w:textAlignment w:val="baseline"/>
    </w:pPr>
    <w:rPr>
      <w:szCs w:val="20"/>
    </w:rPr>
  </w:style>
  <w:style w:type="paragraph" w:styleId="Tekstblokowy">
    <w:name w:val="Block Text"/>
    <w:basedOn w:val="Normalny"/>
    <w:uiPriority w:val="99"/>
    <w:rsid w:val="00E16509"/>
    <w:pPr>
      <w:ind w:left="426" w:right="38"/>
      <w:jc w:val="both"/>
    </w:pPr>
  </w:style>
  <w:style w:type="paragraph" w:customStyle="1" w:styleId="ZnakZnak1ZnakZnakZnakZnakZnakZnakZnak">
    <w:name w:val="Znak Znak1 Znak Znak Znak Znak Znak Znak Znak"/>
    <w:basedOn w:val="Normalny"/>
    <w:autoRedefine/>
    <w:uiPriority w:val="99"/>
    <w:rsid w:val="00E16509"/>
    <w:pPr>
      <w:spacing w:after="120" w:line="240" w:lineRule="exact"/>
    </w:pPr>
    <w:rPr>
      <w:rFonts w:ascii="Arial" w:hAnsi="Arial" w:cs="Arial"/>
      <w:sz w:val="20"/>
      <w:szCs w:val="20"/>
      <w:lang w:val="en-US" w:eastAsia="en-US"/>
    </w:rPr>
  </w:style>
  <w:style w:type="paragraph" w:customStyle="1" w:styleId="Tekstpodstawowy31">
    <w:name w:val="Tekst podstawowy 31"/>
    <w:basedOn w:val="Normalny"/>
    <w:uiPriority w:val="99"/>
    <w:rsid w:val="00E16509"/>
    <w:pPr>
      <w:suppressAutoHyphens/>
      <w:jc w:val="both"/>
    </w:pPr>
    <w:rPr>
      <w:b/>
      <w:szCs w:val="20"/>
      <w:lang w:eastAsia="ar-SA"/>
    </w:rPr>
  </w:style>
  <w:style w:type="character" w:customStyle="1" w:styleId="CharCharZnak2">
    <w:name w:val="Char Char Znak2"/>
    <w:aliases w:val="Footnote Text2 Znak2,Footnote Text11 Znak2,ALTS FOOTNOTE11 Znak2,Footnote Text Char111 Znak2,Footnote Text Char Char Char11 Znak2,Footnote Text Char1 Char Char Char Char11 Znak2,Footnote Text Char1 Char Char Char11 Znak2,Char Char Znak1"/>
    <w:uiPriority w:val="99"/>
    <w:semiHidden/>
    <w:locked/>
    <w:rsid w:val="00E16509"/>
    <w:rPr>
      <w:lang w:val="pl-PL" w:eastAsia="pl-PL"/>
    </w:rPr>
  </w:style>
  <w:style w:type="character" w:customStyle="1" w:styleId="ZnakZnak2">
    <w:name w:val="Znak Znak2"/>
    <w:uiPriority w:val="99"/>
    <w:semiHidden/>
    <w:rsid w:val="00E16509"/>
  </w:style>
  <w:style w:type="paragraph" w:customStyle="1" w:styleId="CM4">
    <w:name w:val="CM4"/>
    <w:basedOn w:val="Normalny"/>
    <w:next w:val="Normalny"/>
    <w:uiPriority w:val="99"/>
    <w:rsid w:val="00E16509"/>
    <w:pPr>
      <w:autoSpaceDE w:val="0"/>
      <w:autoSpaceDN w:val="0"/>
      <w:adjustRightInd w:val="0"/>
    </w:pPr>
    <w:rPr>
      <w:rFonts w:ascii="EUAlbertina" w:hAnsi="EUAlbertina"/>
    </w:rPr>
  </w:style>
  <w:style w:type="character" w:customStyle="1" w:styleId="ZnakZnak71">
    <w:name w:val="Znak Znak71"/>
    <w:uiPriority w:val="99"/>
    <w:locked/>
    <w:rsid w:val="00E16509"/>
    <w:rPr>
      <w:rFonts w:ascii="Arial" w:hAnsi="Arial"/>
      <w:sz w:val="28"/>
      <w:lang w:val="pl-PL" w:eastAsia="pl-PL"/>
    </w:rPr>
  </w:style>
  <w:style w:type="character" w:customStyle="1" w:styleId="ZnakZnak61">
    <w:name w:val="Znak Znak61"/>
    <w:uiPriority w:val="99"/>
    <w:rsid w:val="00E16509"/>
    <w:rPr>
      <w:rFonts w:ascii="Book Antiqua" w:hAnsi="Book Antiqua"/>
    </w:rPr>
  </w:style>
  <w:style w:type="paragraph" w:customStyle="1" w:styleId="ZnakZnakZnakZnak2">
    <w:name w:val="Znak Znak Znak Znak2"/>
    <w:basedOn w:val="Normalny"/>
    <w:autoRedefine/>
    <w:uiPriority w:val="99"/>
    <w:rsid w:val="00E16509"/>
    <w:pPr>
      <w:spacing w:after="120" w:line="240" w:lineRule="exact"/>
    </w:pPr>
    <w:rPr>
      <w:rFonts w:ascii="Arial" w:hAnsi="Arial" w:cs="Arial"/>
      <w:sz w:val="20"/>
      <w:szCs w:val="20"/>
      <w:lang w:val="en-US" w:eastAsia="en-US"/>
    </w:rPr>
  </w:style>
  <w:style w:type="paragraph" w:customStyle="1" w:styleId="ZnakZnakZnakZnakZnakZnakZnakZnakZnakZnak1">
    <w:name w:val="Znak Znak Znak Znak Znak Znak Znak Znak Znak Znak1"/>
    <w:basedOn w:val="Normalny"/>
    <w:autoRedefine/>
    <w:uiPriority w:val="99"/>
    <w:rsid w:val="00E16509"/>
    <w:pPr>
      <w:spacing w:after="120" w:line="240" w:lineRule="exact"/>
    </w:pPr>
    <w:rPr>
      <w:rFonts w:ascii="Arial" w:hAnsi="Arial" w:cs="Arial"/>
      <w:sz w:val="20"/>
      <w:szCs w:val="20"/>
      <w:lang w:val="en-US" w:eastAsia="en-US"/>
    </w:rPr>
  </w:style>
  <w:style w:type="paragraph" w:customStyle="1" w:styleId="Znak11">
    <w:name w:val="Znak11"/>
    <w:basedOn w:val="Normalny"/>
    <w:autoRedefine/>
    <w:uiPriority w:val="99"/>
    <w:rsid w:val="00E16509"/>
    <w:pPr>
      <w:spacing w:after="120" w:line="240" w:lineRule="exact"/>
    </w:pPr>
    <w:rPr>
      <w:rFonts w:ascii="Arial" w:hAnsi="Arial" w:cs="Arial"/>
      <w:sz w:val="20"/>
      <w:szCs w:val="20"/>
      <w:lang w:val="en-US" w:eastAsia="en-US"/>
    </w:rPr>
  </w:style>
  <w:style w:type="paragraph" w:customStyle="1" w:styleId="ZnakZnak5ZnakZnak1">
    <w:name w:val="Znak Znak5 Znak Znak1"/>
    <w:basedOn w:val="Normalny"/>
    <w:uiPriority w:val="99"/>
    <w:semiHidden/>
    <w:rsid w:val="00E16509"/>
    <w:pPr>
      <w:spacing w:after="160" w:line="240" w:lineRule="exact"/>
    </w:pPr>
    <w:rPr>
      <w:rFonts w:ascii="Arial" w:hAnsi="Arial"/>
      <w:sz w:val="22"/>
      <w:szCs w:val="22"/>
      <w:lang w:val="en-US" w:eastAsia="en-US"/>
    </w:rPr>
  </w:style>
  <w:style w:type="paragraph" w:customStyle="1" w:styleId="Znak4ZnakZnakCharChar1">
    <w:name w:val="Znak4 Znak Znak Char Char1"/>
    <w:basedOn w:val="Normalny"/>
    <w:uiPriority w:val="99"/>
    <w:semiHidden/>
    <w:rsid w:val="00E16509"/>
    <w:pPr>
      <w:spacing w:after="160" w:line="240" w:lineRule="exact"/>
    </w:pPr>
    <w:rPr>
      <w:rFonts w:ascii="Arial" w:hAnsi="Arial"/>
      <w:sz w:val="22"/>
      <w:szCs w:val="22"/>
      <w:lang w:val="en-US" w:eastAsia="en-US"/>
    </w:rPr>
  </w:style>
  <w:style w:type="paragraph" w:customStyle="1" w:styleId="ZnakZnak5">
    <w:name w:val="Znak Znak5"/>
    <w:basedOn w:val="Normalny"/>
    <w:uiPriority w:val="99"/>
    <w:semiHidden/>
    <w:rsid w:val="00E16509"/>
    <w:pPr>
      <w:spacing w:after="160" w:line="240" w:lineRule="exact"/>
    </w:pPr>
    <w:rPr>
      <w:rFonts w:ascii="Arial" w:hAnsi="Arial"/>
      <w:sz w:val="22"/>
      <w:szCs w:val="22"/>
      <w:lang w:val="en-US" w:eastAsia="en-US"/>
    </w:rPr>
  </w:style>
  <w:style w:type="paragraph" w:customStyle="1" w:styleId="tekstpodstawowynumerowany0">
    <w:name w:val="tekstpodstawowynumerowany"/>
    <w:basedOn w:val="Normalny"/>
    <w:uiPriority w:val="99"/>
    <w:rsid w:val="00E16509"/>
    <w:pPr>
      <w:spacing w:before="120" w:line="300" w:lineRule="auto"/>
      <w:jc w:val="both"/>
    </w:pPr>
    <w:rPr>
      <w:rFonts w:ascii="Arial" w:hAnsi="Arial" w:cs="Arial"/>
      <w:sz w:val="22"/>
      <w:szCs w:val="22"/>
    </w:rPr>
  </w:style>
  <w:style w:type="paragraph" w:styleId="Bezodstpw">
    <w:name w:val="No Spacing"/>
    <w:uiPriority w:val="99"/>
    <w:qFormat/>
    <w:rsid w:val="00BD7957"/>
    <w:pPr>
      <w:ind w:firstLine="357"/>
    </w:pPr>
    <w:rPr>
      <w:rFonts w:ascii="Calibri" w:hAnsi="Calibri" w:cs="Calibri"/>
      <w:lang w:val="en-US" w:eastAsia="en-US"/>
    </w:rPr>
  </w:style>
  <w:style w:type="character" w:customStyle="1" w:styleId="BodyText3Char1">
    <w:name w:val="Body Text 3 Char1"/>
    <w:basedOn w:val="Domylnaczcionkaakapitu"/>
    <w:uiPriority w:val="99"/>
    <w:semiHidden/>
    <w:rsid w:val="00515B99"/>
    <w:rPr>
      <w:rFonts w:eastAsia="Times New Roman" w:cs="Calibri"/>
      <w:sz w:val="16"/>
      <w:szCs w:val="16"/>
      <w:lang w:val="en-US" w:eastAsia="en-US"/>
    </w:rPr>
  </w:style>
  <w:style w:type="character" w:customStyle="1" w:styleId="st">
    <w:name w:val="st"/>
    <w:basedOn w:val="Domylnaczcionkaakapitu"/>
    <w:uiPriority w:val="99"/>
    <w:rsid w:val="00C436B1"/>
    <w:rPr>
      <w:rFonts w:cs="Times New Roman"/>
    </w:rPr>
  </w:style>
  <w:style w:type="paragraph" w:customStyle="1" w:styleId="Tretekstu">
    <w:name w:val="Treść tekstu"/>
    <w:basedOn w:val="Normalny"/>
    <w:uiPriority w:val="99"/>
    <w:rsid w:val="00A616EF"/>
    <w:pPr>
      <w:tabs>
        <w:tab w:val="left" w:pos="708"/>
      </w:tabs>
      <w:suppressAutoHyphens/>
      <w:spacing w:after="120" w:line="312" w:lineRule="auto"/>
      <w:jc w:val="both"/>
    </w:pPr>
    <w:rPr>
      <w:rFonts w:ascii="Verdana" w:hAnsi="Verdana" w:cs="Tahoma"/>
      <w:color w:val="00000A"/>
      <w:sz w:val="28"/>
    </w:rPr>
  </w:style>
  <w:style w:type="character" w:customStyle="1" w:styleId="info-list-value-uzasadnienie">
    <w:name w:val="info-list-value-uzasadnienie"/>
    <w:basedOn w:val="Domylnaczcionkaakapitu"/>
    <w:uiPriority w:val="99"/>
    <w:rsid w:val="00944FC9"/>
    <w:rPr>
      <w:rFonts w:cs="Times New Roman"/>
    </w:rPr>
  </w:style>
  <w:style w:type="numbering" w:customStyle="1" w:styleId="Styl1">
    <w:name w:val="Styl1"/>
    <w:rsid w:val="008E00FD"/>
    <w:pPr>
      <w:numPr>
        <w:numId w:val="2"/>
      </w:numPr>
    </w:pPr>
  </w:style>
</w:styles>
</file>

<file path=word/webSettings.xml><?xml version="1.0" encoding="utf-8"?>
<w:webSettings xmlns:r="http://schemas.openxmlformats.org/officeDocument/2006/relationships" xmlns:w="http://schemas.openxmlformats.org/wordprocessingml/2006/main">
  <w:divs>
    <w:div w:id="86467509">
      <w:marLeft w:val="0"/>
      <w:marRight w:val="0"/>
      <w:marTop w:val="0"/>
      <w:marBottom w:val="0"/>
      <w:divBdr>
        <w:top w:val="none" w:sz="0" w:space="0" w:color="auto"/>
        <w:left w:val="none" w:sz="0" w:space="0" w:color="auto"/>
        <w:bottom w:val="none" w:sz="0" w:space="0" w:color="auto"/>
        <w:right w:val="none" w:sz="0" w:space="0" w:color="auto"/>
      </w:divBdr>
      <w:divsChild>
        <w:div w:id="86467511">
          <w:marLeft w:val="0"/>
          <w:marRight w:val="0"/>
          <w:marTop w:val="0"/>
          <w:marBottom w:val="0"/>
          <w:divBdr>
            <w:top w:val="none" w:sz="0" w:space="0" w:color="auto"/>
            <w:left w:val="none" w:sz="0" w:space="0" w:color="auto"/>
            <w:bottom w:val="none" w:sz="0" w:space="0" w:color="auto"/>
            <w:right w:val="none" w:sz="0" w:space="0" w:color="auto"/>
          </w:divBdr>
          <w:divsChild>
            <w:div w:id="86467508">
              <w:marLeft w:val="0"/>
              <w:marRight w:val="0"/>
              <w:marTop w:val="0"/>
              <w:marBottom w:val="0"/>
              <w:divBdr>
                <w:top w:val="none" w:sz="0" w:space="0" w:color="auto"/>
                <w:left w:val="none" w:sz="0" w:space="0" w:color="auto"/>
                <w:bottom w:val="none" w:sz="0" w:space="0" w:color="auto"/>
                <w:right w:val="none" w:sz="0" w:space="0" w:color="auto"/>
              </w:divBdr>
            </w:div>
            <w:div w:id="86467512">
              <w:marLeft w:val="0"/>
              <w:marRight w:val="0"/>
              <w:marTop w:val="0"/>
              <w:marBottom w:val="0"/>
              <w:divBdr>
                <w:top w:val="none" w:sz="0" w:space="0" w:color="auto"/>
                <w:left w:val="none" w:sz="0" w:space="0" w:color="auto"/>
                <w:bottom w:val="none" w:sz="0" w:space="0" w:color="auto"/>
                <w:right w:val="none" w:sz="0" w:space="0" w:color="auto"/>
              </w:divBdr>
            </w:div>
            <w:div w:id="86467515">
              <w:marLeft w:val="0"/>
              <w:marRight w:val="0"/>
              <w:marTop w:val="0"/>
              <w:marBottom w:val="0"/>
              <w:divBdr>
                <w:top w:val="none" w:sz="0" w:space="0" w:color="auto"/>
                <w:left w:val="none" w:sz="0" w:space="0" w:color="auto"/>
                <w:bottom w:val="none" w:sz="0" w:space="0" w:color="auto"/>
                <w:right w:val="none" w:sz="0" w:space="0" w:color="auto"/>
              </w:divBdr>
            </w:div>
            <w:div w:id="86467518">
              <w:marLeft w:val="0"/>
              <w:marRight w:val="0"/>
              <w:marTop w:val="0"/>
              <w:marBottom w:val="0"/>
              <w:divBdr>
                <w:top w:val="none" w:sz="0" w:space="0" w:color="auto"/>
                <w:left w:val="none" w:sz="0" w:space="0" w:color="auto"/>
                <w:bottom w:val="none" w:sz="0" w:space="0" w:color="auto"/>
                <w:right w:val="none" w:sz="0" w:space="0" w:color="auto"/>
              </w:divBdr>
            </w:div>
            <w:div w:id="86467520">
              <w:marLeft w:val="0"/>
              <w:marRight w:val="0"/>
              <w:marTop w:val="0"/>
              <w:marBottom w:val="0"/>
              <w:divBdr>
                <w:top w:val="none" w:sz="0" w:space="0" w:color="auto"/>
                <w:left w:val="none" w:sz="0" w:space="0" w:color="auto"/>
                <w:bottom w:val="none" w:sz="0" w:space="0" w:color="auto"/>
                <w:right w:val="none" w:sz="0" w:space="0" w:color="auto"/>
              </w:divBdr>
            </w:div>
            <w:div w:id="86467521">
              <w:marLeft w:val="0"/>
              <w:marRight w:val="0"/>
              <w:marTop w:val="0"/>
              <w:marBottom w:val="0"/>
              <w:divBdr>
                <w:top w:val="none" w:sz="0" w:space="0" w:color="auto"/>
                <w:left w:val="none" w:sz="0" w:space="0" w:color="auto"/>
                <w:bottom w:val="none" w:sz="0" w:space="0" w:color="auto"/>
                <w:right w:val="none" w:sz="0" w:space="0" w:color="auto"/>
              </w:divBdr>
            </w:div>
            <w:div w:id="86467524">
              <w:marLeft w:val="0"/>
              <w:marRight w:val="0"/>
              <w:marTop w:val="0"/>
              <w:marBottom w:val="0"/>
              <w:divBdr>
                <w:top w:val="none" w:sz="0" w:space="0" w:color="auto"/>
                <w:left w:val="none" w:sz="0" w:space="0" w:color="auto"/>
                <w:bottom w:val="none" w:sz="0" w:space="0" w:color="auto"/>
                <w:right w:val="none" w:sz="0" w:space="0" w:color="auto"/>
              </w:divBdr>
            </w:div>
            <w:div w:id="8646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67525">
      <w:marLeft w:val="0"/>
      <w:marRight w:val="0"/>
      <w:marTop w:val="0"/>
      <w:marBottom w:val="0"/>
      <w:divBdr>
        <w:top w:val="none" w:sz="0" w:space="0" w:color="auto"/>
        <w:left w:val="none" w:sz="0" w:space="0" w:color="auto"/>
        <w:bottom w:val="none" w:sz="0" w:space="0" w:color="auto"/>
        <w:right w:val="none" w:sz="0" w:space="0" w:color="auto"/>
      </w:divBdr>
      <w:divsChild>
        <w:div w:id="86467510">
          <w:marLeft w:val="0"/>
          <w:marRight w:val="0"/>
          <w:marTop w:val="0"/>
          <w:marBottom w:val="0"/>
          <w:divBdr>
            <w:top w:val="none" w:sz="0" w:space="0" w:color="auto"/>
            <w:left w:val="none" w:sz="0" w:space="0" w:color="auto"/>
            <w:bottom w:val="none" w:sz="0" w:space="0" w:color="auto"/>
            <w:right w:val="none" w:sz="0" w:space="0" w:color="auto"/>
          </w:divBdr>
        </w:div>
        <w:div w:id="86467513">
          <w:marLeft w:val="0"/>
          <w:marRight w:val="0"/>
          <w:marTop w:val="0"/>
          <w:marBottom w:val="0"/>
          <w:divBdr>
            <w:top w:val="none" w:sz="0" w:space="0" w:color="auto"/>
            <w:left w:val="none" w:sz="0" w:space="0" w:color="auto"/>
            <w:bottom w:val="none" w:sz="0" w:space="0" w:color="auto"/>
            <w:right w:val="none" w:sz="0" w:space="0" w:color="auto"/>
          </w:divBdr>
        </w:div>
        <w:div w:id="86467514">
          <w:marLeft w:val="0"/>
          <w:marRight w:val="0"/>
          <w:marTop w:val="0"/>
          <w:marBottom w:val="0"/>
          <w:divBdr>
            <w:top w:val="none" w:sz="0" w:space="0" w:color="auto"/>
            <w:left w:val="none" w:sz="0" w:space="0" w:color="auto"/>
            <w:bottom w:val="none" w:sz="0" w:space="0" w:color="auto"/>
            <w:right w:val="none" w:sz="0" w:space="0" w:color="auto"/>
          </w:divBdr>
        </w:div>
        <w:div w:id="86467516">
          <w:marLeft w:val="0"/>
          <w:marRight w:val="0"/>
          <w:marTop w:val="0"/>
          <w:marBottom w:val="0"/>
          <w:divBdr>
            <w:top w:val="none" w:sz="0" w:space="0" w:color="auto"/>
            <w:left w:val="none" w:sz="0" w:space="0" w:color="auto"/>
            <w:bottom w:val="none" w:sz="0" w:space="0" w:color="auto"/>
            <w:right w:val="none" w:sz="0" w:space="0" w:color="auto"/>
          </w:divBdr>
        </w:div>
        <w:div w:id="86467517">
          <w:marLeft w:val="0"/>
          <w:marRight w:val="0"/>
          <w:marTop w:val="0"/>
          <w:marBottom w:val="0"/>
          <w:divBdr>
            <w:top w:val="none" w:sz="0" w:space="0" w:color="auto"/>
            <w:left w:val="none" w:sz="0" w:space="0" w:color="auto"/>
            <w:bottom w:val="none" w:sz="0" w:space="0" w:color="auto"/>
            <w:right w:val="none" w:sz="0" w:space="0" w:color="auto"/>
          </w:divBdr>
        </w:div>
        <w:div w:id="86467519">
          <w:marLeft w:val="0"/>
          <w:marRight w:val="0"/>
          <w:marTop w:val="0"/>
          <w:marBottom w:val="0"/>
          <w:divBdr>
            <w:top w:val="none" w:sz="0" w:space="0" w:color="auto"/>
            <w:left w:val="none" w:sz="0" w:space="0" w:color="auto"/>
            <w:bottom w:val="none" w:sz="0" w:space="0" w:color="auto"/>
            <w:right w:val="none" w:sz="0" w:space="0" w:color="auto"/>
          </w:divBdr>
        </w:div>
        <w:div w:id="86467522">
          <w:marLeft w:val="0"/>
          <w:marRight w:val="0"/>
          <w:marTop w:val="0"/>
          <w:marBottom w:val="0"/>
          <w:divBdr>
            <w:top w:val="none" w:sz="0" w:space="0" w:color="auto"/>
            <w:left w:val="none" w:sz="0" w:space="0" w:color="auto"/>
            <w:bottom w:val="none" w:sz="0" w:space="0" w:color="auto"/>
            <w:right w:val="none" w:sz="0" w:space="0" w:color="auto"/>
          </w:divBdr>
        </w:div>
        <w:div w:id="86467523">
          <w:marLeft w:val="0"/>
          <w:marRight w:val="0"/>
          <w:marTop w:val="0"/>
          <w:marBottom w:val="0"/>
          <w:divBdr>
            <w:top w:val="none" w:sz="0" w:space="0" w:color="auto"/>
            <w:left w:val="none" w:sz="0" w:space="0" w:color="auto"/>
            <w:bottom w:val="none" w:sz="0" w:space="0" w:color="auto"/>
            <w:right w:val="none" w:sz="0" w:space="0" w:color="auto"/>
          </w:divBdr>
        </w:div>
        <w:div w:id="86467526">
          <w:marLeft w:val="0"/>
          <w:marRight w:val="0"/>
          <w:marTop w:val="0"/>
          <w:marBottom w:val="0"/>
          <w:divBdr>
            <w:top w:val="none" w:sz="0" w:space="0" w:color="auto"/>
            <w:left w:val="none" w:sz="0" w:space="0" w:color="auto"/>
            <w:bottom w:val="none" w:sz="0" w:space="0" w:color="auto"/>
            <w:right w:val="none" w:sz="0" w:space="0" w:color="auto"/>
          </w:divBdr>
        </w:div>
      </w:divsChild>
    </w:div>
    <w:div w:id="86467529">
      <w:marLeft w:val="0"/>
      <w:marRight w:val="0"/>
      <w:marTop w:val="0"/>
      <w:marBottom w:val="0"/>
      <w:divBdr>
        <w:top w:val="none" w:sz="0" w:space="0" w:color="auto"/>
        <w:left w:val="none" w:sz="0" w:space="0" w:color="auto"/>
        <w:bottom w:val="none" w:sz="0" w:space="0" w:color="auto"/>
        <w:right w:val="none" w:sz="0" w:space="0" w:color="auto"/>
      </w:divBdr>
      <w:divsChild>
        <w:div w:id="86467531">
          <w:marLeft w:val="0"/>
          <w:marRight w:val="0"/>
          <w:marTop w:val="0"/>
          <w:marBottom w:val="0"/>
          <w:divBdr>
            <w:top w:val="none" w:sz="0" w:space="0" w:color="auto"/>
            <w:left w:val="none" w:sz="0" w:space="0" w:color="auto"/>
            <w:bottom w:val="none" w:sz="0" w:space="0" w:color="auto"/>
            <w:right w:val="none" w:sz="0" w:space="0" w:color="auto"/>
          </w:divBdr>
        </w:div>
        <w:div w:id="86467533">
          <w:marLeft w:val="0"/>
          <w:marRight w:val="0"/>
          <w:marTop w:val="0"/>
          <w:marBottom w:val="0"/>
          <w:divBdr>
            <w:top w:val="none" w:sz="0" w:space="0" w:color="auto"/>
            <w:left w:val="none" w:sz="0" w:space="0" w:color="auto"/>
            <w:bottom w:val="none" w:sz="0" w:space="0" w:color="auto"/>
            <w:right w:val="none" w:sz="0" w:space="0" w:color="auto"/>
          </w:divBdr>
        </w:div>
        <w:div w:id="86467534">
          <w:marLeft w:val="0"/>
          <w:marRight w:val="0"/>
          <w:marTop w:val="0"/>
          <w:marBottom w:val="0"/>
          <w:divBdr>
            <w:top w:val="none" w:sz="0" w:space="0" w:color="auto"/>
            <w:left w:val="none" w:sz="0" w:space="0" w:color="auto"/>
            <w:bottom w:val="none" w:sz="0" w:space="0" w:color="auto"/>
            <w:right w:val="none" w:sz="0" w:space="0" w:color="auto"/>
          </w:divBdr>
        </w:div>
        <w:div w:id="86467535">
          <w:marLeft w:val="0"/>
          <w:marRight w:val="0"/>
          <w:marTop w:val="0"/>
          <w:marBottom w:val="0"/>
          <w:divBdr>
            <w:top w:val="none" w:sz="0" w:space="0" w:color="auto"/>
            <w:left w:val="none" w:sz="0" w:space="0" w:color="auto"/>
            <w:bottom w:val="none" w:sz="0" w:space="0" w:color="auto"/>
            <w:right w:val="none" w:sz="0" w:space="0" w:color="auto"/>
          </w:divBdr>
        </w:div>
        <w:div w:id="86467536">
          <w:marLeft w:val="0"/>
          <w:marRight w:val="0"/>
          <w:marTop w:val="0"/>
          <w:marBottom w:val="0"/>
          <w:divBdr>
            <w:top w:val="none" w:sz="0" w:space="0" w:color="auto"/>
            <w:left w:val="none" w:sz="0" w:space="0" w:color="auto"/>
            <w:bottom w:val="none" w:sz="0" w:space="0" w:color="auto"/>
            <w:right w:val="none" w:sz="0" w:space="0" w:color="auto"/>
          </w:divBdr>
        </w:div>
        <w:div w:id="86467537">
          <w:marLeft w:val="0"/>
          <w:marRight w:val="0"/>
          <w:marTop w:val="0"/>
          <w:marBottom w:val="0"/>
          <w:divBdr>
            <w:top w:val="none" w:sz="0" w:space="0" w:color="auto"/>
            <w:left w:val="none" w:sz="0" w:space="0" w:color="auto"/>
            <w:bottom w:val="none" w:sz="0" w:space="0" w:color="auto"/>
            <w:right w:val="none" w:sz="0" w:space="0" w:color="auto"/>
          </w:divBdr>
        </w:div>
        <w:div w:id="86467542">
          <w:marLeft w:val="0"/>
          <w:marRight w:val="0"/>
          <w:marTop w:val="0"/>
          <w:marBottom w:val="0"/>
          <w:divBdr>
            <w:top w:val="none" w:sz="0" w:space="0" w:color="auto"/>
            <w:left w:val="none" w:sz="0" w:space="0" w:color="auto"/>
            <w:bottom w:val="none" w:sz="0" w:space="0" w:color="auto"/>
            <w:right w:val="none" w:sz="0" w:space="0" w:color="auto"/>
          </w:divBdr>
        </w:div>
        <w:div w:id="86467549">
          <w:marLeft w:val="0"/>
          <w:marRight w:val="0"/>
          <w:marTop w:val="0"/>
          <w:marBottom w:val="0"/>
          <w:divBdr>
            <w:top w:val="none" w:sz="0" w:space="0" w:color="auto"/>
            <w:left w:val="none" w:sz="0" w:space="0" w:color="auto"/>
            <w:bottom w:val="none" w:sz="0" w:space="0" w:color="auto"/>
            <w:right w:val="none" w:sz="0" w:space="0" w:color="auto"/>
          </w:divBdr>
        </w:div>
        <w:div w:id="86467550">
          <w:marLeft w:val="0"/>
          <w:marRight w:val="0"/>
          <w:marTop w:val="0"/>
          <w:marBottom w:val="0"/>
          <w:divBdr>
            <w:top w:val="none" w:sz="0" w:space="0" w:color="auto"/>
            <w:left w:val="none" w:sz="0" w:space="0" w:color="auto"/>
            <w:bottom w:val="none" w:sz="0" w:space="0" w:color="auto"/>
            <w:right w:val="none" w:sz="0" w:space="0" w:color="auto"/>
          </w:divBdr>
        </w:div>
        <w:div w:id="86467556">
          <w:marLeft w:val="0"/>
          <w:marRight w:val="0"/>
          <w:marTop w:val="0"/>
          <w:marBottom w:val="0"/>
          <w:divBdr>
            <w:top w:val="none" w:sz="0" w:space="0" w:color="auto"/>
            <w:left w:val="none" w:sz="0" w:space="0" w:color="auto"/>
            <w:bottom w:val="none" w:sz="0" w:space="0" w:color="auto"/>
            <w:right w:val="none" w:sz="0" w:space="0" w:color="auto"/>
          </w:divBdr>
        </w:div>
        <w:div w:id="86467561">
          <w:marLeft w:val="0"/>
          <w:marRight w:val="0"/>
          <w:marTop w:val="0"/>
          <w:marBottom w:val="0"/>
          <w:divBdr>
            <w:top w:val="none" w:sz="0" w:space="0" w:color="auto"/>
            <w:left w:val="none" w:sz="0" w:space="0" w:color="auto"/>
            <w:bottom w:val="none" w:sz="0" w:space="0" w:color="auto"/>
            <w:right w:val="none" w:sz="0" w:space="0" w:color="auto"/>
          </w:divBdr>
        </w:div>
        <w:div w:id="86467564">
          <w:marLeft w:val="0"/>
          <w:marRight w:val="0"/>
          <w:marTop w:val="0"/>
          <w:marBottom w:val="0"/>
          <w:divBdr>
            <w:top w:val="none" w:sz="0" w:space="0" w:color="auto"/>
            <w:left w:val="none" w:sz="0" w:space="0" w:color="auto"/>
            <w:bottom w:val="none" w:sz="0" w:space="0" w:color="auto"/>
            <w:right w:val="none" w:sz="0" w:space="0" w:color="auto"/>
          </w:divBdr>
        </w:div>
        <w:div w:id="86467567">
          <w:marLeft w:val="0"/>
          <w:marRight w:val="0"/>
          <w:marTop w:val="0"/>
          <w:marBottom w:val="0"/>
          <w:divBdr>
            <w:top w:val="none" w:sz="0" w:space="0" w:color="auto"/>
            <w:left w:val="none" w:sz="0" w:space="0" w:color="auto"/>
            <w:bottom w:val="none" w:sz="0" w:space="0" w:color="auto"/>
            <w:right w:val="none" w:sz="0" w:space="0" w:color="auto"/>
          </w:divBdr>
        </w:div>
        <w:div w:id="86467568">
          <w:marLeft w:val="0"/>
          <w:marRight w:val="0"/>
          <w:marTop w:val="0"/>
          <w:marBottom w:val="0"/>
          <w:divBdr>
            <w:top w:val="none" w:sz="0" w:space="0" w:color="auto"/>
            <w:left w:val="none" w:sz="0" w:space="0" w:color="auto"/>
            <w:bottom w:val="none" w:sz="0" w:space="0" w:color="auto"/>
            <w:right w:val="none" w:sz="0" w:space="0" w:color="auto"/>
          </w:divBdr>
        </w:div>
        <w:div w:id="86467569">
          <w:marLeft w:val="0"/>
          <w:marRight w:val="0"/>
          <w:marTop w:val="0"/>
          <w:marBottom w:val="0"/>
          <w:divBdr>
            <w:top w:val="none" w:sz="0" w:space="0" w:color="auto"/>
            <w:left w:val="none" w:sz="0" w:space="0" w:color="auto"/>
            <w:bottom w:val="none" w:sz="0" w:space="0" w:color="auto"/>
            <w:right w:val="none" w:sz="0" w:space="0" w:color="auto"/>
          </w:divBdr>
        </w:div>
        <w:div w:id="86467571">
          <w:marLeft w:val="0"/>
          <w:marRight w:val="0"/>
          <w:marTop w:val="0"/>
          <w:marBottom w:val="0"/>
          <w:divBdr>
            <w:top w:val="none" w:sz="0" w:space="0" w:color="auto"/>
            <w:left w:val="none" w:sz="0" w:space="0" w:color="auto"/>
            <w:bottom w:val="none" w:sz="0" w:space="0" w:color="auto"/>
            <w:right w:val="none" w:sz="0" w:space="0" w:color="auto"/>
          </w:divBdr>
        </w:div>
        <w:div w:id="86467576">
          <w:marLeft w:val="0"/>
          <w:marRight w:val="0"/>
          <w:marTop w:val="0"/>
          <w:marBottom w:val="0"/>
          <w:divBdr>
            <w:top w:val="none" w:sz="0" w:space="0" w:color="auto"/>
            <w:left w:val="none" w:sz="0" w:space="0" w:color="auto"/>
            <w:bottom w:val="none" w:sz="0" w:space="0" w:color="auto"/>
            <w:right w:val="none" w:sz="0" w:space="0" w:color="auto"/>
          </w:divBdr>
        </w:div>
      </w:divsChild>
    </w:div>
    <w:div w:id="86467562">
      <w:marLeft w:val="0"/>
      <w:marRight w:val="0"/>
      <w:marTop w:val="0"/>
      <w:marBottom w:val="0"/>
      <w:divBdr>
        <w:top w:val="none" w:sz="0" w:space="0" w:color="auto"/>
        <w:left w:val="none" w:sz="0" w:space="0" w:color="auto"/>
        <w:bottom w:val="none" w:sz="0" w:space="0" w:color="auto"/>
        <w:right w:val="none" w:sz="0" w:space="0" w:color="auto"/>
      </w:divBdr>
      <w:divsChild>
        <w:div w:id="86467528">
          <w:marLeft w:val="0"/>
          <w:marRight w:val="0"/>
          <w:marTop w:val="0"/>
          <w:marBottom w:val="0"/>
          <w:divBdr>
            <w:top w:val="none" w:sz="0" w:space="0" w:color="auto"/>
            <w:left w:val="none" w:sz="0" w:space="0" w:color="auto"/>
            <w:bottom w:val="none" w:sz="0" w:space="0" w:color="auto"/>
            <w:right w:val="none" w:sz="0" w:space="0" w:color="auto"/>
          </w:divBdr>
        </w:div>
        <w:div w:id="86467530">
          <w:marLeft w:val="0"/>
          <w:marRight w:val="0"/>
          <w:marTop w:val="0"/>
          <w:marBottom w:val="0"/>
          <w:divBdr>
            <w:top w:val="none" w:sz="0" w:space="0" w:color="auto"/>
            <w:left w:val="none" w:sz="0" w:space="0" w:color="auto"/>
            <w:bottom w:val="none" w:sz="0" w:space="0" w:color="auto"/>
            <w:right w:val="none" w:sz="0" w:space="0" w:color="auto"/>
          </w:divBdr>
        </w:div>
        <w:div w:id="86467532">
          <w:marLeft w:val="0"/>
          <w:marRight w:val="0"/>
          <w:marTop w:val="0"/>
          <w:marBottom w:val="0"/>
          <w:divBdr>
            <w:top w:val="none" w:sz="0" w:space="0" w:color="auto"/>
            <w:left w:val="none" w:sz="0" w:space="0" w:color="auto"/>
            <w:bottom w:val="none" w:sz="0" w:space="0" w:color="auto"/>
            <w:right w:val="none" w:sz="0" w:space="0" w:color="auto"/>
          </w:divBdr>
        </w:div>
        <w:div w:id="86467538">
          <w:marLeft w:val="0"/>
          <w:marRight w:val="0"/>
          <w:marTop w:val="0"/>
          <w:marBottom w:val="0"/>
          <w:divBdr>
            <w:top w:val="none" w:sz="0" w:space="0" w:color="auto"/>
            <w:left w:val="none" w:sz="0" w:space="0" w:color="auto"/>
            <w:bottom w:val="none" w:sz="0" w:space="0" w:color="auto"/>
            <w:right w:val="none" w:sz="0" w:space="0" w:color="auto"/>
          </w:divBdr>
        </w:div>
        <w:div w:id="86467539">
          <w:marLeft w:val="0"/>
          <w:marRight w:val="0"/>
          <w:marTop w:val="0"/>
          <w:marBottom w:val="0"/>
          <w:divBdr>
            <w:top w:val="none" w:sz="0" w:space="0" w:color="auto"/>
            <w:left w:val="none" w:sz="0" w:space="0" w:color="auto"/>
            <w:bottom w:val="none" w:sz="0" w:space="0" w:color="auto"/>
            <w:right w:val="none" w:sz="0" w:space="0" w:color="auto"/>
          </w:divBdr>
        </w:div>
        <w:div w:id="86467540">
          <w:marLeft w:val="0"/>
          <w:marRight w:val="0"/>
          <w:marTop w:val="0"/>
          <w:marBottom w:val="0"/>
          <w:divBdr>
            <w:top w:val="none" w:sz="0" w:space="0" w:color="auto"/>
            <w:left w:val="none" w:sz="0" w:space="0" w:color="auto"/>
            <w:bottom w:val="none" w:sz="0" w:space="0" w:color="auto"/>
            <w:right w:val="none" w:sz="0" w:space="0" w:color="auto"/>
          </w:divBdr>
        </w:div>
        <w:div w:id="86467541">
          <w:marLeft w:val="0"/>
          <w:marRight w:val="0"/>
          <w:marTop w:val="0"/>
          <w:marBottom w:val="0"/>
          <w:divBdr>
            <w:top w:val="none" w:sz="0" w:space="0" w:color="auto"/>
            <w:left w:val="none" w:sz="0" w:space="0" w:color="auto"/>
            <w:bottom w:val="none" w:sz="0" w:space="0" w:color="auto"/>
            <w:right w:val="none" w:sz="0" w:space="0" w:color="auto"/>
          </w:divBdr>
        </w:div>
        <w:div w:id="86467543">
          <w:marLeft w:val="0"/>
          <w:marRight w:val="0"/>
          <w:marTop w:val="0"/>
          <w:marBottom w:val="0"/>
          <w:divBdr>
            <w:top w:val="none" w:sz="0" w:space="0" w:color="auto"/>
            <w:left w:val="none" w:sz="0" w:space="0" w:color="auto"/>
            <w:bottom w:val="none" w:sz="0" w:space="0" w:color="auto"/>
            <w:right w:val="none" w:sz="0" w:space="0" w:color="auto"/>
          </w:divBdr>
        </w:div>
        <w:div w:id="86467544">
          <w:marLeft w:val="0"/>
          <w:marRight w:val="0"/>
          <w:marTop w:val="0"/>
          <w:marBottom w:val="0"/>
          <w:divBdr>
            <w:top w:val="none" w:sz="0" w:space="0" w:color="auto"/>
            <w:left w:val="none" w:sz="0" w:space="0" w:color="auto"/>
            <w:bottom w:val="none" w:sz="0" w:space="0" w:color="auto"/>
            <w:right w:val="none" w:sz="0" w:space="0" w:color="auto"/>
          </w:divBdr>
        </w:div>
        <w:div w:id="86467545">
          <w:marLeft w:val="0"/>
          <w:marRight w:val="0"/>
          <w:marTop w:val="0"/>
          <w:marBottom w:val="0"/>
          <w:divBdr>
            <w:top w:val="none" w:sz="0" w:space="0" w:color="auto"/>
            <w:left w:val="none" w:sz="0" w:space="0" w:color="auto"/>
            <w:bottom w:val="none" w:sz="0" w:space="0" w:color="auto"/>
            <w:right w:val="none" w:sz="0" w:space="0" w:color="auto"/>
          </w:divBdr>
        </w:div>
        <w:div w:id="86467546">
          <w:marLeft w:val="0"/>
          <w:marRight w:val="0"/>
          <w:marTop w:val="0"/>
          <w:marBottom w:val="0"/>
          <w:divBdr>
            <w:top w:val="none" w:sz="0" w:space="0" w:color="auto"/>
            <w:left w:val="none" w:sz="0" w:space="0" w:color="auto"/>
            <w:bottom w:val="none" w:sz="0" w:space="0" w:color="auto"/>
            <w:right w:val="none" w:sz="0" w:space="0" w:color="auto"/>
          </w:divBdr>
        </w:div>
        <w:div w:id="86467547">
          <w:marLeft w:val="0"/>
          <w:marRight w:val="0"/>
          <w:marTop w:val="0"/>
          <w:marBottom w:val="0"/>
          <w:divBdr>
            <w:top w:val="none" w:sz="0" w:space="0" w:color="auto"/>
            <w:left w:val="none" w:sz="0" w:space="0" w:color="auto"/>
            <w:bottom w:val="none" w:sz="0" w:space="0" w:color="auto"/>
            <w:right w:val="none" w:sz="0" w:space="0" w:color="auto"/>
          </w:divBdr>
        </w:div>
        <w:div w:id="86467548">
          <w:marLeft w:val="0"/>
          <w:marRight w:val="0"/>
          <w:marTop w:val="0"/>
          <w:marBottom w:val="0"/>
          <w:divBdr>
            <w:top w:val="none" w:sz="0" w:space="0" w:color="auto"/>
            <w:left w:val="none" w:sz="0" w:space="0" w:color="auto"/>
            <w:bottom w:val="none" w:sz="0" w:space="0" w:color="auto"/>
            <w:right w:val="none" w:sz="0" w:space="0" w:color="auto"/>
          </w:divBdr>
        </w:div>
        <w:div w:id="86467551">
          <w:marLeft w:val="0"/>
          <w:marRight w:val="0"/>
          <w:marTop w:val="0"/>
          <w:marBottom w:val="0"/>
          <w:divBdr>
            <w:top w:val="none" w:sz="0" w:space="0" w:color="auto"/>
            <w:left w:val="none" w:sz="0" w:space="0" w:color="auto"/>
            <w:bottom w:val="none" w:sz="0" w:space="0" w:color="auto"/>
            <w:right w:val="none" w:sz="0" w:space="0" w:color="auto"/>
          </w:divBdr>
        </w:div>
        <w:div w:id="86467552">
          <w:marLeft w:val="0"/>
          <w:marRight w:val="0"/>
          <w:marTop w:val="0"/>
          <w:marBottom w:val="0"/>
          <w:divBdr>
            <w:top w:val="none" w:sz="0" w:space="0" w:color="auto"/>
            <w:left w:val="none" w:sz="0" w:space="0" w:color="auto"/>
            <w:bottom w:val="none" w:sz="0" w:space="0" w:color="auto"/>
            <w:right w:val="none" w:sz="0" w:space="0" w:color="auto"/>
          </w:divBdr>
        </w:div>
        <w:div w:id="86467553">
          <w:marLeft w:val="0"/>
          <w:marRight w:val="0"/>
          <w:marTop w:val="0"/>
          <w:marBottom w:val="0"/>
          <w:divBdr>
            <w:top w:val="none" w:sz="0" w:space="0" w:color="auto"/>
            <w:left w:val="none" w:sz="0" w:space="0" w:color="auto"/>
            <w:bottom w:val="none" w:sz="0" w:space="0" w:color="auto"/>
            <w:right w:val="none" w:sz="0" w:space="0" w:color="auto"/>
          </w:divBdr>
        </w:div>
        <w:div w:id="86467554">
          <w:marLeft w:val="0"/>
          <w:marRight w:val="0"/>
          <w:marTop w:val="0"/>
          <w:marBottom w:val="0"/>
          <w:divBdr>
            <w:top w:val="none" w:sz="0" w:space="0" w:color="auto"/>
            <w:left w:val="none" w:sz="0" w:space="0" w:color="auto"/>
            <w:bottom w:val="none" w:sz="0" w:space="0" w:color="auto"/>
            <w:right w:val="none" w:sz="0" w:space="0" w:color="auto"/>
          </w:divBdr>
        </w:div>
        <w:div w:id="86467555">
          <w:marLeft w:val="0"/>
          <w:marRight w:val="0"/>
          <w:marTop w:val="0"/>
          <w:marBottom w:val="0"/>
          <w:divBdr>
            <w:top w:val="none" w:sz="0" w:space="0" w:color="auto"/>
            <w:left w:val="none" w:sz="0" w:space="0" w:color="auto"/>
            <w:bottom w:val="none" w:sz="0" w:space="0" w:color="auto"/>
            <w:right w:val="none" w:sz="0" w:space="0" w:color="auto"/>
          </w:divBdr>
        </w:div>
        <w:div w:id="86467557">
          <w:marLeft w:val="0"/>
          <w:marRight w:val="0"/>
          <w:marTop w:val="0"/>
          <w:marBottom w:val="0"/>
          <w:divBdr>
            <w:top w:val="none" w:sz="0" w:space="0" w:color="auto"/>
            <w:left w:val="none" w:sz="0" w:space="0" w:color="auto"/>
            <w:bottom w:val="none" w:sz="0" w:space="0" w:color="auto"/>
            <w:right w:val="none" w:sz="0" w:space="0" w:color="auto"/>
          </w:divBdr>
        </w:div>
        <w:div w:id="86467558">
          <w:marLeft w:val="0"/>
          <w:marRight w:val="0"/>
          <w:marTop w:val="0"/>
          <w:marBottom w:val="0"/>
          <w:divBdr>
            <w:top w:val="none" w:sz="0" w:space="0" w:color="auto"/>
            <w:left w:val="none" w:sz="0" w:space="0" w:color="auto"/>
            <w:bottom w:val="none" w:sz="0" w:space="0" w:color="auto"/>
            <w:right w:val="none" w:sz="0" w:space="0" w:color="auto"/>
          </w:divBdr>
        </w:div>
        <w:div w:id="86467559">
          <w:marLeft w:val="0"/>
          <w:marRight w:val="0"/>
          <w:marTop w:val="0"/>
          <w:marBottom w:val="0"/>
          <w:divBdr>
            <w:top w:val="none" w:sz="0" w:space="0" w:color="auto"/>
            <w:left w:val="none" w:sz="0" w:space="0" w:color="auto"/>
            <w:bottom w:val="none" w:sz="0" w:space="0" w:color="auto"/>
            <w:right w:val="none" w:sz="0" w:space="0" w:color="auto"/>
          </w:divBdr>
        </w:div>
        <w:div w:id="86467560">
          <w:marLeft w:val="0"/>
          <w:marRight w:val="0"/>
          <w:marTop w:val="0"/>
          <w:marBottom w:val="0"/>
          <w:divBdr>
            <w:top w:val="none" w:sz="0" w:space="0" w:color="auto"/>
            <w:left w:val="none" w:sz="0" w:space="0" w:color="auto"/>
            <w:bottom w:val="none" w:sz="0" w:space="0" w:color="auto"/>
            <w:right w:val="none" w:sz="0" w:space="0" w:color="auto"/>
          </w:divBdr>
        </w:div>
        <w:div w:id="86467563">
          <w:marLeft w:val="0"/>
          <w:marRight w:val="0"/>
          <w:marTop w:val="0"/>
          <w:marBottom w:val="0"/>
          <w:divBdr>
            <w:top w:val="none" w:sz="0" w:space="0" w:color="auto"/>
            <w:left w:val="none" w:sz="0" w:space="0" w:color="auto"/>
            <w:bottom w:val="none" w:sz="0" w:space="0" w:color="auto"/>
            <w:right w:val="none" w:sz="0" w:space="0" w:color="auto"/>
          </w:divBdr>
        </w:div>
        <w:div w:id="86467565">
          <w:marLeft w:val="0"/>
          <w:marRight w:val="0"/>
          <w:marTop w:val="0"/>
          <w:marBottom w:val="0"/>
          <w:divBdr>
            <w:top w:val="none" w:sz="0" w:space="0" w:color="auto"/>
            <w:left w:val="none" w:sz="0" w:space="0" w:color="auto"/>
            <w:bottom w:val="none" w:sz="0" w:space="0" w:color="auto"/>
            <w:right w:val="none" w:sz="0" w:space="0" w:color="auto"/>
          </w:divBdr>
        </w:div>
        <w:div w:id="86467566">
          <w:marLeft w:val="0"/>
          <w:marRight w:val="0"/>
          <w:marTop w:val="0"/>
          <w:marBottom w:val="0"/>
          <w:divBdr>
            <w:top w:val="none" w:sz="0" w:space="0" w:color="auto"/>
            <w:left w:val="none" w:sz="0" w:space="0" w:color="auto"/>
            <w:bottom w:val="none" w:sz="0" w:space="0" w:color="auto"/>
            <w:right w:val="none" w:sz="0" w:space="0" w:color="auto"/>
          </w:divBdr>
        </w:div>
        <w:div w:id="86467570">
          <w:marLeft w:val="0"/>
          <w:marRight w:val="0"/>
          <w:marTop w:val="0"/>
          <w:marBottom w:val="0"/>
          <w:divBdr>
            <w:top w:val="none" w:sz="0" w:space="0" w:color="auto"/>
            <w:left w:val="none" w:sz="0" w:space="0" w:color="auto"/>
            <w:bottom w:val="none" w:sz="0" w:space="0" w:color="auto"/>
            <w:right w:val="none" w:sz="0" w:space="0" w:color="auto"/>
          </w:divBdr>
        </w:div>
        <w:div w:id="86467572">
          <w:marLeft w:val="0"/>
          <w:marRight w:val="0"/>
          <w:marTop w:val="0"/>
          <w:marBottom w:val="0"/>
          <w:divBdr>
            <w:top w:val="none" w:sz="0" w:space="0" w:color="auto"/>
            <w:left w:val="none" w:sz="0" w:space="0" w:color="auto"/>
            <w:bottom w:val="none" w:sz="0" w:space="0" w:color="auto"/>
            <w:right w:val="none" w:sz="0" w:space="0" w:color="auto"/>
          </w:divBdr>
        </w:div>
        <w:div w:id="86467573">
          <w:marLeft w:val="0"/>
          <w:marRight w:val="0"/>
          <w:marTop w:val="0"/>
          <w:marBottom w:val="0"/>
          <w:divBdr>
            <w:top w:val="none" w:sz="0" w:space="0" w:color="auto"/>
            <w:left w:val="none" w:sz="0" w:space="0" w:color="auto"/>
            <w:bottom w:val="none" w:sz="0" w:space="0" w:color="auto"/>
            <w:right w:val="none" w:sz="0" w:space="0" w:color="auto"/>
          </w:divBdr>
        </w:div>
        <w:div w:id="86467574">
          <w:marLeft w:val="0"/>
          <w:marRight w:val="0"/>
          <w:marTop w:val="0"/>
          <w:marBottom w:val="0"/>
          <w:divBdr>
            <w:top w:val="none" w:sz="0" w:space="0" w:color="auto"/>
            <w:left w:val="none" w:sz="0" w:space="0" w:color="auto"/>
            <w:bottom w:val="none" w:sz="0" w:space="0" w:color="auto"/>
            <w:right w:val="none" w:sz="0" w:space="0" w:color="auto"/>
          </w:divBdr>
        </w:div>
        <w:div w:id="86467575">
          <w:marLeft w:val="0"/>
          <w:marRight w:val="0"/>
          <w:marTop w:val="0"/>
          <w:marBottom w:val="0"/>
          <w:divBdr>
            <w:top w:val="none" w:sz="0" w:space="0" w:color="auto"/>
            <w:left w:val="none" w:sz="0" w:space="0" w:color="auto"/>
            <w:bottom w:val="none" w:sz="0" w:space="0" w:color="auto"/>
            <w:right w:val="none" w:sz="0" w:space="0" w:color="auto"/>
          </w:divBdr>
        </w:div>
        <w:div w:id="86467577">
          <w:marLeft w:val="0"/>
          <w:marRight w:val="0"/>
          <w:marTop w:val="0"/>
          <w:marBottom w:val="0"/>
          <w:divBdr>
            <w:top w:val="none" w:sz="0" w:space="0" w:color="auto"/>
            <w:left w:val="none" w:sz="0" w:space="0" w:color="auto"/>
            <w:bottom w:val="none" w:sz="0" w:space="0" w:color="auto"/>
            <w:right w:val="none" w:sz="0" w:space="0" w:color="auto"/>
          </w:divBdr>
        </w:div>
        <w:div w:id="86467578">
          <w:marLeft w:val="0"/>
          <w:marRight w:val="0"/>
          <w:marTop w:val="0"/>
          <w:marBottom w:val="0"/>
          <w:divBdr>
            <w:top w:val="none" w:sz="0" w:space="0" w:color="auto"/>
            <w:left w:val="none" w:sz="0" w:space="0" w:color="auto"/>
            <w:bottom w:val="none" w:sz="0" w:space="0" w:color="auto"/>
            <w:right w:val="none" w:sz="0" w:space="0" w:color="auto"/>
          </w:divBdr>
        </w:div>
        <w:div w:id="864675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4712785-8A69-468A-A7A3-B51818F25D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TotalTime>
  <Pages>42</Pages>
  <Words>19790</Words>
  <Characters>118743</Characters>
  <Application>Microsoft Office Word</Application>
  <DocSecurity>0</DocSecurity>
  <Lines>989</Lines>
  <Paragraphs>276</Paragraphs>
  <ScaleCrop>false</ScaleCrop>
  <HeadingPairs>
    <vt:vector size="2" baseType="variant">
      <vt:variant>
        <vt:lpstr>Tytuł</vt:lpstr>
      </vt:variant>
      <vt:variant>
        <vt:i4>1</vt:i4>
      </vt:variant>
    </vt:vector>
  </HeadingPairs>
  <TitlesOfParts>
    <vt:vector size="1" baseType="lpstr">
      <vt:lpstr/>
    </vt:vector>
  </TitlesOfParts>
  <Company>URT</Company>
  <LinksUpToDate>false</LinksUpToDate>
  <CharactersWithSpaces>138257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Michał Ciach</dc:creator>
  <cp:lastModifiedBy>Justyna Sutkowska</cp:lastModifiedBy>
  <cp:revision>55</cp:revision>
  <cp:lastPrinted>2014-09-26T10:38:00Z</cp:lastPrinted>
  <dcterms:created xsi:type="dcterms:W3CDTF">2014-09-23T12:35:00Z</dcterms:created>
  <dcterms:modified xsi:type="dcterms:W3CDTF">2014-10-20T10:11:00Z</dcterms:modified>
</cp:coreProperties>
</file>