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147" w:type="dxa"/>
        <w:tblInd w:w="-792"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tblPr>
      <w:tblGrid>
        <w:gridCol w:w="5295"/>
        <w:gridCol w:w="3852"/>
      </w:tblGrid>
      <w:tr w:rsidR="002A5D52" w:rsidRPr="002A5D52" w:rsidTr="00AC43B6">
        <w:tc>
          <w:tcPr>
            <w:tcW w:w="5295" w:type="dxa"/>
            <w:vAlign w:val="center"/>
          </w:tcPr>
          <w:p w:rsidR="002A5D52" w:rsidRPr="002A5D52" w:rsidRDefault="006B6DE0" w:rsidP="002A5D52">
            <w:pPr>
              <w:tabs>
                <w:tab w:val="left" w:pos="5580"/>
              </w:tabs>
              <w:spacing w:after="120"/>
              <w:jc w:val="center"/>
              <w:rPr>
                <w:lang w:val="en-GB"/>
              </w:rPr>
            </w:pPr>
            <w:r w:rsidRPr="006B6DE0">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image001" style="width:51pt;height:55.5pt;visibility:visible;mso-wrap-style:square">
                  <v:imagedata r:id="rId7" o:title="image001"/>
                </v:shape>
              </w:pict>
            </w:r>
          </w:p>
        </w:tc>
        <w:tc>
          <w:tcPr>
            <w:tcW w:w="3852" w:type="dxa"/>
            <w:vAlign w:val="bottom"/>
          </w:tcPr>
          <w:p w:rsidR="002A5D52" w:rsidRPr="002A5D52" w:rsidRDefault="00961A7E" w:rsidP="00961A7E">
            <w:pPr>
              <w:tabs>
                <w:tab w:val="left" w:pos="5580"/>
              </w:tabs>
              <w:jc w:val="right"/>
              <w:rPr>
                <w:i/>
                <w:iCs/>
                <w:lang w:val="en-GB"/>
              </w:rPr>
            </w:pPr>
            <w:r>
              <w:rPr>
                <w:sz w:val="22"/>
                <w:lang w:val="en-GB"/>
              </w:rPr>
              <w:t xml:space="preserve">Warszawa, </w:t>
            </w:r>
            <w:proofErr w:type="spellStart"/>
            <w:r>
              <w:rPr>
                <w:sz w:val="22"/>
                <w:lang w:val="en-GB"/>
              </w:rPr>
              <w:t>dnia</w:t>
            </w:r>
            <w:proofErr w:type="spellEnd"/>
            <w:r>
              <w:rPr>
                <w:sz w:val="22"/>
                <w:lang w:val="en-GB"/>
              </w:rPr>
              <w:t xml:space="preserve"> </w:t>
            </w:r>
            <w:r w:rsidR="00110E9A">
              <w:rPr>
                <w:sz w:val="22"/>
                <w:lang w:val="en-GB"/>
              </w:rPr>
              <w:t>1</w:t>
            </w:r>
            <w:r w:rsidR="002A5D52" w:rsidRPr="002A5D52">
              <w:rPr>
                <w:sz w:val="22"/>
                <w:lang w:val="en-GB"/>
              </w:rPr>
              <w:t xml:space="preserve"> </w:t>
            </w:r>
            <w:proofErr w:type="spellStart"/>
            <w:r w:rsidR="006529A1">
              <w:rPr>
                <w:sz w:val="22"/>
                <w:lang w:val="en-GB"/>
              </w:rPr>
              <w:t>października</w:t>
            </w:r>
            <w:proofErr w:type="spellEnd"/>
            <w:r w:rsidR="002A5D52" w:rsidRPr="002A5D52">
              <w:rPr>
                <w:sz w:val="22"/>
                <w:lang w:val="en-GB"/>
              </w:rPr>
              <w:t xml:space="preserve"> 2014 r.</w:t>
            </w:r>
          </w:p>
        </w:tc>
      </w:tr>
      <w:tr w:rsidR="002A5D52" w:rsidRPr="002A5D52" w:rsidTr="00AC43B6">
        <w:tc>
          <w:tcPr>
            <w:tcW w:w="5295" w:type="dxa"/>
            <w:vAlign w:val="center"/>
          </w:tcPr>
          <w:p w:rsidR="002A5D52" w:rsidRPr="002A5D52" w:rsidRDefault="002A5D52" w:rsidP="002A5D52">
            <w:pPr>
              <w:tabs>
                <w:tab w:val="left" w:pos="5580"/>
              </w:tabs>
              <w:jc w:val="center"/>
              <w:rPr>
                <w:b/>
                <w:lang w:val="en-GB"/>
              </w:rPr>
            </w:pPr>
            <w:r w:rsidRPr="002A5D52">
              <w:rPr>
                <w:b/>
                <w:lang w:val="en-GB"/>
              </w:rPr>
              <w:t>PREZES</w:t>
            </w:r>
          </w:p>
          <w:p w:rsidR="002A5D52" w:rsidRPr="002A5D52" w:rsidRDefault="002A5D52" w:rsidP="002A5D52">
            <w:pPr>
              <w:tabs>
                <w:tab w:val="left" w:pos="5580"/>
              </w:tabs>
              <w:ind w:right="-2718"/>
              <w:rPr>
                <w:b/>
                <w:lang w:val="en-GB"/>
              </w:rPr>
            </w:pPr>
            <w:r w:rsidRPr="002A5D52">
              <w:rPr>
                <w:b/>
                <w:lang w:val="en-GB"/>
              </w:rPr>
              <w:t>URZĘDU KOMUNIKACJI ELEKTRONICZNEJ</w:t>
            </w:r>
          </w:p>
        </w:tc>
        <w:tc>
          <w:tcPr>
            <w:tcW w:w="3852" w:type="dxa"/>
            <w:vAlign w:val="center"/>
          </w:tcPr>
          <w:p w:rsidR="002A5D52" w:rsidRPr="002A5D52" w:rsidRDefault="002A5D52" w:rsidP="002A5D52">
            <w:pPr>
              <w:tabs>
                <w:tab w:val="left" w:pos="5580"/>
              </w:tabs>
              <w:jc w:val="center"/>
              <w:rPr>
                <w:lang w:val="en-GB"/>
              </w:rPr>
            </w:pPr>
          </w:p>
        </w:tc>
      </w:tr>
      <w:tr w:rsidR="002A5D52" w:rsidRPr="002A5D52" w:rsidTr="00AC43B6">
        <w:trPr>
          <w:trHeight w:val="171"/>
        </w:trPr>
        <w:tc>
          <w:tcPr>
            <w:tcW w:w="5295" w:type="dxa"/>
            <w:vAlign w:val="center"/>
          </w:tcPr>
          <w:p w:rsidR="002A5D52" w:rsidRPr="002A5D52" w:rsidRDefault="002A5D52" w:rsidP="002A5D52">
            <w:pPr>
              <w:tabs>
                <w:tab w:val="left" w:pos="5580"/>
              </w:tabs>
              <w:spacing w:before="240"/>
              <w:rPr>
                <w:b/>
                <w:i/>
                <w:sz w:val="6"/>
                <w:szCs w:val="6"/>
                <w:lang w:val="en-GB"/>
              </w:rPr>
            </w:pPr>
          </w:p>
        </w:tc>
        <w:tc>
          <w:tcPr>
            <w:tcW w:w="3852" w:type="dxa"/>
            <w:vAlign w:val="center"/>
          </w:tcPr>
          <w:p w:rsidR="002A5D52" w:rsidRPr="002A5D52" w:rsidRDefault="002A5D52" w:rsidP="002A5D52">
            <w:pPr>
              <w:tabs>
                <w:tab w:val="left" w:pos="5580"/>
              </w:tabs>
              <w:jc w:val="center"/>
              <w:rPr>
                <w:lang w:val="en-GB"/>
              </w:rPr>
            </w:pPr>
          </w:p>
        </w:tc>
      </w:tr>
    </w:tbl>
    <w:p w:rsidR="002A5D52" w:rsidRPr="002A5D52" w:rsidRDefault="002A5D52" w:rsidP="002A5D52">
      <w:pPr>
        <w:spacing w:before="120"/>
        <w:ind w:left="4395" w:firstLine="561"/>
        <w:jc w:val="both"/>
        <w:rPr>
          <w:b/>
          <w:bCs/>
          <w:iCs/>
          <w:spacing w:val="-6"/>
        </w:rPr>
      </w:pPr>
      <w:r w:rsidRPr="002A5D52">
        <w:rPr>
          <w:b/>
          <w:bCs/>
          <w:iCs/>
          <w:spacing w:val="-6"/>
        </w:rPr>
        <w:t>Orange Polska S.A.</w:t>
      </w:r>
    </w:p>
    <w:p w:rsidR="002A5D52" w:rsidRPr="002A5D52" w:rsidRDefault="002A5D52" w:rsidP="002A5D52">
      <w:pPr>
        <w:ind w:left="4395" w:firstLine="561"/>
        <w:jc w:val="both"/>
        <w:rPr>
          <w:iCs/>
          <w:spacing w:val="-6"/>
        </w:rPr>
      </w:pPr>
      <w:r w:rsidRPr="002A5D52">
        <w:rPr>
          <w:iCs/>
          <w:spacing w:val="-6"/>
        </w:rPr>
        <w:t>Al. Jerozolimskie 160</w:t>
      </w:r>
    </w:p>
    <w:p w:rsidR="002A5D52" w:rsidRPr="002A5D52" w:rsidRDefault="002A5D52" w:rsidP="002A5D52">
      <w:pPr>
        <w:ind w:left="4395" w:firstLine="561"/>
        <w:rPr>
          <w:iCs/>
          <w:spacing w:val="-6"/>
        </w:rPr>
      </w:pPr>
      <w:r w:rsidRPr="002A5D52">
        <w:rPr>
          <w:iCs/>
          <w:spacing w:val="-6"/>
        </w:rPr>
        <w:t>02-326 Warszawa</w:t>
      </w:r>
    </w:p>
    <w:p w:rsidR="002A5D52" w:rsidRPr="002A5D52" w:rsidRDefault="002A5D52" w:rsidP="002A5D52">
      <w:pPr>
        <w:widowControl w:val="0"/>
        <w:shd w:val="clear" w:color="auto" w:fill="FFFFFF"/>
        <w:autoSpaceDE w:val="0"/>
        <w:autoSpaceDN w:val="0"/>
        <w:adjustRightInd w:val="0"/>
        <w:spacing w:before="120"/>
        <w:ind w:left="4395" w:firstLine="561"/>
        <w:jc w:val="both"/>
        <w:rPr>
          <w:b/>
          <w:bCs/>
        </w:rPr>
      </w:pPr>
      <w:r>
        <w:rPr>
          <w:b/>
          <w:bCs/>
        </w:rPr>
        <w:t>Netia S.A.</w:t>
      </w:r>
    </w:p>
    <w:p w:rsidR="002A5D52" w:rsidRPr="002A5D52" w:rsidRDefault="002A5D52" w:rsidP="002A5D52">
      <w:pPr>
        <w:widowControl w:val="0"/>
        <w:shd w:val="clear" w:color="auto" w:fill="FFFFFF"/>
        <w:autoSpaceDE w:val="0"/>
        <w:autoSpaceDN w:val="0"/>
        <w:adjustRightInd w:val="0"/>
        <w:ind w:left="4395" w:firstLine="561"/>
        <w:jc w:val="both"/>
        <w:rPr>
          <w:bCs/>
        </w:rPr>
      </w:pPr>
      <w:r w:rsidRPr="002A5D52">
        <w:rPr>
          <w:bCs/>
        </w:rPr>
        <w:t xml:space="preserve">ul. </w:t>
      </w:r>
      <w:r>
        <w:rPr>
          <w:bCs/>
        </w:rPr>
        <w:t>Poleczki 13</w:t>
      </w:r>
    </w:p>
    <w:p w:rsidR="002A5D52" w:rsidRPr="002A5D52" w:rsidRDefault="002A5D52" w:rsidP="002A5D52">
      <w:pPr>
        <w:widowControl w:val="0"/>
        <w:shd w:val="clear" w:color="auto" w:fill="FFFFFF"/>
        <w:autoSpaceDE w:val="0"/>
        <w:autoSpaceDN w:val="0"/>
        <w:adjustRightInd w:val="0"/>
        <w:spacing w:after="120"/>
        <w:ind w:left="4820" w:firstLine="136"/>
        <w:rPr>
          <w:bCs/>
        </w:rPr>
      </w:pPr>
      <w:r>
        <w:rPr>
          <w:bCs/>
        </w:rPr>
        <w:t>02</w:t>
      </w:r>
      <w:r w:rsidRPr="002A5D52">
        <w:rPr>
          <w:bCs/>
        </w:rPr>
        <w:t>-</w:t>
      </w:r>
      <w:r>
        <w:rPr>
          <w:bCs/>
        </w:rPr>
        <w:t>822 Warszawa</w:t>
      </w:r>
    </w:p>
    <w:p w:rsidR="00815506" w:rsidRPr="00180AE1" w:rsidRDefault="00815506" w:rsidP="00230749">
      <w:pPr>
        <w:pStyle w:val="Tytu"/>
        <w:widowControl/>
        <w:overflowPunct/>
        <w:autoSpaceDE/>
        <w:autoSpaceDN/>
        <w:adjustRightInd/>
        <w:spacing w:before="120" w:after="120"/>
      </w:pPr>
      <w:r w:rsidRPr="00180AE1">
        <w:t>DE</w:t>
      </w:r>
      <w:r w:rsidR="00110E9A">
        <w:t>CYZJA DHRT-WWM-6080-143/13 (27</w:t>
      </w:r>
      <w:r w:rsidRPr="00180AE1">
        <w:t xml:space="preserve"> )</w:t>
      </w:r>
    </w:p>
    <w:p w:rsidR="00815506" w:rsidRPr="00180AE1" w:rsidRDefault="00815506" w:rsidP="002E700E">
      <w:pPr>
        <w:spacing w:before="120" w:after="120"/>
        <w:jc w:val="both"/>
      </w:pPr>
      <w:r w:rsidRPr="00180AE1">
        <w:t>Na podstawie art. 28 ust. 1 w związku art. 30 ust. 1 ustawy z dnia 16 lipca 2004 r. Prawo telekomunikacyjne (</w:t>
      </w:r>
      <w:r>
        <w:t xml:space="preserve">tekst jednolity: Dz. </w:t>
      </w:r>
      <w:r w:rsidRPr="007B1714">
        <w:t xml:space="preserve">U. </w:t>
      </w:r>
      <w:r>
        <w:t>z 2014 r.,</w:t>
      </w:r>
      <w:r w:rsidRPr="007B1714">
        <w:t xml:space="preserve"> poz. </w:t>
      </w:r>
      <w:r>
        <w:t>243</w:t>
      </w:r>
      <w:r w:rsidRPr="00706709">
        <w:t>, zwanej dalej „Pt”</w:t>
      </w:r>
      <w:r w:rsidRPr="00180AE1">
        <w:t>) oraz art. 104 § 1 ustawy z dnia 14 czerwca 1960 r. Kodeks postępowania administracyjnego (Dz. U. z 2013 r.</w:t>
      </w:r>
      <w:r>
        <w:t>,</w:t>
      </w:r>
      <w:r w:rsidRPr="00180AE1">
        <w:t xml:space="preserve"> poz. 267</w:t>
      </w:r>
      <w:r>
        <w:t xml:space="preserve"> ze zm.</w:t>
      </w:r>
      <w:r w:rsidRPr="00180AE1">
        <w:t xml:space="preserve">, zwanej dalej „kpa”), </w:t>
      </w:r>
      <w:r>
        <w:br/>
        <w:t>w związku</w:t>
      </w:r>
      <w:r w:rsidR="0097703A">
        <w:t xml:space="preserve"> </w:t>
      </w:r>
      <w:r w:rsidRPr="00180AE1">
        <w:t xml:space="preserve">z art. 206 ust. </w:t>
      </w:r>
      <w:smartTag w:uri="urn:schemas-microsoft-com:office:smarttags" w:element="metricconverter">
        <w:smartTagPr>
          <w:attr w:name="ProductID" w:val="1 Pt"/>
        </w:smartTagPr>
        <w:r w:rsidRPr="00180AE1">
          <w:t>1 Pt</w:t>
        </w:r>
      </w:smartTag>
      <w:r w:rsidRPr="00180AE1">
        <w:t>, po rozpatrzeniu wniosk</w:t>
      </w:r>
      <w:r>
        <w:t xml:space="preserve">u Telekomunikacji </w:t>
      </w:r>
      <w:r w:rsidR="0097703A">
        <w:br/>
      </w:r>
      <w:r>
        <w:t>Polskiej S.A.</w:t>
      </w:r>
      <w:r w:rsidR="0097703A">
        <w:t xml:space="preserve"> </w:t>
      </w:r>
      <w:r w:rsidRPr="00180AE1">
        <w:t>z siedzibą w Warszawie (obecnie</w:t>
      </w:r>
      <w:r>
        <w:t>:</w:t>
      </w:r>
      <w:r w:rsidRPr="00180AE1">
        <w:t xml:space="preserve"> Orange Polska S.A. z siedzibą </w:t>
      </w:r>
      <w:r w:rsidR="0097703A">
        <w:br/>
      </w:r>
      <w:r w:rsidRPr="00180AE1">
        <w:t>w Warszawie, zwanej dalej „OPL”</w:t>
      </w:r>
      <w:r>
        <w:t>)</w:t>
      </w:r>
      <w:r w:rsidRPr="00180AE1">
        <w:t xml:space="preserve"> z dnia 22 października 2013 r.</w:t>
      </w:r>
      <w:r>
        <w:t xml:space="preserve"> (zwanego dalej „Wnioskiem”)</w:t>
      </w:r>
      <w:r w:rsidRPr="00180AE1">
        <w:t xml:space="preserve">, </w:t>
      </w:r>
      <w:r>
        <w:t>w sprawie</w:t>
      </w:r>
      <w:r w:rsidRPr="00180AE1">
        <w:t xml:space="preserve"> wydani</w:t>
      </w:r>
      <w:r>
        <w:t>a</w:t>
      </w:r>
      <w:r w:rsidRPr="00180AE1">
        <w:t xml:space="preserve"> decyzji zmieniającej umowę o połączeniu sieci </w:t>
      </w:r>
      <w:r w:rsidR="0097703A">
        <w:br/>
      </w:r>
      <w:r w:rsidRPr="00180AE1">
        <w:t>z dnia</w:t>
      </w:r>
      <w:r>
        <w:t xml:space="preserve"> </w:t>
      </w:r>
      <w:r w:rsidRPr="00180AE1">
        <w:t>30 czerwca 2007 r. zawartą pomiędzy OPL a Neti</w:t>
      </w:r>
      <w:r>
        <w:t>ą</w:t>
      </w:r>
      <w:r w:rsidRPr="00180AE1">
        <w:t xml:space="preserve"> S.A. z siedzibą </w:t>
      </w:r>
      <w:r w:rsidR="0097703A">
        <w:br/>
      </w:r>
      <w:r w:rsidRPr="00180AE1">
        <w:t>w Warszawie (zwaną dalej „Netią</w:t>
      </w:r>
      <w:r>
        <w:t xml:space="preserve">”), zmienioną Aneksem nr 1 z dnia 21 listopada 2007 r., Aneksem nr 2 z dnia 15 kwietnia 2008 r., Porozumieniem z dnia 20 maja 2009 r., Porozumieniem z dnia 3 czerwca 2009 r., Aneksem nr 3 z dnia 16 lutego 2010 r., Aneksem nr 4 z dnia 22 września 2011 r., Porozumieniem z dnia </w:t>
      </w:r>
      <w:r w:rsidR="0097703A">
        <w:br/>
      </w:r>
      <w:r>
        <w:t>31 października 2013 r. oraz</w:t>
      </w:r>
      <w:r w:rsidRPr="00180AE1">
        <w:t xml:space="preserve"> decyzj</w:t>
      </w:r>
      <w:r>
        <w:t>ą</w:t>
      </w:r>
      <w:r w:rsidRPr="00180AE1">
        <w:t xml:space="preserve"> Prezesa Urzędu Komunikacji Elektronicznej (zwanego dalej „Prezesem UKE”)</w:t>
      </w:r>
      <w:r>
        <w:t xml:space="preserve"> nr DHRT-WWM-60600-9/08(24) z dnia 20 maja 2008 r., decyzją Prezesa UKE nr DHRT-WWM-60600-127/08(20) z dnia 26 lutego 2009 r. oraz decyzją Prezesa UKE nr DHRT-WWM-60600-177/08 z dnia 10 sierpnia 2009 r. </w:t>
      </w:r>
      <w:r w:rsidRPr="00180AE1">
        <w:t>(zwan</w:t>
      </w:r>
      <w:r>
        <w:t>ej</w:t>
      </w:r>
      <w:r w:rsidRPr="00180AE1">
        <w:t xml:space="preserve"> dalej „Umową o Połączeniu Sieci”), w zakresie</w:t>
      </w:r>
      <w:r>
        <w:t xml:space="preserve"> warunków i</w:t>
      </w:r>
      <w:r w:rsidRPr="00180AE1">
        <w:t xml:space="preserve"> zasad rozlicz</w:t>
      </w:r>
      <w:r>
        <w:t>eń</w:t>
      </w:r>
      <w:r w:rsidRPr="00180AE1">
        <w:t xml:space="preserve"> </w:t>
      </w:r>
      <w:r>
        <w:t xml:space="preserve">dotyczących </w:t>
      </w:r>
      <w:r w:rsidRPr="00180AE1">
        <w:t>usługi tranzytu w sieci Neti</w:t>
      </w:r>
      <w:r>
        <w:t xml:space="preserve">i, </w:t>
      </w:r>
      <w:r w:rsidRPr="00180AE1">
        <w:t>zgodnie z załączonym</w:t>
      </w:r>
      <w:r>
        <w:t xml:space="preserve"> </w:t>
      </w:r>
      <w:r w:rsidRPr="00180AE1">
        <w:t>projektem aneksu</w:t>
      </w:r>
    </w:p>
    <w:p w:rsidR="00815506" w:rsidRDefault="00815506">
      <w:pPr>
        <w:jc w:val="center"/>
        <w:rPr>
          <w:b/>
        </w:rPr>
      </w:pPr>
      <w:r w:rsidRPr="00180AE1">
        <w:rPr>
          <w:b/>
          <w:bCs/>
        </w:rPr>
        <w:t>odmawiam</w:t>
      </w:r>
      <w:r w:rsidRPr="00B4766D">
        <w:rPr>
          <w:b/>
        </w:rPr>
        <w:t xml:space="preserve"> </w:t>
      </w:r>
      <w:r w:rsidRPr="00325B0C">
        <w:rPr>
          <w:b/>
        </w:rPr>
        <w:t xml:space="preserve">zmiany Umowy </w:t>
      </w:r>
      <w:r>
        <w:rPr>
          <w:b/>
        </w:rPr>
        <w:t>o Połączeniu Sieci zgodnie z Wnioskiem.</w:t>
      </w:r>
    </w:p>
    <w:p w:rsidR="00815506" w:rsidRDefault="00815506">
      <w:pPr>
        <w:jc w:val="center"/>
        <w:rPr>
          <w:b/>
          <w:bCs/>
        </w:rPr>
      </w:pPr>
    </w:p>
    <w:p w:rsidR="00815506" w:rsidRDefault="00815506">
      <w:pPr>
        <w:jc w:val="both"/>
        <w:rPr>
          <w:b/>
          <w:lang w:eastAsia="ar-SA"/>
        </w:rPr>
      </w:pPr>
      <w:r>
        <w:rPr>
          <w:b/>
          <w:bCs/>
        </w:rPr>
        <w:t>N</w:t>
      </w:r>
      <w:r w:rsidRPr="0073722B">
        <w:rPr>
          <w:b/>
          <w:lang w:eastAsia="ar-SA"/>
        </w:rPr>
        <w:t xml:space="preserve">a podstawie art. 206 ust. 2a w związku z art. 206 ust. 2 </w:t>
      </w:r>
      <w:proofErr w:type="spellStart"/>
      <w:r w:rsidRPr="0073722B">
        <w:rPr>
          <w:b/>
          <w:lang w:eastAsia="ar-SA"/>
        </w:rPr>
        <w:t>pkt</w:t>
      </w:r>
      <w:proofErr w:type="spellEnd"/>
      <w:r w:rsidRPr="0073722B">
        <w:rPr>
          <w:b/>
          <w:lang w:eastAsia="ar-SA"/>
        </w:rPr>
        <w:t xml:space="preserve"> </w:t>
      </w:r>
      <w:smartTag w:uri="urn:schemas-microsoft-com:office:smarttags" w:element="metricconverter">
        <w:smartTagPr>
          <w:attr w:name="ProductID" w:val="5 Pt"/>
        </w:smartTagPr>
        <w:r w:rsidRPr="0073722B">
          <w:rPr>
            <w:b/>
            <w:lang w:eastAsia="ar-SA"/>
          </w:rPr>
          <w:t>5 Pt</w:t>
        </w:r>
      </w:smartTag>
      <w:r w:rsidRPr="0073722B">
        <w:rPr>
          <w:b/>
          <w:lang w:eastAsia="ar-SA"/>
        </w:rPr>
        <w:t xml:space="preserve"> niniejsza decyzja podlega natychmiastowemu wykonaniu.</w:t>
      </w:r>
    </w:p>
    <w:p w:rsidR="00815506" w:rsidRDefault="00815506">
      <w:pPr>
        <w:jc w:val="both"/>
        <w:rPr>
          <w:b/>
          <w:bCs/>
        </w:rPr>
      </w:pPr>
    </w:p>
    <w:p w:rsidR="00815506" w:rsidRPr="00180AE1" w:rsidRDefault="00815506" w:rsidP="00BD48C6">
      <w:pPr>
        <w:spacing w:before="120" w:after="120"/>
        <w:jc w:val="center"/>
        <w:rPr>
          <w:b/>
        </w:rPr>
      </w:pPr>
      <w:r w:rsidRPr="00180AE1">
        <w:rPr>
          <w:b/>
        </w:rPr>
        <w:t>UZASADNIENIE</w:t>
      </w:r>
    </w:p>
    <w:p w:rsidR="00815506" w:rsidRPr="00180AE1" w:rsidRDefault="00815506" w:rsidP="002E700E">
      <w:pPr>
        <w:spacing w:before="120"/>
        <w:jc w:val="both"/>
      </w:pPr>
      <w:r w:rsidRPr="00180AE1">
        <w:t>W dniu 30 czerwca 2007 r. OPL i Netia zawarły Umowę o Połączeniu Sieci</w:t>
      </w:r>
      <w:r>
        <w:t>.</w:t>
      </w:r>
    </w:p>
    <w:p w:rsidR="00815506" w:rsidRPr="00180AE1" w:rsidRDefault="00815506" w:rsidP="002E700E">
      <w:pPr>
        <w:spacing w:before="120" w:after="120"/>
        <w:jc w:val="both"/>
        <w:rPr>
          <w:b/>
        </w:rPr>
      </w:pPr>
      <w:r w:rsidRPr="00180AE1">
        <w:t>W dniu 17 października 2008 r. Prezes UKE wydał postanowienie nr DART-SMP-6043-1/07(142), zamykające postępowanie w sprawie ustalenia, czy na krajowym rynku świadczenia usługi tranzytu połączeń w stacjonarnej publicznej sieci telefonicznej występuje skuteczna konkurencja (zwane dalej „Postanowieniem SMP”).</w:t>
      </w:r>
    </w:p>
    <w:p w:rsidR="00815506" w:rsidRPr="00180AE1" w:rsidRDefault="00815506" w:rsidP="002E700E">
      <w:pPr>
        <w:spacing w:before="120"/>
        <w:jc w:val="both"/>
      </w:pPr>
      <w:r w:rsidRPr="00180AE1">
        <w:lastRenderedPageBreak/>
        <w:t xml:space="preserve">W dniu 6 marca 2009 r. Prezes UKE wydał decyzję nr DART-SMP-6043-7/08(12), na podstawie której zniósł ciążące na OPL obowiązki regulacyjne w zakresie świadczenia usługi tranzytu połączeń w stacjonarnej publicznej sieci telefonicznej, nałożone na podstawie przepisów przejściowych Pt, zgodnie z art. 221 ust. </w:t>
      </w:r>
      <w:smartTag w:uri="urn:schemas-microsoft-com:office:smarttags" w:element="metricconverter">
        <w:smartTagPr>
          <w:attr w:name="ProductID" w:val="1 Pt"/>
        </w:smartTagPr>
        <w:r w:rsidRPr="00180AE1">
          <w:t>1 Pt</w:t>
        </w:r>
      </w:smartTag>
      <w:r w:rsidRPr="00180AE1">
        <w:t xml:space="preserve"> (zwaną dalej „Decyzją SMP”). </w:t>
      </w:r>
    </w:p>
    <w:p w:rsidR="00815506" w:rsidRPr="00180AE1" w:rsidRDefault="00815506" w:rsidP="002E700E">
      <w:pPr>
        <w:spacing w:before="120"/>
        <w:jc w:val="both"/>
      </w:pPr>
      <w:r w:rsidRPr="00180AE1">
        <w:t xml:space="preserve">Pismem z dnia 19 lipca 2013 r. OPL zaproponowała Netii zawarcie aneksu </w:t>
      </w:r>
      <w:r>
        <w:br/>
      </w:r>
      <w:r w:rsidRPr="00180AE1">
        <w:t>do Umowy o Połączeniu Sieci (zwanego dalej „Aneksem”). Zgodnie z zapisami Aneksu stawki należne Netii za tranzyt w sieci Netii nie m</w:t>
      </w:r>
      <w:r>
        <w:t>iały</w:t>
      </w:r>
      <w:r w:rsidRPr="00180AE1">
        <w:t xml:space="preserve"> być wyższe niż stawki za usługę zakańczania połączeń w sieci Netii. Ponadto, stosownie do zapisów Aneksu, OPL miałaby możliwość wypowiedzenia Umowy o Połączeniu Sieci </w:t>
      </w:r>
      <w:r>
        <w:br/>
      </w:r>
      <w:r w:rsidRPr="00180AE1">
        <w:t>w części określającej warunki świadczenia przez Netię</w:t>
      </w:r>
      <w:r>
        <w:t xml:space="preserve"> </w:t>
      </w:r>
      <w:r w:rsidRPr="00180AE1">
        <w:t>na rzecz OPL usługi tranzytu w sieci Netii, realizowanej na zasadach określonych</w:t>
      </w:r>
      <w:r>
        <w:t xml:space="preserve"> </w:t>
      </w:r>
      <w:r w:rsidRPr="00180AE1">
        <w:t xml:space="preserve">w Umowie o Połączeniu Sieci, </w:t>
      </w:r>
      <w:r>
        <w:br/>
      </w:r>
      <w:r w:rsidRPr="00180AE1">
        <w:t>z zachowaniem 1</w:t>
      </w:r>
      <w:r>
        <w:t xml:space="preserve"> </w:t>
      </w:r>
      <w:r w:rsidRPr="00180AE1">
        <w:t>-</w:t>
      </w:r>
      <w:r>
        <w:t xml:space="preserve"> </w:t>
      </w:r>
      <w:r w:rsidRPr="00180AE1">
        <w:t>miesięcznego okresu wypowiedzenia ze skutkiem na koniec miesiąca kalendarzowego.</w:t>
      </w:r>
    </w:p>
    <w:p w:rsidR="00815506" w:rsidRPr="00180AE1" w:rsidRDefault="00815506" w:rsidP="006D27DA">
      <w:pPr>
        <w:spacing w:before="120" w:after="120"/>
        <w:jc w:val="both"/>
      </w:pPr>
      <w:r>
        <w:t>P</w:t>
      </w:r>
      <w:r w:rsidRPr="00180AE1">
        <w:t>ismem z dnia 2 sierpnia</w:t>
      </w:r>
      <w:r>
        <w:t xml:space="preserve"> </w:t>
      </w:r>
      <w:r w:rsidRPr="00180AE1">
        <w:t>2013 r.</w:t>
      </w:r>
      <w:r>
        <w:t>, w</w:t>
      </w:r>
      <w:r w:rsidRPr="00180AE1">
        <w:t xml:space="preserve"> odpowiedzi na pismo OPL z dnia 19 lipca </w:t>
      </w:r>
      <w:r>
        <w:br/>
      </w:r>
      <w:r w:rsidRPr="00180AE1">
        <w:t>2013 r.</w:t>
      </w:r>
      <w:r>
        <w:t>,</w:t>
      </w:r>
      <w:r w:rsidRPr="00180AE1">
        <w:t xml:space="preserve"> Netia wyraziła gotowość prowadzenia negocjacji w zakresie propozycji OPL</w:t>
      </w:r>
      <w:r>
        <w:t xml:space="preserve"> po wyjaśnieniu kwestii, dlaczego OPL w zakresie opłaty za przeniesienie numeru </w:t>
      </w:r>
      <w:r>
        <w:br/>
        <w:t>nie widzi podstaw do inicjowania negocjacji, ale inicjuje negocjacje w zakresie usługi tranzytu w sieci Netia</w:t>
      </w:r>
      <w:r w:rsidRPr="00180AE1">
        <w:t xml:space="preserve">, zastrzegając, że wyrazi swoje merytoryczne stanowisko odnośnie przedmiotowej kwestii po wyjaśnieniu przez OPL </w:t>
      </w:r>
      <w:r>
        <w:t xml:space="preserve">ww. </w:t>
      </w:r>
      <w:r w:rsidRPr="00180AE1">
        <w:t xml:space="preserve">kwestii dotyczącej niepodjęcia przez OPL negocjacji </w:t>
      </w:r>
      <w:r>
        <w:t>w ww. sprawie.</w:t>
      </w:r>
    </w:p>
    <w:p w:rsidR="00815506" w:rsidRDefault="00815506" w:rsidP="00345C24">
      <w:pPr>
        <w:spacing w:after="120"/>
        <w:jc w:val="both"/>
      </w:pPr>
      <w:r w:rsidRPr="00345C24">
        <w:t xml:space="preserve">Pismem z dnia </w:t>
      </w:r>
      <w:r>
        <w:t>6</w:t>
      </w:r>
      <w:r w:rsidRPr="006D27DA">
        <w:t xml:space="preserve"> sierpnia 2013 r.</w:t>
      </w:r>
      <w:r w:rsidRPr="00345C24">
        <w:t xml:space="preserve"> (data wpływu do Urzędu Komunikacji Elektronicznej </w:t>
      </w:r>
      <w:r>
        <w:t xml:space="preserve">w dniu 6 sierpnia </w:t>
      </w:r>
      <w:r w:rsidRPr="00345C24">
        <w:t xml:space="preserve">2013 r.) OPL, na podstawie art. 27 ust. </w:t>
      </w:r>
      <w:smartTag w:uri="urn:schemas-microsoft-com:office:smarttags" w:element="metricconverter">
        <w:smartTagPr>
          <w:attr w:name="ProductID" w:val="1 Pt"/>
        </w:smartTagPr>
        <w:r w:rsidRPr="00345C24">
          <w:t>1 Pt</w:t>
        </w:r>
      </w:smartTag>
      <w:r w:rsidRPr="00345C24">
        <w:t xml:space="preserve"> </w:t>
      </w:r>
      <w:r>
        <w:br/>
      </w:r>
      <w:r w:rsidRPr="00345C24">
        <w:t xml:space="preserve">w związku z art. 30 ust. </w:t>
      </w:r>
      <w:smartTag w:uri="urn:schemas-microsoft-com:office:smarttags" w:element="metricconverter">
        <w:smartTagPr>
          <w:attr w:name="ProductID" w:val="1 Pt"/>
        </w:smartTagPr>
        <w:r w:rsidRPr="00345C24">
          <w:t>1 Pt</w:t>
        </w:r>
      </w:smartTag>
      <w:r w:rsidRPr="00345C24">
        <w:t xml:space="preserve">, zwróciła się do Prezesa UKE z wnioskiem o wydanie postanowienia określającego na dzień </w:t>
      </w:r>
      <w:r w:rsidRPr="006D27DA">
        <w:t>16 sierpnia 2013 r.</w:t>
      </w:r>
      <w:r w:rsidRPr="00345C24">
        <w:t xml:space="preserve"> termin zakończenia negocjacji pomiędzy OPL a Netią, dotyczących zmiany</w:t>
      </w:r>
      <w:bookmarkStart w:id="0" w:name="OLE_LINK4"/>
      <w:r w:rsidRPr="00345C24">
        <w:t xml:space="preserve"> </w:t>
      </w:r>
      <w:r>
        <w:t>Umowy o Połączeniu Sieci w zakresie usługi tranzytu w sieci Netii</w:t>
      </w:r>
      <w:r w:rsidRPr="00345C24">
        <w:t>.</w:t>
      </w:r>
      <w:bookmarkEnd w:id="0"/>
    </w:p>
    <w:p w:rsidR="00815506" w:rsidRPr="006D27DA" w:rsidRDefault="00815506" w:rsidP="00345C24">
      <w:pPr>
        <w:jc w:val="both"/>
      </w:pPr>
      <w:r w:rsidRPr="00345C24">
        <w:t xml:space="preserve">W dniu 18 września 2013 r. Prezes UKE wydał </w:t>
      </w:r>
      <w:r>
        <w:t xml:space="preserve">postanowienie </w:t>
      </w:r>
      <w:r w:rsidR="0096187D">
        <w:t>nr DHRT-WWM-6080-120/13</w:t>
      </w:r>
      <w:r w:rsidRPr="00345C24">
        <w:t>(</w:t>
      </w:r>
      <w:r>
        <w:t>7</w:t>
      </w:r>
      <w:r w:rsidRPr="00345C24">
        <w:t xml:space="preserve">), w którym określił termin zakończenia negocjacji zmiany </w:t>
      </w:r>
      <w:r>
        <w:t xml:space="preserve">Umowy </w:t>
      </w:r>
      <w:r>
        <w:br/>
        <w:t xml:space="preserve">o Połączeniu Sieci w </w:t>
      </w:r>
      <w:r w:rsidRPr="006D27DA">
        <w:t xml:space="preserve">zakresie usługi tranzytu w sieci Netii </w:t>
      </w:r>
      <w:r>
        <w:t>na dzień 2 października 2013 r. (zwane dalej „Postanowieniem”).</w:t>
      </w:r>
    </w:p>
    <w:p w:rsidR="00815506" w:rsidRPr="00180AE1" w:rsidRDefault="00815506" w:rsidP="002E700E">
      <w:pPr>
        <w:spacing w:before="120"/>
        <w:jc w:val="both"/>
      </w:pPr>
      <w:r>
        <w:t>P</w:t>
      </w:r>
      <w:r w:rsidRPr="00180AE1">
        <w:t>ismem z dnia 22 października 2013 r. (data wpływu</w:t>
      </w:r>
      <w:r>
        <w:t xml:space="preserve"> </w:t>
      </w:r>
      <w:r w:rsidRPr="00180AE1">
        <w:t>do Urzędu Komunikacji Elektronicznej</w:t>
      </w:r>
      <w:r>
        <w:t xml:space="preserve"> w dniu</w:t>
      </w:r>
      <w:r w:rsidRPr="00180AE1">
        <w:t xml:space="preserve"> 22 października 2013 r.) </w:t>
      </w:r>
      <w:r>
        <w:t xml:space="preserve">OPL </w:t>
      </w:r>
      <w:r w:rsidRPr="00180AE1">
        <w:t xml:space="preserve">złożyła do Prezesa UKE </w:t>
      </w:r>
      <w:r>
        <w:t>Wniosek, dotyczący przedmiotu negocjacji wszczętych w stosunku do Netii pismem z dnia 19 lipca 2013 r.</w:t>
      </w:r>
      <w:r w:rsidRPr="00180AE1">
        <w:t xml:space="preserve"> </w:t>
      </w:r>
      <w:r>
        <w:t>W uzasadnieniu Wniosku OPL powołała</w:t>
      </w:r>
      <w:r w:rsidRPr="00180AE1">
        <w:t xml:space="preserve"> się na treść stanowiska Prezesa UKE w sprawie symetrii stawek na rynku zakańczania połączeń głosowych w publicznych telefonicznych sieciach stacjonarnych z dnia 16 grudnia 2008 r., zgodnie z którym okres przejściowy, w którym dopuszczalna jest asymetria</w:t>
      </w:r>
      <w:r>
        <w:t xml:space="preserve"> </w:t>
      </w:r>
      <w:r>
        <w:br/>
      </w:r>
      <w:r w:rsidRPr="00180AE1">
        <w:t>w zakresie stawek</w:t>
      </w:r>
      <w:r>
        <w:t xml:space="preserve"> </w:t>
      </w:r>
      <w:r w:rsidRPr="00180AE1">
        <w:t>za zakańczanie połączeń, dotyczy świadczenia usług w sieciach ruchomych, nie zaś w sieciach stacjonarnych. Zdaniem OPL</w:t>
      </w:r>
      <w:r>
        <w:t>,</w:t>
      </w:r>
      <w:r w:rsidRPr="00180AE1">
        <w:t xml:space="preserve"> aktualne zapisy Umowy o Połączeniu Sieci uniemożliwiają OPL wypowiedzenie umowy w części określającej warunki świadczenia przez Netię na rzecz OPL usługi tranzytu w sieci Neti</w:t>
      </w:r>
      <w:r>
        <w:t>i</w:t>
      </w:r>
      <w:r w:rsidRPr="00180AE1">
        <w:t>, co</w:t>
      </w:r>
      <w:r>
        <w:t>,</w:t>
      </w:r>
      <w:r w:rsidRPr="00180AE1">
        <w:t xml:space="preserve"> zdaniem OPL</w:t>
      </w:r>
      <w:r>
        <w:t>,</w:t>
      </w:r>
      <w:r w:rsidRPr="00180AE1">
        <w:t xml:space="preserve"> jest sprzeczne z zasadami swobody obrotu gospodarczego. Ponadto, w ocenie OPL, model rozliczeń przyjęty w Umowie o Połączeniu Sieci decyduje o ponoszeniu przez OPL zawyżonych kosztów za zakańczanie połączeń</w:t>
      </w:r>
      <w:r>
        <w:t xml:space="preserve"> </w:t>
      </w:r>
      <w:r>
        <w:br/>
      </w:r>
      <w:r w:rsidRPr="00180AE1">
        <w:t>w sieciach innych operatorów alternatywnych. OPL wskazała rów</w:t>
      </w:r>
      <w:r>
        <w:t xml:space="preserve">nież, że możliwa jest sytuacja, </w:t>
      </w:r>
      <w:r w:rsidRPr="00180AE1">
        <w:t>w której niektórzy operatorzy alternatywni mogliby zmusić OPL</w:t>
      </w:r>
      <w:r>
        <w:t xml:space="preserve"> </w:t>
      </w:r>
      <w:r>
        <w:br/>
      </w:r>
      <w:r w:rsidRPr="00180AE1">
        <w:t xml:space="preserve">do </w:t>
      </w:r>
      <w:proofErr w:type="spellStart"/>
      <w:r w:rsidRPr="00180AE1">
        <w:t>tranzytowania</w:t>
      </w:r>
      <w:proofErr w:type="spellEnd"/>
      <w:r w:rsidRPr="00180AE1">
        <w:t xml:space="preserve"> ruchu przez sieć Netii i zastosowania stawek za zakończenie, które </w:t>
      </w:r>
      <w:r w:rsidRPr="00180AE1">
        <w:lastRenderedPageBreak/>
        <w:t>byłyby znacznie wyższe niż analogiczne stawki OPL. OPL wskazała</w:t>
      </w:r>
      <w:r>
        <w:t xml:space="preserve"> również</w:t>
      </w:r>
      <w:r w:rsidRPr="00180AE1">
        <w:t xml:space="preserve">, </w:t>
      </w:r>
      <w:r>
        <w:br/>
      </w:r>
      <w:r w:rsidRPr="00180AE1">
        <w:t xml:space="preserve">że całość projektu Aneksu jest sporna. Do </w:t>
      </w:r>
      <w:r>
        <w:t>Wniosku</w:t>
      </w:r>
      <w:r w:rsidRPr="00180AE1">
        <w:t xml:space="preserve"> załączone zostały kopie adresowanych do Netii pism OPL z dnia 19 lipca 2013 r. (wraz</w:t>
      </w:r>
      <w:r>
        <w:t xml:space="preserve"> </w:t>
      </w:r>
      <w:r w:rsidRPr="00180AE1">
        <w:t xml:space="preserve">z </w:t>
      </w:r>
      <w:r>
        <w:t>niekompletną</w:t>
      </w:r>
      <w:r w:rsidRPr="00180AE1">
        <w:t xml:space="preserve"> wersją Aneksu</w:t>
      </w:r>
      <w:r>
        <w:t xml:space="preserve"> – brak ostatniej strony</w:t>
      </w:r>
      <w:r w:rsidRPr="00180AE1">
        <w:t>) oraz z dnia 8 sierpnia 2013 r., a także kopia adresowanego do OPL pisma Netii z dnia 2 sierpnia 2013 r.</w:t>
      </w:r>
      <w:r>
        <w:t>, które stanowiły korespondencję wymienianą przez strony na etapie prowadzenia negocjacji.</w:t>
      </w:r>
    </w:p>
    <w:p w:rsidR="00815506" w:rsidRPr="00180AE1" w:rsidRDefault="00815506" w:rsidP="002E700E">
      <w:pPr>
        <w:spacing w:before="120"/>
        <w:jc w:val="both"/>
      </w:pPr>
      <w:r w:rsidRPr="00180AE1">
        <w:t>Pismem z dnia 24 października 2013 r. Prezes UKE na podstawie art. 64 § 2 kpa</w:t>
      </w:r>
      <w:r w:rsidRPr="00180AE1">
        <w:br/>
        <w:t xml:space="preserve">w związku z art. 30 ust. 2 oraz art. 206 ust. </w:t>
      </w:r>
      <w:smartTag w:uri="urn:schemas-microsoft-com:office:smarttags" w:element="metricconverter">
        <w:smartTagPr>
          <w:attr w:name="ProductID" w:val="1 Pt"/>
        </w:smartTagPr>
        <w:r w:rsidRPr="00180AE1">
          <w:t>1 Pt</w:t>
        </w:r>
      </w:smartTag>
      <w:r>
        <w:t>,</w:t>
      </w:r>
      <w:r w:rsidRPr="00180AE1">
        <w:t xml:space="preserve"> wezwał OPL do uzupełnienia braków formalnych Wniosku poprzez przekazanie projektu Aneksu w pełnej wersji w terminie 7 dni od dnia otrzymania przedmiotowego wezwania.</w:t>
      </w:r>
    </w:p>
    <w:p w:rsidR="00815506" w:rsidRDefault="00815506" w:rsidP="002E700E">
      <w:pPr>
        <w:spacing w:before="120"/>
        <w:jc w:val="both"/>
      </w:pPr>
      <w:r w:rsidRPr="00180AE1">
        <w:t xml:space="preserve">Pismem z dnia 4 listopada 2013 r. (data wpływu do Urzędu Komunikacji Elektronicznej </w:t>
      </w:r>
      <w:r>
        <w:t xml:space="preserve">w dniu </w:t>
      </w:r>
      <w:r w:rsidRPr="00180AE1">
        <w:t>4 listopada 2013 r.), w odpowiedzi na wezwanie z dnia</w:t>
      </w:r>
      <w:r w:rsidRPr="00180AE1">
        <w:br/>
        <w:t>24 października 2013 r., OPL przekazała</w:t>
      </w:r>
      <w:r>
        <w:t xml:space="preserve"> kompletny</w:t>
      </w:r>
      <w:r w:rsidRPr="00180AE1">
        <w:t xml:space="preserve"> projekt Aneksu celem uzupełnienia braku formalnego Wniosku.</w:t>
      </w:r>
      <w:r>
        <w:t xml:space="preserve"> Zaproponowane w Aneksie zapisy przewidywały możliwość wypowiedzenia przez OPL Umowy o Połączeniu Sieci </w:t>
      </w:r>
      <w:r>
        <w:br/>
        <w:t xml:space="preserve">w części określającej warunki świadczenia przez Netię na rzecz OPL usługi tranzytu w sieci Netii z zachowaniem jednomiesięcznego okresu wypowiedzenia. OPL zaproponowała także w części finansowej Umowy o Połączeniu Sieci – „Stawki należne Netii za tranzyt w Sieci Netii”, aby stawka jaką uiszcza OPL za zakończenie połączenia w sieci innego operatora poprzez sieć Netii nie była wyższa niż stawki </w:t>
      </w:r>
      <w:r>
        <w:br/>
        <w:t>za zakończenie połączeń w sieci Netii.</w:t>
      </w:r>
    </w:p>
    <w:p w:rsidR="00815506" w:rsidRPr="00180AE1" w:rsidRDefault="00815506" w:rsidP="002E700E">
      <w:pPr>
        <w:spacing w:before="120"/>
        <w:jc w:val="both"/>
      </w:pPr>
      <w:r>
        <w:t xml:space="preserve">Pismem </w:t>
      </w:r>
      <w:r w:rsidRPr="00180AE1">
        <w:t>z dnia 6 listopada 2013 r. Prezes UKE</w:t>
      </w:r>
      <w:r>
        <w:t>, w</w:t>
      </w:r>
      <w:r w:rsidRPr="00180AE1">
        <w:t xml:space="preserve">ypełniając dyspozycję </w:t>
      </w:r>
      <w:r>
        <w:br/>
      </w:r>
      <w:r w:rsidRPr="00180AE1">
        <w:t xml:space="preserve">art. 61 § 4 kpa, poinformował strony o wszczęciu w dniu 22 października 2013 r. postępowania w sprawie wydania decyzji zmieniającej Umowę o Połączeniu Sieci </w:t>
      </w:r>
      <w:r>
        <w:br/>
      </w:r>
      <w:r w:rsidRPr="00180AE1">
        <w:t xml:space="preserve">w zakresie </w:t>
      </w:r>
      <w:r>
        <w:t>usługi tranzytu w sieci Netii</w:t>
      </w:r>
      <w:r w:rsidRPr="00180AE1">
        <w:t xml:space="preserve"> zgodnie z projektem Aneksu oraz zwrócił </w:t>
      </w:r>
      <w:r>
        <w:br/>
      </w:r>
      <w:r w:rsidRPr="00180AE1">
        <w:t xml:space="preserve">się do Netii na podstawie art. 27 ust. </w:t>
      </w:r>
      <w:smartTag w:uri="urn:schemas-microsoft-com:office:smarttags" w:element="metricconverter">
        <w:smartTagPr>
          <w:attr w:name="ProductID" w:val="4 Pt"/>
        </w:smartTagPr>
        <w:r w:rsidRPr="00180AE1">
          <w:t>4 Pt</w:t>
        </w:r>
      </w:smartTag>
      <w:r w:rsidRPr="00180AE1">
        <w:t xml:space="preserve"> o przedstawienie stanowiska </w:t>
      </w:r>
      <w:r>
        <w:br/>
      </w:r>
      <w:r w:rsidRPr="00180AE1">
        <w:t xml:space="preserve">w przedmiocie wniosku OPL w terminie 14 dni od dnia otrzymania zawiadomienia </w:t>
      </w:r>
      <w:r>
        <w:br/>
      </w:r>
      <w:r w:rsidRPr="00180AE1">
        <w:t xml:space="preserve">o wszczęciu postępowania. </w:t>
      </w:r>
    </w:p>
    <w:p w:rsidR="00815506" w:rsidRPr="00180AE1" w:rsidRDefault="00815506" w:rsidP="002E700E">
      <w:pPr>
        <w:spacing w:before="120"/>
        <w:jc w:val="both"/>
      </w:pPr>
      <w:r w:rsidRPr="00180AE1">
        <w:t>Pismem z dnia 25 listopada 2013 r. (data wpływu do Urzędu Komunikacji Elektronicznej w dniu 26 listopada 2013 r.) Netia zajęła stanowisko w sprawie</w:t>
      </w:r>
      <w:r>
        <w:t>, wnosząc o umorzenie niniejszego postępowania lub ewentualnie, po rozpatrzeniu Wniosku, o wydanie przez Prezesa UKE decyzji odmownej</w:t>
      </w:r>
      <w:r w:rsidRPr="00180AE1">
        <w:t xml:space="preserve">. Netia stwierdziła, </w:t>
      </w:r>
      <w:r>
        <w:br/>
      </w:r>
      <w:r w:rsidRPr="00180AE1">
        <w:t xml:space="preserve">że nie ciąży na niej żaden obowiązek regulacyjny dotyczący usługi tranzytu, </w:t>
      </w:r>
      <w:r>
        <w:br/>
      </w:r>
      <w:r w:rsidRPr="00180AE1">
        <w:t xml:space="preserve">zaś obowiązek negocjowania </w:t>
      </w:r>
      <w:r>
        <w:t xml:space="preserve">postanowień umowy o dostępie telekomunikacyjnym </w:t>
      </w:r>
      <w:r w:rsidRPr="00180AE1">
        <w:t xml:space="preserve">wynikający z przepisów </w:t>
      </w:r>
      <w:r>
        <w:t xml:space="preserve">Pt </w:t>
      </w:r>
      <w:r w:rsidRPr="00180AE1">
        <w:t xml:space="preserve">dotyczy wyłącznie połączenia sieci, do którego to pojęcia nie można zaliczyć </w:t>
      </w:r>
      <w:r>
        <w:t xml:space="preserve">usługi </w:t>
      </w:r>
      <w:r w:rsidRPr="00180AE1">
        <w:t>tranzytu.</w:t>
      </w:r>
      <w:r>
        <w:t xml:space="preserve"> Netia wskazała ponadto, że </w:t>
      </w:r>
      <w:r w:rsidRPr="008F5DC9">
        <w:rPr>
          <w:i/>
        </w:rPr>
        <w:t>„szczególny charakter dostępu telekomunikacyjnego w zakresie połączenia sieci dotyczy zapewnienia możliwości połączenia typu koniec – koniec w zakresie przedsiębiorstw kontrolujących dostęp</w:t>
      </w:r>
      <w:r>
        <w:rPr>
          <w:i/>
        </w:rPr>
        <w:t xml:space="preserve"> </w:t>
      </w:r>
      <w:r w:rsidRPr="008F5DC9">
        <w:rPr>
          <w:i/>
        </w:rPr>
        <w:t xml:space="preserve">do użytkowników końcowych. Oczywistym jest, że taka kontrola może dotyczyć jedynie użytkowników własnych danego przedsiębiorstwa. </w:t>
      </w:r>
      <w:r>
        <w:rPr>
          <w:i/>
        </w:rPr>
        <w:t>Nie sposób uz</w:t>
      </w:r>
      <w:r w:rsidRPr="008F5DC9">
        <w:rPr>
          <w:i/>
        </w:rPr>
        <w:t>n</w:t>
      </w:r>
      <w:r>
        <w:rPr>
          <w:i/>
        </w:rPr>
        <w:t>a</w:t>
      </w:r>
      <w:r w:rsidRPr="008F5DC9">
        <w:rPr>
          <w:i/>
        </w:rPr>
        <w:t xml:space="preserve">ć bowiem, by Netia, mając połączoną sieć z przedsiębiorcą X, kontrolowała dostęp do użytkowników </w:t>
      </w:r>
      <w:r>
        <w:rPr>
          <w:i/>
        </w:rPr>
        <w:t>tego przedsię</w:t>
      </w:r>
      <w:r w:rsidRPr="008F5DC9">
        <w:rPr>
          <w:i/>
        </w:rPr>
        <w:t>biorcy”</w:t>
      </w:r>
      <w:r w:rsidR="006D4F9B">
        <w:t>.</w:t>
      </w:r>
      <w:r>
        <w:t xml:space="preserve"> Netia odniosła się także do treści art. 2 </w:t>
      </w:r>
      <w:proofErr w:type="spellStart"/>
      <w:r>
        <w:t>pkt</w:t>
      </w:r>
      <w:proofErr w:type="spellEnd"/>
      <w:r>
        <w:t xml:space="preserve"> 25 Pt, wskazując, że jej zdaniem istotą połączenia sieci jest zapewnienie możliwości wzajemnych połączeń łączonych sieci. Zdaniem Netii </w:t>
      </w:r>
      <w:r>
        <w:br/>
      </w:r>
      <w:r w:rsidRPr="005F16F3">
        <w:rPr>
          <w:i/>
        </w:rPr>
        <w:t xml:space="preserve">„ten rodzaj dostępu telekomunikacyjnego został potraktowany przez ustawodawcę </w:t>
      </w:r>
      <w:r>
        <w:rPr>
          <w:i/>
        </w:rPr>
        <w:br/>
      </w:r>
      <w:r w:rsidRPr="005F16F3">
        <w:rPr>
          <w:i/>
        </w:rPr>
        <w:t xml:space="preserve">w sposób szczególny, gdyż każdy przedsiębiorca telekomunikacyjny powinien zapewnić możliwość kierowania połączeń do jego Abonentów. Tymczasem usługa tranzytu służy zapewnieniu możliwości kierowania połączeń do przedsiębiorców </w:t>
      </w:r>
      <w:r w:rsidRPr="005F16F3">
        <w:rPr>
          <w:i/>
        </w:rPr>
        <w:lastRenderedPageBreak/>
        <w:t>innych, niż przedsiębiorca, z którym ma on połączoną sieć</w:t>
      </w:r>
      <w:r>
        <w:rPr>
          <w:i/>
        </w:rPr>
        <w:t xml:space="preserve">”. </w:t>
      </w:r>
      <w:r>
        <w:t xml:space="preserve">Zdaniem Netii </w:t>
      </w:r>
      <w:r w:rsidRPr="00365238">
        <w:rPr>
          <w:i/>
        </w:rPr>
        <w:t xml:space="preserve">„usługa taka </w:t>
      </w:r>
      <w:r w:rsidRPr="009257AF">
        <w:t>[tranzyt]</w:t>
      </w:r>
      <w:r w:rsidRPr="00365238">
        <w:rPr>
          <w:i/>
        </w:rPr>
        <w:t xml:space="preserve"> nie mieści w pojęciu połączenia sieci, przeciwnie, jest to rozwiązanie stojące poniekąd w ko</w:t>
      </w:r>
      <w:r>
        <w:rPr>
          <w:i/>
        </w:rPr>
        <w:t>n</w:t>
      </w:r>
      <w:r w:rsidRPr="00365238">
        <w:rPr>
          <w:i/>
        </w:rPr>
        <w:t>trze do połączenia sieci z podmiotami, do których dany przedsiębiorca chce skierować ruch”</w:t>
      </w:r>
      <w:r w:rsidR="006D4F9B">
        <w:rPr>
          <w:i/>
        </w:rPr>
        <w:t>.</w:t>
      </w:r>
      <w:r>
        <w:t xml:space="preserve"> </w:t>
      </w:r>
      <w:r w:rsidRPr="00180AE1">
        <w:t xml:space="preserve">Z uwagi na tę okoliczność Netia podniosła, </w:t>
      </w:r>
      <w:r>
        <w:br/>
      </w:r>
      <w:r w:rsidRPr="00180AE1">
        <w:t xml:space="preserve">że Prezes UKE nie posiada kompetencji w zakresie ustalania stawek </w:t>
      </w:r>
      <w:r>
        <w:t>za usługi tranzytu w sieci Netii</w:t>
      </w:r>
      <w:r w:rsidRPr="00180AE1">
        <w:t xml:space="preserve">. </w:t>
      </w:r>
      <w:r>
        <w:t xml:space="preserve">W przedmiotowym piśmie </w:t>
      </w:r>
      <w:r w:rsidRPr="00180AE1">
        <w:t>Netia wniosła</w:t>
      </w:r>
      <w:r>
        <w:t xml:space="preserve"> również </w:t>
      </w:r>
      <w:r w:rsidRPr="00180AE1">
        <w:t>o załączenie do materiału dowodowego postanowienia Prezesa UKE z dnia</w:t>
      </w:r>
      <w:r>
        <w:t xml:space="preserve"> </w:t>
      </w:r>
      <w:r w:rsidRPr="00180AE1">
        <w:t xml:space="preserve">17 października </w:t>
      </w:r>
      <w:r>
        <w:br/>
      </w:r>
      <w:r w:rsidRPr="00180AE1">
        <w:t>2008 r.</w:t>
      </w:r>
      <w:r>
        <w:t>,</w:t>
      </w:r>
      <w:r w:rsidRPr="00180AE1">
        <w:t xml:space="preserve"> nr DART-SMP-6043-1/07 (142)</w:t>
      </w:r>
      <w:r>
        <w:t>,</w:t>
      </w:r>
      <w:r w:rsidRPr="00180AE1">
        <w:t xml:space="preserve"> zamykającego postępowanie w sprawie ustalenia, czy na krajowym rynku świadczenia usługi tranzytu połączeń </w:t>
      </w:r>
      <w:r>
        <w:br/>
      </w:r>
      <w:r w:rsidRPr="00180AE1">
        <w:t xml:space="preserve">w stacjonarnej publicznej sieci telefonicznej występuje skuteczna konkurencja oraz decyzji Prezesa UKE z dnia </w:t>
      </w:r>
      <w:r>
        <w:t>6</w:t>
      </w:r>
      <w:r w:rsidRPr="00180AE1">
        <w:t xml:space="preserve"> marca 20</w:t>
      </w:r>
      <w:r>
        <w:t>09</w:t>
      </w:r>
      <w:r w:rsidRPr="00180AE1">
        <w:t xml:space="preserve"> r.</w:t>
      </w:r>
      <w:r>
        <w:t>,</w:t>
      </w:r>
      <w:r w:rsidRPr="00180AE1">
        <w:t xml:space="preserve"> nr </w:t>
      </w:r>
      <w:r>
        <w:t>DART-SMP-6043-7/08(12),</w:t>
      </w:r>
      <w:r w:rsidRPr="00180AE1">
        <w:t xml:space="preserve"> znoszącej obowiązki OPL w zakresie świadczenia usługi tranzytu połączeń </w:t>
      </w:r>
      <w:r>
        <w:br/>
      </w:r>
      <w:r w:rsidRPr="00180AE1">
        <w:t xml:space="preserve">w stacjonarnej publicznej sieci telefonicznej. W ocenie Netii oba </w:t>
      </w:r>
      <w:r>
        <w:t xml:space="preserve">powyższe </w:t>
      </w:r>
      <w:r w:rsidRPr="00180AE1">
        <w:t>dokumenty świadczą o zniesieniu obowiązków regulacyjnych na rynku świadczenia usług tranzytu</w:t>
      </w:r>
      <w:r>
        <w:t>, związanym z faktem, iż na rynku świadczenia usługi tranzytu panuje skuteczna konkurencja, umożliwiająca uczestnikom tego rynku swobodny wybór partnera biznesowego</w:t>
      </w:r>
      <w:r w:rsidRPr="00180AE1">
        <w:t>. Ponadto Netia wskazała, że propozycja OPL</w:t>
      </w:r>
      <w:r>
        <w:t>,</w:t>
      </w:r>
      <w:r w:rsidRPr="00180AE1">
        <w:t xml:space="preserve"> polegająca </w:t>
      </w:r>
      <w:r>
        <w:br/>
      </w:r>
      <w:r w:rsidRPr="00180AE1">
        <w:t>na tym,</w:t>
      </w:r>
      <w:r>
        <w:t xml:space="preserve"> </w:t>
      </w:r>
      <w:r w:rsidRPr="00180AE1">
        <w:t>by stawka, jaką uiszcza OPL za zakończenie w sieci innego operatora poprzez sieć Netii, nie mogła być wyższa niż stawki za zakończenie połączeń w sieci Neti</w:t>
      </w:r>
      <w:r>
        <w:t>i</w:t>
      </w:r>
      <w:r w:rsidRPr="00180AE1">
        <w:t>,</w:t>
      </w:r>
      <w:r>
        <w:t xml:space="preserve"> </w:t>
      </w:r>
      <w:r w:rsidRPr="00180AE1">
        <w:t>nie znajduje ani ekonomicznego ani prawnego uzasadnienia i prowadzi</w:t>
      </w:r>
      <w:r>
        <w:t xml:space="preserve"> </w:t>
      </w:r>
      <w:r>
        <w:br/>
      </w:r>
      <w:r w:rsidRPr="00180AE1">
        <w:t>do faworyzowania jednej ze stron Umowy o Połączeniu Sieci</w:t>
      </w:r>
      <w:r>
        <w:t xml:space="preserve"> (tj. OPL)</w:t>
      </w:r>
      <w:r w:rsidRPr="00180AE1">
        <w:t>. W opinii Netii powyższe wynika z niemożności zagwarantowania przez OPL, że</w:t>
      </w:r>
      <w:r>
        <w:t xml:space="preserve"> pobierane </w:t>
      </w:r>
      <w:r>
        <w:br/>
        <w:t>od Netii</w:t>
      </w:r>
      <w:r w:rsidRPr="00180AE1">
        <w:t xml:space="preserve"> stawki</w:t>
      </w:r>
      <w:r>
        <w:t xml:space="preserve"> </w:t>
      </w:r>
      <w:r w:rsidRPr="00180AE1">
        <w:t xml:space="preserve">za zakończenie w sieciach innych operatorów </w:t>
      </w:r>
      <w:r>
        <w:t>będą</w:t>
      </w:r>
      <w:r w:rsidRPr="00180AE1">
        <w:t xml:space="preserve"> identyczne </w:t>
      </w:r>
      <w:r>
        <w:br/>
      </w:r>
      <w:r w:rsidRPr="00180AE1">
        <w:t>ze stawkami, jakie pobiera Netia. Ponadto Netia wskazała, że Umowa o Połączeniu Sieci nie przewiduje analogicznego ograniczenia stawek za zakończenia w sieciach innych operatorów</w:t>
      </w:r>
      <w:r>
        <w:t xml:space="preserve"> </w:t>
      </w:r>
      <w:r w:rsidRPr="00180AE1">
        <w:t xml:space="preserve">do wysokości stawek za zakończenie połączeń w sieci OPL. Netia podkreśliła również, </w:t>
      </w:r>
      <w:r>
        <w:t xml:space="preserve">w odniesieniu do stanowiska OPL, zgodnie z którym </w:t>
      </w:r>
      <w:r w:rsidRPr="00180AE1">
        <w:t>aktualne zapisy Umowy o Połączeniu Sieci uniemożliwiają OPL wypowiedzenie umowy w części określającej warunki świadczenia przez Netię na rzecz OPL usługi tranzytu w sieci Neti</w:t>
      </w:r>
      <w:r>
        <w:t>i, iż</w:t>
      </w:r>
      <w:r w:rsidRPr="00180AE1">
        <w:t xml:space="preserve"> OPL nie ma obowiązku </w:t>
      </w:r>
      <w:proofErr w:type="spellStart"/>
      <w:r w:rsidRPr="00180AE1">
        <w:t>tranzytowania</w:t>
      </w:r>
      <w:proofErr w:type="spellEnd"/>
      <w:r w:rsidRPr="00180AE1">
        <w:t xml:space="preserve"> ruchu poprzez sieć Netii,</w:t>
      </w:r>
      <w:r>
        <w:t xml:space="preserve"> </w:t>
      </w:r>
      <w:r w:rsidRPr="00180AE1">
        <w:t>w związku z czym OPL w dowolnym dniu może zaprzestać przesyłania ruchu poprzez sieć Netii, co nie rodziłoby żadnych roszczeń Netii względem OPL. Netia zaznaczyła również, że uwzględnienie Wniosku oznaczałoby nałożenie na Netię obowiązków regulacyjnych, a postępowanie w tej sprawie, z uwagi na wpływ zmiany warunków świadczenia usługi tranzytu na handel pomiędzy państwami członkowskimi, wymagałoby przeprowadzenia postępowania konsultacyjnego</w:t>
      </w:r>
      <w:r w:rsidRPr="00180AE1">
        <w:br/>
        <w:t>i konsolidacyjnego.</w:t>
      </w:r>
    </w:p>
    <w:p w:rsidR="00815506" w:rsidRPr="00180AE1" w:rsidRDefault="00815506" w:rsidP="002E700E">
      <w:pPr>
        <w:pStyle w:val="Tekstpodstawowybb1"/>
        <w:autoSpaceDE/>
        <w:autoSpaceDN/>
        <w:spacing w:before="160"/>
        <w:rPr>
          <w:rFonts w:ascii="Times New Roman" w:hAnsi="Times New Roman" w:cs="Times New Roman"/>
        </w:rPr>
      </w:pPr>
      <w:r w:rsidRPr="00180AE1">
        <w:rPr>
          <w:rFonts w:ascii="Times New Roman" w:hAnsi="Times New Roman" w:cs="Times New Roman"/>
        </w:rPr>
        <w:t xml:space="preserve">Pismem z dnia 31 stycznia 2014 r. Prezes UKE poinformował strony, że zgodnie </w:t>
      </w:r>
      <w:r w:rsidRPr="00180AE1">
        <w:rPr>
          <w:rFonts w:ascii="Times New Roman" w:hAnsi="Times New Roman" w:cs="Times New Roman"/>
        </w:rPr>
        <w:br w:type="textWrapping" w:clear="all"/>
        <w:t xml:space="preserve">z art. 10 § 1 kpa, mogą zapoznać się z materiałem zgromadzonym w sprawie, a także wypowiedzieć się co do zebranych dowodów i materiałów oraz zgłoszonych żądań </w:t>
      </w:r>
      <w:r w:rsidRPr="00180AE1">
        <w:rPr>
          <w:rFonts w:ascii="Times New Roman" w:hAnsi="Times New Roman" w:cs="Times New Roman"/>
        </w:rPr>
        <w:br w:type="textWrapping" w:clear="all"/>
        <w:t>w terminie siedmiu dni od dnia otrzymania zawiadomienia. Tym samym pismem Prezes UKE poinformował strony o włączeniu do materiału dowodowego kopii następujących dokumentów:</w:t>
      </w:r>
    </w:p>
    <w:p w:rsidR="00815506" w:rsidRPr="00180AE1" w:rsidRDefault="00815506" w:rsidP="002E700E">
      <w:pPr>
        <w:numPr>
          <w:ilvl w:val="0"/>
          <w:numId w:val="28"/>
        </w:numPr>
        <w:spacing w:before="120" w:after="120"/>
        <w:ind w:left="777" w:hanging="357"/>
        <w:jc w:val="both"/>
        <w:rPr>
          <w:b/>
        </w:rPr>
      </w:pPr>
      <w:r w:rsidRPr="00180AE1">
        <w:t>Postanowienia SMP;</w:t>
      </w:r>
    </w:p>
    <w:p w:rsidR="00815506" w:rsidRDefault="00815506" w:rsidP="002E700E">
      <w:pPr>
        <w:numPr>
          <w:ilvl w:val="0"/>
          <w:numId w:val="28"/>
        </w:numPr>
        <w:spacing w:before="120" w:after="120"/>
        <w:ind w:left="777" w:hanging="357"/>
        <w:jc w:val="both"/>
      </w:pPr>
      <w:r w:rsidRPr="00180AE1">
        <w:t>Decyzji SMP.</w:t>
      </w:r>
    </w:p>
    <w:p w:rsidR="00815506" w:rsidRDefault="00815506" w:rsidP="008D2592">
      <w:pPr>
        <w:spacing w:after="120"/>
        <w:jc w:val="both"/>
      </w:pPr>
      <w:r w:rsidRPr="00180AE1">
        <w:t>Pismem z dnia</w:t>
      </w:r>
      <w:r>
        <w:t xml:space="preserve"> 11 lutego 2014 r. </w:t>
      </w:r>
      <w:r w:rsidRPr="00180AE1">
        <w:t xml:space="preserve">Prezes UKE </w:t>
      </w:r>
      <w:r>
        <w:t>poinformował strony o włączeniu</w:t>
      </w:r>
      <w:r>
        <w:br/>
      </w:r>
      <w:r w:rsidRPr="00180AE1">
        <w:t>do materiału dowodowego kopii</w:t>
      </w:r>
      <w:r>
        <w:t xml:space="preserve"> Postanowienia. </w:t>
      </w:r>
      <w:r w:rsidRPr="005E6762">
        <w:t xml:space="preserve">Ponadto, Prezes UKE </w:t>
      </w:r>
      <w:r>
        <w:t>poinformował strony,</w:t>
      </w:r>
      <w:r w:rsidRPr="005E6762">
        <w:t xml:space="preserve"> zgodnie z art. 10 § 1</w:t>
      </w:r>
      <w:r>
        <w:t xml:space="preserve"> kpa, że</w:t>
      </w:r>
      <w:r w:rsidRPr="005E6762">
        <w:t xml:space="preserve"> mogą zapoznać się</w:t>
      </w:r>
      <w:r>
        <w:t xml:space="preserve"> </w:t>
      </w:r>
      <w:r w:rsidRPr="005E6762">
        <w:t>z mate</w:t>
      </w:r>
      <w:r>
        <w:t xml:space="preserve">riałem zgromadzonym </w:t>
      </w:r>
      <w:r>
        <w:lastRenderedPageBreak/>
        <w:t xml:space="preserve">w sprawie, </w:t>
      </w:r>
      <w:r w:rsidRPr="005E6762">
        <w:t>a także wypowiedzieć się co do zebranych dowodów i ma</w:t>
      </w:r>
      <w:r>
        <w:t xml:space="preserve">teriałów </w:t>
      </w:r>
      <w:r>
        <w:br/>
        <w:t>oraz zgłoszonych żądań.</w:t>
      </w:r>
    </w:p>
    <w:p w:rsidR="00815506" w:rsidRDefault="00815506" w:rsidP="008D2592">
      <w:pPr>
        <w:spacing w:before="120" w:after="120"/>
        <w:jc w:val="both"/>
      </w:pPr>
      <w:r>
        <w:t>Pismem z dnia 14 marca 2014 r. (data wpływu do Urzędu Komunikacji Elektronicznej w dniu 19 marca 2014 r.) Netia wniosła o udzielenie przez Prezesa UKE informacji o aktualnym stanie niniejszego postępowania.</w:t>
      </w:r>
    </w:p>
    <w:p w:rsidR="00815506" w:rsidRDefault="00815506" w:rsidP="007055DD">
      <w:pPr>
        <w:spacing w:after="120"/>
        <w:jc w:val="both"/>
      </w:pPr>
      <w:r>
        <w:t xml:space="preserve">Pismem z dnia 20 marca 2014 r. Prezes UKE poinformował strony, że </w:t>
      </w:r>
      <w:r w:rsidRPr="00211EA5">
        <w:rPr>
          <w:i/>
        </w:rPr>
        <w:t>„w sprawie sporządzono projekt rozstrzygnięcia, który z uwagi na konieczność uzyskania akceptacji formalnoprawnej jest aktualnie, tj. od dnia 12 lutego 2014 r., uzgadniany w Urzędzie Komunikacji Elektronicznej</w:t>
      </w:r>
      <w:r>
        <w:rPr>
          <w:i/>
        </w:rPr>
        <w:t>(</w:t>
      </w:r>
      <w:r w:rsidRPr="00211EA5">
        <w:rPr>
          <w:i/>
        </w:rPr>
        <w:t>…</w:t>
      </w:r>
      <w:r>
        <w:rPr>
          <w:i/>
        </w:rPr>
        <w:t>)</w:t>
      </w:r>
      <w:r w:rsidRPr="00211EA5">
        <w:rPr>
          <w:i/>
        </w:rPr>
        <w:t>”</w:t>
      </w:r>
      <w:r>
        <w:rPr>
          <w:i/>
        </w:rPr>
        <w:t xml:space="preserve">. </w:t>
      </w:r>
      <w:r w:rsidRPr="005E6762">
        <w:t xml:space="preserve">Ponadto, Prezes UKE </w:t>
      </w:r>
      <w:r>
        <w:t>poinformował strony,</w:t>
      </w:r>
      <w:r w:rsidRPr="005E6762">
        <w:t xml:space="preserve"> zgodnie z art. 10 § 1</w:t>
      </w:r>
      <w:r>
        <w:t xml:space="preserve"> kpa, że</w:t>
      </w:r>
      <w:r w:rsidRPr="005E6762">
        <w:t xml:space="preserve"> mogą zapoznać się</w:t>
      </w:r>
      <w:r>
        <w:t xml:space="preserve"> </w:t>
      </w:r>
      <w:r w:rsidRPr="005E6762">
        <w:t>z mate</w:t>
      </w:r>
      <w:r>
        <w:t xml:space="preserve">riałem zgromadzonym w sprawie, </w:t>
      </w:r>
      <w:r w:rsidRPr="005E6762">
        <w:t>a także wypowiedzieć się co do zebranych dowodów i ma</w:t>
      </w:r>
      <w:r>
        <w:t xml:space="preserve">teriałów </w:t>
      </w:r>
      <w:r>
        <w:br/>
        <w:t>oraz zgłoszonych żądań.</w:t>
      </w:r>
    </w:p>
    <w:p w:rsidR="00815506" w:rsidRPr="006E2F5A" w:rsidRDefault="00815506" w:rsidP="008D2592">
      <w:pPr>
        <w:spacing w:before="120" w:after="120"/>
        <w:jc w:val="both"/>
      </w:pPr>
      <w:r w:rsidRPr="006E2F5A">
        <w:t>Pisme</w:t>
      </w:r>
      <w:r>
        <w:t>m</w:t>
      </w:r>
      <w:r w:rsidRPr="006E2F5A">
        <w:t xml:space="preserve"> z dnia </w:t>
      </w:r>
      <w:r>
        <w:t xml:space="preserve">1 sierpnia 2014 r. (data wpływu do Urzędu Komunikacji Elektronicznej w dniu 1 sierpnia 2014 r.) OPL przedstawiła kolejne stanowisko </w:t>
      </w:r>
      <w:r>
        <w:br/>
        <w:t>w sprawie. OPL wskazała, że w dniu 13 maja 2014 r. Wojewódzki Sąd Administracyjny w Warszawie (zwany dalej „WSA”) wydał wyrok o sygn. akt VI SA/</w:t>
      </w:r>
      <w:proofErr w:type="spellStart"/>
      <w:r>
        <w:t>Wa</w:t>
      </w:r>
      <w:proofErr w:type="spellEnd"/>
      <w:r>
        <w:t xml:space="preserve"> 3156/13 (wyrok nieprawomocny), w którym oddalił skargę Netii </w:t>
      </w:r>
      <w:r>
        <w:br/>
        <w:t xml:space="preserve">na Postanowienie, w związku  z tym wyrok ten ma istotne znaczenie </w:t>
      </w:r>
      <w:r>
        <w:br/>
        <w:t xml:space="preserve">w przedmiotowej sprawie. Zdaniem OPL, skoro WSA oddalił skargę Netii </w:t>
      </w:r>
      <w:r>
        <w:br/>
        <w:t xml:space="preserve">na Postanowienie to </w:t>
      </w:r>
      <w:r w:rsidRPr="00F26443">
        <w:rPr>
          <w:i/>
        </w:rPr>
        <w:t xml:space="preserve">„implikuje to, że skoro Prezes UKE jest kompetentny </w:t>
      </w:r>
      <w:r>
        <w:rPr>
          <w:i/>
        </w:rPr>
        <w:br/>
      </w:r>
      <w:r w:rsidRPr="00F26443">
        <w:rPr>
          <w:i/>
        </w:rPr>
        <w:t>do skracania negocjacji w zakresie tranzytu, to jest również uprawniony do wydania decyzji we wspomnianym zakresie</w:t>
      </w:r>
      <w:r>
        <w:rPr>
          <w:i/>
        </w:rPr>
        <w:t>”</w:t>
      </w:r>
      <w:r w:rsidRPr="00F26443">
        <w:rPr>
          <w:i/>
        </w:rPr>
        <w:t>.</w:t>
      </w:r>
      <w:r>
        <w:t xml:space="preserve"> </w:t>
      </w:r>
    </w:p>
    <w:p w:rsidR="00815506" w:rsidRPr="00180AE1" w:rsidRDefault="00815506" w:rsidP="008D2592">
      <w:pPr>
        <w:spacing w:before="120" w:after="120"/>
        <w:jc w:val="both"/>
        <w:rPr>
          <w:b/>
        </w:rPr>
      </w:pPr>
      <w:r w:rsidRPr="00180AE1">
        <w:rPr>
          <w:b/>
        </w:rPr>
        <w:t>Biorąc powyższe pod uwagę Prezes UKE zauważył, co następuje:</w:t>
      </w:r>
    </w:p>
    <w:p w:rsidR="00815506" w:rsidRDefault="00815506" w:rsidP="002E700E">
      <w:pPr>
        <w:spacing w:before="120" w:after="120"/>
        <w:jc w:val="both"/>
      </w:pPr>
      <w:r w:rsidRPr="00180AE1">
        <w:t xml:space="preserve">Stosownie do art. 206 ust. 1 Pt postępowanie przed Prezesem UKE toczy </w:t>
      </w:r>
      <w:r w:rsidRPr="00180AE1">
        <w:br/>
        <w:t xml:space="preserve">się na podstawie przepisów kpa ze zmianami wynikającymi z Pt oraz ustawy z dnia </w:t>
      </w:r>
      <w:r w:rsidRPr="00180AE1">
        <w:br/>
        <w:t>7 maja 2010 r. o wspieraniu rozwoju usług i sieci telekomunikacyjnych</w:t>
      </w:r>
      <w:r w:rsidRPr="00180AE1">
        <w:br/>
        <w:t xml:space="preserve">(Dz. U. Nr 106, poz. 675, z </w:t>
      </w:r>
      <w:proofErr w:type="spellStart"/>
      <w:r w:rsidRPr="00180AE1">
        <w:t>późn</w:t>
      </w:r>
      <w:proofErr w:type="spellEnd"/>
      <w:r w:rsidRPr="00180AE1">
        <w:t>. zm.).</w:t>
      </w:r>
    </w:p>
    <w:p w:rsidR="00815506" w:rsidRDefault="00815506" w:rsidP="00C205C9">
      <w:pPr>
        <w:autoSpaceDE w:val="0"/>
        <w:spacing w:before="120" w:after="120"/>
        <w:jc w:val="both"/>
      </w:pPr>
      <w:r>
        <w:t>Na wstępie Prezes UKE wskazuje na okoliczność, że w</w:t>
      </w:r>
      <w:r w:rsidRPr="00893269">
        <w:t xml:space="preserve"> dniu 31 grudnia 2013 r. </w:t>
      </w:r>
      <w:r>
        <w:br/>
      </w:r>
      <w:r w:rsidRPr="00893269">
        <w:t xml:space="preserve">w Krajowym Rejestrze Sądowym pod numerem KRS: 0000010681 dokonano wpisu, </w:t>
      </w:r>
      <w:r>
        <w:br/>
      </w:r>
      <w:r w:rsidRPr="00893269">
        <w:t>z którego wynika m.in., że</w:t>
      </w:r>
      <w:r>
        <w:t xml:space="preserve"> dokonano zmiany firmy OPL z:</w:t>
      </w:r>
      <w:r w:rsidRPr="00893269">
        <w:t xml:space="preserve"> Telekomunikacja </w:t>
      </w:r>
      <w:r w:rsidR="006D4F9B">
        <w:br/>
      </w:r>
      <w:r w:rsidRPr="00893269">
        <w:t>Polska S.A. na</w:t>
      </w:r>
      <w:r>
        <w:t>:</w:t>
      </w:r>
      <w:r w:rsidRPr="00893269">
        <w:t xml:space="preserve"> Orange Polska S.A.</w:t>
      </w:r>
      <w:r>
        <w:t xml:space="preserve"> oraz że zmianie uległ również adres siedziby OPL z: Warszawa (kod pocztowy: 00-105), ul. Twarda 18 na: Warszawa </w:t>
      </w:r>
      <w:r w:rsidR="006D4F9B">
        <w:br/>
      </w:r>
      <w:r>
        <w:t xml:space="preserve">(kod pocztowy: 02-326), Al. Jerozolimskie 160. W związku z opisaną okolicznością Prezes UKE stwierdził, że przedmiotowa zmiana nastąpiła z dniem 31 grudnia </w:t>
      </w:r>
      <w:r w:rsidR="006D4F9B">
        <w:br/>
      </w:r>
      <w:r>
        <w:t xml:space="preserve">2013 r. tj. z chwilą wpisu do rejestru przedsiębiorców Krajowego Rejestru Sądowego. W świetle art. 12 ustawy z dnia 15 września 2000 r. Kodeks spółek handlowych (tekst jednolity: </w:t>
      </w:r>
      <w:r w:rsidRPr="00B540DB">
        <w:t>Dz.</w:t>
      </w:r>
      <w:r>
        <w:t xml:space="preserve"> </w:t>
      </w:r>
      <w:r w:rsidRPr="00B540DB">
        <w:t xml:space="preserve">U z 2013 r., poz. 1030 ze </w:t>
      </w:r>
      <w:proofErr w:type="spellStart"/>
      <w:r w:rsidRPr="00B540DB">
        <w:t>zm</w:t>
      </w:r>
      <w:proofErr w:type="spellEnd"/>
      <w:r>
        <w:t>, zwanej dalej „</w:t>
      </w:r>
      <w:proofErr w:type="spellStart"/>
      <w:r>
        <w:t>ksh</w:t>
      </w:r>
      <w:proofErr w:type="spellEnd"/>
      <w:r>
        <w:t xml:space="preserve">”) </w:t>
      </w:r>
      <w:r w:rsidR="006D4F9B">
        <w:br/>
      </w:r>
      <w:r>
        <w:t xml:space="preserve">z chwilą wpisu do rejestru spółka akcyjna uzyskuje osobowość prawną i staje się podmiotem praw i obowiązków aż do czasu wykreślenia spółki z rejestru w związku z jej likwidacją. Jednocześnie zgodnie z art. 321 § 1 </w:t>
      </w:r>
      <w:proofErr w:type="spellStart"/>
      <w:r>
        <w:t>ksh</w:t>
      </w:r>
      <w:proofErr w:type="spellEnd"/>
      <w:r>
        <w:t xml:space="preserve"> każda zmiana obligatoryjnych elementów statutu spółki akcyjnej podlega zgłoszeniu do sądu rejestrowego i jest wpisywana do rejestru, nie prowadzi natomiast do wykreślenia spółki z rejestru i jej likwidacji. W świetle powyższych okoliczności należy stwierdzić, iż sama zmiana firmy, pod którą funkcjonuje obecnie OPL oraz adresu siedziby spółki, nie doprowadziła do zmiany podmiotu, w stosunku do którego wszczęto i prowadzono niniejsze postępowanie.</w:t>
      </w:r>
    </w:p>
    <w:p w:rsidR="00815506" w:rsidRPr="00B36184" w:rsidRDefault="00815506" w:rsidP="00CD5F92">
      <w:pPr>
        <w:autoSpaceDE w:val="0"/>
        <w:autoSpaceDN w:val="0"/>
        <w:adjustRightInd w:val="0"/>
        <w:spacing w:before="120" w:after="120"/>
        <w:jc w:val="both"/>
        <w:rPr>
          <w:iCs/>
        </w:rPr>
      </w:pPr>
      <w:r w:rsidRPr="00180AE1">
        <w:lastRenderedPageBreak/>
        <w:t>Zgodnie z art. 27 ust. 2 Pt, w przypadku niepodjęcia negocjacji o zawarcie umowy</w:t>
      </w:r>
      <w:r w:rsidRPr="00180AE1">
        <w:br/>
        <w:t xml:space="preserve">o dostępie telekomunikacyjnym w zakresie połączenia sieci, odmowy połączenia sieci telekomunikacyjnych przez podmiot do tego obowiązany lub niezawarcia umowy o dostępie telekomunikacyjnym w zakresie połączenia sieci w terminie określonym w postanowieniu Prezesa UKE o </w:t>
      </w:r>
      <w:r>
        <w:t>określeniu</w:t>
      </w:r>
      <w:r w:rsidRPr="00180AE1">
        <w:t xml:space="preserve"> terminu negocjacji</w:t>
      </w:r>
      <w:r w:rsidRPr="00180AE1">
        <w:br/>
        <w:t>lub niezawarcia umowy o dostępie telekomunikacyjnym w terminie 90 dni licząc</w:t>
      </w:r>
      <w:r w:rsidRPr="00180AE1">
        <w:br/>
        <w:t xml:space="preserve">od dnia wystąpienia z wnioskiem o zawarcie umowy o dostępie telekomunikacyjnym, każda ze stron może zwrócić się do Prezesa UKE z wnioskiem o wydanie decyzji w sprawie rozstrzygnięcia kwestii spornych lub określenia warunków współpracy. Jednocześnie w doktrynie wskazuje się, iż: </w:t>
      </w:r>
      <w:r w:rsidRPr="00180AE1">
        <w:rPr>
          <w:i/>
        </w:rPr>
        <w:t xml:space="preserve">„Upływ terminu stanowi wystarczający warunek złożenia wniosku. </w:t>
      </w:r>
      <w:r>
        <w:rPr>
          <w:i/>
        </w:rPr>
        <w:t xml:space="preserve">Wydanie decyzji przez Prezesa UKE przed upływem terminu ustawowego lub określonego postanowieniem powoduje wadliwość decyzji. </w:t>
      </w:r>
      <w:r w:rsidRPr="00180AE1">
        <w:rPr>
          <w:i/>
        </w:rPr>
        <w:t>Dla dopuszczalności złożenia wniosku nie ma znaczenia stan zaawansowania negocjacji. Wystarcza,</w:t>
      </w:r>
      <w:r>
        <w:rPr>
          <w:i/>
        </w:rPr>
        <w:t xml:space="preserve"> </w:t>
      </w:r>
      <w:r w:rsidRPr="00180AE1">
        <w:rPr>
          <w:i/>
        </w:rPr>
        <w:t xml:space="preserve">że w ustalonym terminie </w:t>
      </w:r>
      <w:r>
        <w:rPr>
          <w:i/>
        </w:rPr>
        <w:br/>
      </w:r>
      <w:r w:rsidRPr="00180AE1">
        <w:rPr>
          <w:i/>
        </w:rPr>
        <w:t>nie zawarto umowy</w:t>
      </w:r>
      <w:r>
        <w:rPr>
          <w:i/>
        </w:rPr>
        <w:t>. Stan zaawansowania negocjacji jest natomiast istotny dla treści rozstrzygnięcia podejmowanego przez Prezesa UKE</w:t>
      </w:r>
      <w:r w:rsidRPr="00180AE1">
        <w:rPr>
          <w:i/>
        </w:rPr>
        <w:t>”</w:t>
      </w:r>
      <w:r w:rsidRPr="00180AE1">
        <w:rPr>
          <w:i/>
          <w:iCs/>
        </w:rPr>
        <w:t xml:space="preserve"> </w:t>
      </w:r>
      <w:r w:rsidRPr="00180AE1">
        <w:rPr>
          <w:iCs/>
        </w:rPr>
        <w:t xml:space="preserve">(S. Piątek, Prawo telekomunikacyjne, </w:t>
      </w:r>
      <w:r w:rsidRPr="00B36184">
        <w:rPr>
          <w:iCs/>
        </w:rPr>
        <w:t>Komentarz, Wydawnictwo C. H. Beck, Warszawa 20</w:t>
      </w:r>
      <w:r>
        <w:rPr>
          <w:iCs/>
        </w:rPr>
        <w:t>13</w:t>
      </w:r>
      <w:r w:rsidRPr="00B36184">
        <w:rPr>
          <w:iCs/>
        </w:rPr>
        <w:t xml:space="preserve">, </w:t>
      </w:r>
      <w:r>
        <w:rPr>
          <w:iCs/>
        </w:rPr>
        <w:t>s</w:t>
      </w:r>
      <w:r w:rsidRPr="00B36184">
        <w:rPr>
          <w:iCs/>
        </w:rPr>
        <w:t>tr. 2</w:t>
      </w:r>
      <w:r>
        <w:rPr>
          <w:iCs/>
        </w:rPr>
        <w:t>42</w:t>
      </w:r>
      <w:r w:rsidRPr="00B36184">
        <w:rPr>
          <w:iCs/>
        </w:rPr>
        <w:t>).</w:t>
      </w:r>
      <w:r>
        <w:rPr>
          <w:iCs/>
        </w:rPr>
        <w:t xml:space="preserve"> </w:t>
      </w:r>
      <w:r w:rsidRPr="00CE084B">
        <w:t>Dodać należy, że art. 27 ust. 2 Pt dotyczy zarówno sytuacji niezawarcia umowy w ustawowym terminie 90 dni, jak i sytuacji</w:t>
      </w:r>
      <w:r>
        <w:t>,</w:t>
      </w:r>
      <w:r w:rsidRPr="00CE084B">
        <w:t xml:space="preserve"> gdy nie dojdzie do zawarcia umowy w terminie ustalonym w postanowieniu Prezesa UKE wydanym </w:t>
      </w:r>
      <w:r>
        <w:br/>
      </w:r>
      <w:r w:rsidRPr="00CE084B">
        <w:t>na podstawie art. 27 ust. 2 Pt</w:t>
      </w:r>
      <w:r>
        <w:t>.</w:t>
      </w:r>
    </w:p>
    <w:p w:rsidR="00815506" w:rsidRDefault="00815506" w:rsidP="00BF658F">
      <w:pPr>
        <w:spacing w:before="120" w:after="120"/>
        <w:jc w:val="both"/>
        <w:rPr>
          <w:color w:val="000000"/>
        </w:rPr>
      </w:pPr>
      <w:r>
        <w:t>Mając powyższe na uwadze należy wskazać, iż p</w:t>
      </w:r>
      <w:r w:rsidRPr="00B36184">
        <w:t>ismem z dnia 19 lipca 2013 r. OPL wystąpiła do Netii z wnioskiem o zmianę Umowy o Połączeniu Sieci w zakresie usługi tranzytu w sieci Netii</w:t>
      </w:r>
      <w:r>
        <w:t>.</w:t>
      </w:r>
      <w:r w:rsidRPr="00B36184">
        <w:t xml:space="preserve"> Do </w:t>
      </w:r>
      <w:r>
        <w:t>ww. w</w:t>
      </w:r>
      <w:r w:rsidRPr="00B36184">
        <w:t>niosku OPL dołączyła projekt Aneksu</w:t>
      </w:r>
      <w:r>
        <w:t xml:space="preserve">. Pismem z dnia 2 sierpnia 2013 r. Netia, w odpowiedzi na wniosek OPL z dnia </w:t>
      </w:r>
      <w:r>
        <w:br/>
        <w:t xml:space="preserve">19 lipca 2013 r., przedstawiła swoje stanowisko, tym samym potwierdzając fakt wszczęcia, pismem z dnia 19 lipca 2013 r., negocjacji w sprawie objętej ww. pismem z dnia 19 lipca 20103 r. W dniu 18 września 2013 r. Prezes UKE wydał Postanowienie, </w:t>
      </w:r>
      <w:r w:rsidRPr="00345C24">
        <w:t xml:space="preserve">w którym określił termin zakończenia negocjacji zmiany </w:t>
      </w:r>
      <w:r>
        <w:t xml:space="preserve">Umowy </w:t>
      </w:r>
      <w:r>
        <w:br/>
        <w:t xml:space="preserve">o Połączeniu Sieci w </w:t>
      </w:r>
      <w:r w:rsidRPr="006D27DA">
        <w:t xml:space="preserve">zakresie usługi tranzytu w sieci Netii </w:t>
      </w:r>
      <w:r>
        <w:t>na dzień 2 października 2013 r. Następnie, w</w:t>
      </w:r>
      <w:r w:rsidRPr="00B36184">
        <w:t xml:space="preserve"> dniu 22 października 2013 r. do Prezesa UKE wpłynął Wniosek, którego przedmiotem było wydanie decyzji </w:t>
      </w:r>
      <w:r>
        <w:t>zmieniającej</w:t>
      </w:r>
      <w:r w:rsidRPr="00B36184">
        <w:t xml:space="preserve"> Umowę</w:t>
      </w:r>
      <w:r>
        <w:t xml:space="preserve"> </w:t>
      </w:r>
      <w:r>
        <w:br/>
        <w:t xml:space="preserve">o Połączeniu Sieci </w:t>
      </w:r>
      <w:r w:rsidRPr="00180AE1">
        <w:t>w zakresie usługi tranzytu w sieci Neti</w:t>
      </w:r>
      <w:r>
        <w:t>i</w:t>
      </w:r>
      <w:r w:rsidRPr="00180AE1">
        <w:t xml:space="preserve"> zgodnie z załączonym</w:t>
      </w:r>
      <w:r>
        <w:t xml:space="preserve"> </w:t>
      </w:r>
      <w:r>
        <w:br/>
      </w:r>
      <w:r w:rsidRPr="00180AE1">
        <w:t xml:space="preserve">do Wniosku projektem </w:t>
      </w:r>
      <w:r>
        <w:t>A</w:t>
      </w:r>
      <w:r w:rsidRPr="00180AE1">
        <w:t>neksu</w:t>
      </w:r>
      <w:r>
        <w:t>.</w:t>
      </w:r>
      <w:r w:rsidRPr="00180AE1">
        <w:t xml:space="preserve"> </w:t>
      </w:r>
      <w:r w:rsidRPr="00B36184">
        <w:t>Z uwagi</w:t>
      </w:r>
      <w:r>
        <w:t xml:space="preserve"> zatem</w:t>
      </w:r>
      <w:r w:rsidRPr="00B36184">
        <w:t xml:space="preserve"> na</w:t>
      </w:r>
      <w:r w:rsidRPr="00B36184">
        <w:rPr>
          <w:color w:val="000000"/>
        </w:rPr>
        <w:t xml:space="preserve"> upływ</w:t>
      </w:r>
      <w:r w:rsidRPr="00180AE1">
        <w:rPr>
          <w:color w:val="000000"/>
        </w:rPr>
        <w:t xml:space="preserve"> wyznaczonego </w:t>
      </w:r>
      <w:r>
        <w:rPr>
          <w:color w:val="000000"/>
        </w:rPr>
        <w:br/>
      </w:r>
      <w:r w:rsidRPr="00180AE1">
        <w:rPr>
          <w:color w:val="000000"/>
        </w:rPr>
        <w:t xml:space="preserve">przez Prezesa UKE </w:t>
      </w:r>
      <w:r>
        <w:rPr>
          <w:color w:val="000000"/>
        </w:rPr>
        <w:t xml:space="preserve">w Postanowieniu na dzień 2 października 2013 r. </w:t>
      </w:r>
      <w:r w:rsidRPr="00180AE1">
        <w:rPr>
          <w:color w:val="000000"/>
        </w:rPr>
        <w:t xml:space="preserve">terminu zakończenia negocjacji oraz niezawarcie w toku </w:t>
      </w:r>
      <w:r>
        <w:rPr>
          <w:color w:val="000000"/>
        </w:rPr>
        <w:t xml:space="preserve">ww. </w:t>
      </w:r>
      <w:r w:rsidRPr="00180AE1">
        <w:rPr>
          <w:color w:val="000000"/>
        </w:rPr>
        <w:t>negocjacji aneksu</w:t>
      </w:r>
      <w:r>
        <w:rPr>
          <w:color w:val="000000"/>
        </w:rPr>
        <w:t xml:space="preserve"> </w:t>
      </w:r>
      <w:r w:rsidRPr="00180AE1">
        <w:rPr>
          <w:color w:val="000000"/>
        </w:rPr>
        <w:t xml:space="preserve">do Umowy </w:t>
      </w:r>
      <w:r>
        <w:rPr>
          <w:color w:val="000000"/>
        </w:rPr>
        <w:br/>
      </w:r>
      <w:r w:rsidRPr="00180AE1">
        <w:rPr>
          <w:color w:val="000000"/>
        </w:rPr>
        <w:t xml:space="preserve">o Połączeniu Sieci, </w:t>
      </w:r>
      <w:r>
        <w:rPr>
          <w:color w:val="000000"/>
        </w:rPr>
        <w:t xml:space="preserve">należy uznać, że </w:t>
      </w:r>
      <w:r w:rsidRPr="00180AE1">
        <w:rPr>
          <w:color w:val="000000"/>
        </w:rPr>
        <w:t>OPL była uprawniona</w:t>
      </w:r>
      <w:r>
        <w:rPr>
          <w:color w:val="000000"/>
        </w:rPr>
        <w:t xml:space="preserve"> </w:t>
      </w:r>
      <w:r w:rsidRPr="00180AE1">
        <w:rPr>
          <w:color w:val="000000"/>
        </w:rPr>
        <w:t>do złożenia</w:t>
      </w:r>
      <w:r>
        <w:rPr>
          <w:color w:val="000000"/>
        </w:rPr>
        <w:t xml:space="preserve"> w dniu </w:t>
      </w:r>
      <w:r>
        <w:rPr>
          <w:color w:val="000000"/>
        </w:rPr>
        <w:br/>
        <w:t>22 października 2013 r.</w:t>
      </w:r>
      <w:r w:rsidRPr="00180AE1">
        <w:rPr>
          <w:color w:val="000000"/>
        </w:rPr>
        <w:t xml:space="preserve"> Wniosku</w:t>
      </w:r>
      <w:r>
        <w:t xml:space="preserve">, zgodnie z przesłanką </w:t>
      </w:r>
      <w:r w:rsidRPr="00CE084B">
        <w:t xml:space="preserve">o której mowa </w:t>
      </w:r>
      <w:r>
        <w:br/>
      </w:r>
      <w:r w:rsidRPr="00CE084B">
        <w:t xml:space="preserve">w art. 27 ust. 2 Pt.  </w:t>
      </w:r>
    </w:p>
    <w:p w:rsidR="00815506" w:rsidRDefault="00815506" w:rsidP="004F0CD1">
      <w:pPr>
        <w:autoSpaceDE w:val="0"/>
        <w:autoSpaceDN w:val="0"/>
        <w:spacing w:after="120"/>
        <w:jc w:val="both"/>
      </w:pPr>
      <w:r w:rsidRPr="00180AE1">
        <w:t>Rozpatrując swoj</w:t>
      </w:r>
      <w:r>
        <w:t>e</w:t>
      </w:r>
      <w:r w:rsidRPr="00180AE1">
        <w:t xml:space="preserve"> kompetencj</w:t>
      </w:r>
      <w:r>
        <w:t>e</w:t>
      </w:r>
      <w:r w:rsidRPr="00180AE1">
        <w:t xml:space="preserve"> do rozstrzygnięcia sporu zaistniałego między OPL </w:t>
      </w:r>
      <w:r w:rsidRPr="00180AE1">
        <w:br w:type="textWrapping" w:clear="all"/>
        <w:t>a Netią</w:t>
      </w:r>
      <w:r>
        <w:t>, objętego następnie skierowanym do Prezesa UKE Wnioskiem</w:t>
      </w:r>
      <w:r w:rsidRPr="00180AE1">
        <w:t>, Prezes UKE uznał za konieczne odniesienie się w tym miejscu</w:t>
      </w:r>
      <w:r>
        <w:t xml:space="preserve"> </w:t>
      </w:r>
      <w:r w:rsidRPr="00180AE1">
        <w:t xml:space="preserve">do stanowiska Netii wyrażonego </w:t>
      </w:r>
      <w:r>
        <w:br/>
      </w:r>
      <w:r w:rsidRPr="00180AE1">
        <w:t>w piśmie z dnia 25 listopada 2013 r., zgodnie</w:t>
      </w:r>
      <w:r>
        <w:t xml:space="preserve"> </w:t>
      </w:r>
      <w:r w:rsidRPr="00180AE1">
        <w:t>z którym „</w:t>
      </w:r>
      <w:r w:rsidRPr="00180AE1">
        <w:rPr>
          <w:i/>
        </w:rPr>
        <w:t xml:space="preserve">na Netii nie ciąży żaden obowiązek regulacyjny dotyczący usługi tranzytu, zaś obowiązek negocjowania wynikający z przepisów prawa dotyczy wyłącznie połączenia sieci, do którego </w:t>
      </w:r>
      <w:r>
        <w:rPr>
          <w:i/>
        </w:rPr>
        <w:br/>
      </w:r>
      <w:r w:rsidRPr="00180AE1">
        <w:rPr>
          <w:i/>
        </w:rPr>
        <w:t>to pojęcia nie można zaliczyć tranzytu</w:t>
      </w:r>
      <w:r w:rsidRPr="00180AE1">
        <w:t xml:space="preserve">”. </w:t>
      </w:r>
      <w:r>
        <w:t xml:space="preserve">Netia zwróciła przy tym uwagę </w:t>
      </w:r>
      <w:r>
        <w:br/>
        <w:t xml:space="preserve">na </w:t>
      </w:r>
      <w:r w:rsidRPr="00180AE1">
        <w:t>postanowieni</w:t>
      </w:r>
      <w:r>
        <w:t>e</w:t>
      </w:r>
      <w:r w:rsidRPr="00180AE1">
        <w:t xml:space="preserve"> Prezesa UKE z dnia</w:t>
      </w:r>
      <w:r>
        <w:t xml:space="preserve"> </w:t>
      </w:r>
      <w:r w:rsidRPr="00180AE1">
        <w:t>17 października 2008 r.</w:t>
      </w:r>
      <w:r>
        <w:t>,</w:t>
      </w:r>
      <w:r w:rsidRPr="00180AE1">
        <w:t xml:space="preserve"> nr DART-SMP-6043-1/07 (142)</w:t>
      </w:r>
      <w:r>
        <w:t>,</w:t>
      </w:r>
      <w:r w:rsidRPr="00180AE1">
        <w:t xml:space="preserve"> zamykającego postępowanie w sprawie ustalenia, czy na krajowym rynku świadczenia usługi tranzytu połączeń w stacjonarnej publicznej sieci </w:t>
      </w:r>
      <w:r w:rsidRPr="00180AE1">
        <w:lastRenderedPageBreak/>
        <w:t>telefonicznej występuje skuteczna konkurencja oraz decyzj</w:t>
      </w:r>
      <w:r>
        <w:t>ę</w:t>
      </w:r>
      <w:r w:rsidRPr="00180AE1">
        <w:t xml:space="preserve"> Prezesa UKE z dnia </w:t>
      </w:r>
      <w:r>
        <w:br/>
        <w:t>6</w:t>
      </w:r>
      <w:r w:rsidRPr="00180AE1">
        <w:t xml:space="preserve"> marca 20</w:t>
      </w:r>
      <w:r>
        <w:t>09</w:t>
      </w:r>
      <w:r w:rsidRPr="00180AE1">
        <w:t xml:space="preserve"> r.</w:t>
      </w:r>
      <w:r>
        <w:t>,</w:t>
      </w:r>
      <w:r w:rsidRPr="00180AE1">
        <w:t xml:space="preserve"> nr </w:t>
      </w:r>
      <w:r>
        <w:t>DART-SMP-6043-7/08(12),</w:t>
      </w:r>
      <w:r w:rsidRPr="00180AE1">
        <w:t xml:space="preserve"> znoszącej obowiązki OPL </w:t>
      </w:r>
      <w:r>
        <w:br/>
      </w:r>
      <w:r w:rsidRPr="00180AE1">
        <w:t>w zakresie świadczenia usługi tranzytu połączeń w stacjonarnej publicznej sieci telefonicznej</w:t>
      </w:r>
      <w:r>
        <w:t xml:space="preserve">, wskazując, że </w:t>
      </w:r>
      <w:r w:rsidRPr="003C1F4A">
        <w:t>rynek świadczenia usługi tranzytu jest rynkiem konkurencyjnym</w:t>
      </w:r>
      <w:r w:rsidRPr="00180AE1">
        <w:t>.</w:t>
      </w:r>
      <w:r>
        <w:t xml:space="preserve"> </w:t>
      </w:r>
      <w:r w:rsidRPr="00180AE1">
        <w:t>W związku</w:t>
      </w:r>
      <w:r>
        <w:t xml:space="preserve"> </w:t>
      </w:r>
      <w:r w:rsidRPr="00180AE1">
        <w:t>z powyższym, zdaniem Netii „</w:t>
      </w:r>
      <w:r w:rsidRPr="00180AE1">
        <w:rPr>
          <w:i/>
        </w:rPr>
        <w:t>Prezes UKE nie ma kompetencji</w:t>
      </w:r>
      <w:r>
        <w:rPr>
          <w:i/>
        </w:rPr>
        <w:t xml:space="preserve"> </w:t>
      </w:r>
      <w:r w:rsidRPr="00180AE1">
        <w:rPr>
          <w:i/>
        </w:rPr>
        <w:t xml:space="preserve">do określenia warunków współpracy w tym </w:t>
      </w:r>
      <w:r w:rsidRPr="00180AE1">
        <w:t>[dotyczącym tranzytu]</w:t>
      </w:r>
      <w:r w:rsidRPr="00180AE1">
        <w:rPr>
          <w:i/>
        </w:rPr>
        <w:t xml:space="preserve"> zakresie</w:t>
      </w:r>
      <w:r w:rsidRPr="00180AE1">
        <w:t xml:space="preserve">”. </w:t>
      </w:r>
      <w:r>
        <w:t xml:space="preserve">W uzasadnieniu powyższego, powołując się na przepis art. 5 („Prawa </w:t>
      </w:r>
      <w:r>
        <w:br/>
        <w:t xml:space="preserve">i zakres odpowiedzialności krajowych organów regulacyjnych w zakresie dostępu </w:t>
      </w:r>
      <w:r>
        <w:br/>
        <w:t xml:space="preserve">i wzajemnych połączeń”) ust. 1 Dyrektywy 2002/19/WE Parlamentu Europejskiego </w:t>
      </w:r>
      <w:r>
        <w:br/>
        <w:t xml:space="preserve">i Rady z dnia 7 marca 2002 r. w sprawie dostępu do sieci łączności elektronicznej </w:t>
      </w:r>
      <w:r>
        <w:br/>
        <w:t xml:space="preserve">i urządzeń towarzyszących oraz wzajemnych połączeń </w:t>
      </w:r>
      <w:r w:rsidRPr="00BC33A0">
        <w:t>(</w:t>
      </w:r>
      <w:proofErr w:type="spellStart"/>
      <w:r w:rsidRPr="00BC33A0">
        <w:t>Dz.U</w:t>
      </w:r>
      <w:r>
        <w:t>rz</w:t>
      </w:r>
      <w:proofErr w:type="spellEnd"/>
      <w:r w:rsidRPr="00BC33A0">
        <w:t xml:space="preserve">. </w:t>
      </w:r>
      <w:r>
        <w:t xml:space="preserve">UE </w:t>
      </w:r>
      <w:r w:rsidRPr="00BC33A0">
        <w:t xml:space="preserve">L 108 </w:t>
      </w:r>
      <w:r>
        <w:br/>
      </w:r>
      <w:r w:rsidRPr="00BC33A0">
        <w:t>z 24</w:t>
      </w:r>
      <w:r>
        <w:t xml:space="preserve"> kwietnia </w:t>
      </w:r>
      <w:r w:rsidRPr="00BC33A0">
        <w:t>2002</w:t>
      </w:r>
      <w:r>
        <w:t xml:space="preserve"> r.</w:t>
      </w:r>
      <w:r w:rsidRPr="00BC33A0">
        <w:t>, str. 7</w:t>
      </w:r>
      <w:r>
        <w:t xml:space="preserve"> ze zm.</w:t>
      </w:r>
      <w:r w:rsidRPr="00BC33A0">
        <w:t xml:space="preserve">) </w:t>
      </w:r>
      <w:r>
        <w:t>(zwanej dalej „Dyrektywą o dostępie”), zgodnie z którym:</w:t>
      </w:r>
    </w:p>
    <w:p w:rsidR="00815506" w:rsidRPr="004F0CD1" w:rsidRDefault="00815506" w:rsidP="004F0CD1">
      <w:pPr>
        <w:autoSpaceDE w:val="0"/>
        <w:autoSpaceDN w:val="0"/>
        <w:spacing w:after="120"/>
        <w:jc w:val="both"/>
        <w:rPr>
          <w:i/>
        </w:rPr>
      </w:pPr>
      <w:r w:rsidRPr="004F0CD1">
        <w:rPr>
          <w:i/>
        </w:rPr>
        <w:t xml:space="preserve">1. Dla realizacji celów określonych w art. 8 dyrektywy 2002/21/WE (dyrektywa ramowa), krajowe organy regulacyjne wspierają, a w stosownych przypadkach zapewniają – zgodnie z przepisami niniejszej dyrektywy – odpowiedni dostęp </w:t>
      </w:r>
      <w:r w:rsidRPr="004F0CD1">
        <w:rPr>
          <w:i/>
        </w:rPr>
        <w:br/>
        <w:t xml:space="preserve">i wzajemne połączenia oraz </w:t>
      </w:r>
      <w:proofErr w:type="spellStart"/>
      <w:r w:rsidRPr="004F0CD1">
        <w:rPr>
          <w:i/>
        </w:rPr>
        <w:t>interoperacyjność</w:t>
      </w:r>
      <w:proofErr w:type="spellEnd"/>
      <w:r w:rsidRPr="004F0CD1">
        <w:rPr>
          <w:i/>
        </w:rPr>
        <w:t xml:space="preserve"> usług, wykonując swoje zadania </w:t>
      </w:r>
      <w:r w:rsidRPr="004F0CD1">
        <w:rPr>
          <w:i/>
        </w:rPr>
        <w:br/>
        <w:t>w taki sposób, aby promować wydajność, zrównoważoną konkurencję, efektywne inwestycje i innowacje oraz zapewnić maksymalne korzyści użytkownikom końcowym.</w:t>
      </w:r>
    </w:p>
    <w:p w:rsidR="00815506" w:rsidRPr="004F0CD1" w:rsidRDefault="00815506" w:rsidP="004F0CD1">
      <w:pPr>
        <w:autoSpaceDE w:val="0"/>
        <w:autoSpaceDN w:val="0"/>
        <w:spacing w:after="120"/>
        <w:jc w:val="both"/>
        <w:rPr>
          <w:i/>
        </w:rPr>
      </w:pPr>
      <w:r w:rsidRPr="004F0CD1">
        <w:rPr>
          <w:i/>
        </w:rPr>
        <w:t>W szczególności i niezależnie od środków, które mogłyby zostać podjęte w stosunku do przedsiębiorstw dysponujących znaczącą pozycją rynkową zgodnie z art. 8, krajowe organy regulacyjne mogą nakładać:</w:t>
      </w:r>
    </w:p>
    <w:p w:rsidR="00815506" w:rsidRDefault="00815506" w:rsidP="004F0CD1">
      <w:pPr>
        <w:autoSpaceDE w:val="0"/>
        <w:autoSpaceDN w:val="0"/>
        <w:spacing w:after="120"/>
        <w:jc w:val="both"/>
      </w:pPr>
      <w:r w:rsidRPr="004F0CD1">
        <w:rPr>
          <w:i/>
        </w:rPr>
        <w:t xml:space="preserve">a) w granicach tego, co niezbędne dla zapewnienia możliwości połączenia typu koniec-koniec, obowiązki na przedsiębiorstwa, które kontrolują dostęp </w:t>
      </w:r>
      <w:r w:rsidRPr="004F0CD1">
        <w:rPr>
          <w:i/>
        </w:rPr>
        <w:br/>
        <w:t>do użytkowników końcowych, w tym, w uzasadnionym przypadku, obowiązek wzajemnych połączeń ich sieci w sytuacji, kiedy nie zostało to jeszcze zrealizowane; (…)</w:t>
      </w:r>
    </w:p>
    <w:p w:rsidR="00815506" w:rsidRDefault="00815506" w:rsidP="004D09A9">
      <w:pPr>
        <w:autoSpaceDE w:val="0"/>
        <w:autoSpaceDN w:val="0"/>
        <w:spacing w:after="120"/>
        <w:jc w:val="both"/>
        <w:rPr>
          <w:i/>
        </w:rPr>
      </w:pPr>
      <w:r>
        <w:t xml:space="preserve">Netia stwierdziła, że połączenie sieci stanowi </w:t>
      </w:r>
      <w:r w:rsidRPr="008F5DC9">
        <w:rPr>
          <w:i/>
        </w:rPr>
        <w:t>„szczególny charakter dostępu telekomunikacyjnego w zakresie połączenia sieci dotycz</w:t>
      </w:r>
      <w:r>
        <w:rPr>
          <w:i/>
        </w:rPr>
        <w:t>ący</w:t>
      </w:r>
      <w:r w:rsidRPr="008F5DC9">
        <w:rPr>
          <w:i/>
        </w:rPr>
        <w:t xml:space="preserve"> zapewnienia możliwości połączenia typu </w:t>
      </w:r>
      <w:proofErr w:type="spellStart"/>
      <w:r w:rsidRPr="008F5DC9">
        <w:rPr>
          <w:i/>
        </w:rPr>
        <w:t>koniec–koniec</w:t>
      </w:r>
      <w:proofErr w:type="spellEnd"/>
      <w:r w:rsidRPr="008F5DC9">
        <w:rPr>
          <w:i/>
        </w:rPr>
        <w:t xml:space="preserve"> w zakresie przedsiębiorstw kontrolujących dostęp</w:t>
      </w:r>
      <w:r>
        <w:rPr>
          <w:i/>
        </w:rPr>
        <w:t xml:space="preserve"> </w:t>
      </w:r>
      <w:r>
        <w:rPr>
          <w:i/>
        </w:rPr>
        <w:br/>
      </w:r>
      <w:r w:rsidRPr="008F5DC9">
        <w:rPr>
          <w:i/>
        </w:rPr>
        <w:t>do użytkowników końcowych</w:t>
      </w:r>
      <w:r>
        <w:rPr>
          <w:i/>
        </w:rPr>
        <w:t xml:space="preserve">.”. </w:t>
      </w:r>
      <w:r w:rsidRPr="00662716">
        <w:t>Zdaniem Netii</w:t>
      </w:r>
      <w:r>
        <w:t>,</w:t>
      </w:r>
      <w:r>
        <w:rPr>
          <w:i/>
        </w:rPr>
        <w:t xml:space="preserve"> „o</w:t>
      </w:r>
      <w:r w:rsidRPr="008F5DC9">
        <w:rPr>
          <w:i/>
        </w:rPr>
        <w:t xml:space="preserve">czywistym jest, że taka kontrola może dotyczyć jedynie użytkowników własnych danego przedsiębiorstwa. </w:t>
      </w:r>
      <w:r>
        <w:rPr>
          <w:i/>
        </w:rPr>
        <w:t>Nie sposób uz</w:t>
      </w:r>
      <w:r w:rsidRPr="008F5DC9">
        <w:rPr>
          <w:i/>
        </w:rPr>
        <w:t>n</w:t>
      </w:r>
      <w:r>
        <w:rPr>
          <w:i/>
        </w:rPr>
        <w:t>a</w:t>
      </w:r>
      <w:r w:rsidRPr="008F5DC9">
        <w:rPr>
          <w:i/>
        </w:rPr>
        <w:t xml:space="preserve">ć bowiem, by Netia, mając połączoną sieć z przedsiębiorcą X, kontrolowała dostęp do użytkowników </w:t>
      </w:r>
      <w:r>
        <w:rPr>
          <w:i/>
        </w:rPr>
        <w:t>tego przedsię</w:t>
      </w:r>
      <w:r w:rsidRPr="008F5DC9">
        <w:rPr>
          <w:i/>
        </w:rPr>
        <w:t>biorcy</w:t>
      </w:r>
      <w:r w:rsidRPr="00662716">
        <w:rPr>
          <w:i/>
        </w:rPr>
        <w:t xml:space="preserve">. Na tej samej podstawie nie sposób, </w:t>
      </w:r>
      <w:r w:rsidRPr="00662716">
        <w:rPr>
          <w:i/>
        </w:rPr>
        <w:br/>
        <w:t>w przypadku tranzytu, stwierdzić by występowała w tej usłud</w:t>
      </w:r>
      <w:r>
        <w:rPr>
          <w:i/>
        </w:rPr>
        <w:t>ze cecha wzajemności, skoro jej</w:t>
      </w:r>
      <w:r w:rsidRPr="00662716">
        <w:rPr>
          <w:i/>
        </w:rPr>
        <w:t xml:space="preserve"> istotą jest zapewnienie możliwości kierowania połączeń</w:t>
      </w:r>
      <w:r>
        <w:rPr>
          <w:i/>
        </w:rPr>
        <w:t xml:space="preserve"> </w:t>
      </w:r>
      <w:r w:rsidRPr="00662716">
        <w:rPr>
          <w:i/>
        </w:rPr>
        <w:t>do podmiotu trzeciego, który jednocześnie może kierować połączenia wychodzące z własnej sieci zupełnie inną drogą (</w:t>
      </w:r>
      <w:proofErr w:type="spellStart"/>
      <w:r w:rsidRPr="00662716">
        <w:rPr>
          <w:i/>
        </w:rPr>
        <w:t>tranzytując</w:t>
      </w:r>
      <w:proofErr w:type="spellEnd"/>
      <w:r w:rsidRPr="00662716">
        <w:rPr>
          <w:i/>
        </w:rPr>
        <w:t xml:space="preserve"> przez sieć innego przedsiębiorcy</w:t>
      </w:r>
      <w:r>
        <w:rPr>
          <w:i/>
        </w:rPr>
        <w:t>)</w:t>
      </w:r>
      <w:r w:rsidRPr="00662716">
        <w:rPr>
          <w:i/>
        </w:rPr>
        <w:t>.”</w:t>
      </w:r>
      <w:r w:rsidRPr="00662716">
        <w:t>.</w:t>
      </w:r>
      <w:r>
        <w:t xml:space="preserve"> Wskazując </w:t>
      </w:r>
      <w:r>
        <w:br/>
        <w:t xml:space="preserve">na treść przepisu art. 2 </w:t>
      </w:r>
      <w:proofErr w:type="spellStart"/>
      <w:r>
        <w:t>pkt</w:t>
      </w:r>
      <w:proofErr w:type="spellEnd"/>
      <w:r>
        <w:t xml:space="preserve"> 25 Pt Netia stwierdziła ponadto, że, jej zdaniem, istotą połączenia sieci jest zapewnienie możliwości wzajemnych połączeń łączonych sieci. Według Netii </w:t>
      </w:r>
      <w:r w:rsidRPr="005F16F3">
        <w:rPr>
          <w:i/>
        </w:rPr>
        <w:t xml:space="preserve">„ten rodzaj dostępu telekomunikacyjnego został potraktowany przez ustawodawcę w sposób szczególny, gdyż każdy przedsiębiorca telekomunikacyjny powinien zapewnić możliwość kierowania połączeń do jego Abonentów. Tymczasem usługa tranzytu służy zapewnieniu możliwości kierowania połączeń </w:t>
      </w:r>
      <w:r>
        <w:rPr>
          <w:i/>
        </w:rPr>
        <w:br/>
      </w:r>
      <w:r w:rsidRPr="005F16F3">
        <w:rPr>
          <w:i/>
        </w:rPr>
        <w:t>do przedsiębiorców innych, niż przedsiębiorca, z którym ma on połączoną sieć</w:t>
      </w:r>
      <w:r>
        <w:rPr>
          <w:i/>
        </w:rPr>
        <w:t xml:space="preserve">”. </w:t>
      </w:r>
    </w:p>
    <w:p w:rsidR="00815506" w:rsidRDefault="00815506" w:rsidP="00C40599">
      <w:pPr>
        <w:spacing w:before="160"/>
        <w:jc w:val="both"/>
      </w:pPr>
      <w:r w:rsidRPr="0086771D">
        <w:t>Odnosząc się do powyższych kwestii, Prezes UKE wyjaśnia, że n</w:t>
      </w:r>
      <w:r>
        <w:t>iezasadne</w:t>
      </w:r>
      <w:r w:rsidRPr="00180AE1">
        <w:t xml:space="preserve"> jest stwierdzenie</w:t>
      </w:r>
      <w:r>
        <w:t xml:space="preserve"> Netii</w:t>
      </w:r>
      <w:r w:rsidRPr="00180AE1">
        <w:t xml:space="preserve">, iż z racji uznania rynku tranzytu połączeń w sieci stacjonarnej </w:t>
      </w:r>
      <w:r>
        <w:br/>
      </w:r>
      <w:r w:rsidRPr="00180AE1">
        <w:lastRenderedPageBreak/>
        <w:t>za konkurencyjny (o czym jeszcze będzie mowa w uzasadnieniu niniejszej decyzji)</w:t>
      </w:r>
      <w:r>
        <w:t xml:space="preserve"> oraz w związku z okolicznością, że usługa tranzytu nie jest połączeniem sieci </w:t>
      </w:r>
      <w:r>
        <w:br/>
        <w:t xml:space="preserve">w rozumieniu art. 2 </w:t>
      </w:r>
      <w:proofErr w:type="spellStart"/>
      <w:r>
        <w:t>pkt</w:t>
      </w:r>
      <w:proofErr w:type="spellEnd"/>
      <w:r>
        <w:t xml:space="preserve"> 25 Pt</w:t>
      </w:r>
      <w:r w:rsidRPr="00180AE1">
        <w:t xml:space="preserve">, Prezesowi UKE nie przysługuje kompetencja </w:t>
      </w:r>
      <w:r>
        <w:br/>
      </w:r>
      <w:r w:rsidRPr="00180AE1">
        <w:t xml:space="preserve">do rozpatrzenia sporu międzyoperatorskiego </w:t>
      </w:r>
      <w:r>
        <w:t xml:space="preserve">między Orange i Netią </w:t>
      </w:r>
      <w:r w:rsidRPr="00180AE1">
        <w:t xml:space="preserve">w oparciu </w:t>
      </w:r>
      <w:r>
        <w:br/>
      </w:r>
      <w:r w:rsidRPr="00180AE1">
        <w:t xml:space="preserve">o </w:t>
      </w:r>
      <w:r>
        <w:t>W</w:t>
      </w:r>
      <w:r w:rsidRPr="00180AE1">
        <w:t xml:space="preserve">niosek złożony na podstawie art. 27 ust. 2 Pt, dotyczący tranzytu połączeń </w:t>
      </w:r>
      <w:r>
        <w:br/>
      </w:r>
      <w:r w:rsidRPr="00180AE1">
        <w:t xml:space="preserve">w sieci stacjonarnej. </w:t>
      </w:r>
      <w:r w:rsidRPr="00B9112E">
        <w:t xml:space="preserve">W tym przedmiocie Prezes UKE w pierwszej kolejności wskazuje, że przesłanką decydującą dla </w:t>
      </w:r>
      <w:r>
        <w:t xml:space="preserve">możliwości </w:t>
      </w:r>
      <w:r w:rsidRPr="00B9112E">
        <w:t xml:space="preserve">zastosowania art. 27 ust. 2 Pt </w:t>
      </w:r>
      <w:r>
        <w:br/>
        <w:t xml:space="preserve">(tj. złożenia do Prezesa UKE wniosku o wydanie decyzji w zakresie rozstrzygnięcia kwestii spornych lub określenia warunków współpracy) </w:t>
      </w:r>
      <w:r w:rsidRPr="00B9112E">
        <w:t xml:space="preserve">jest okoliczność zaistnienia sporu międzyoperatorskiego w przedmiocie </w:t>
      </w:r>
      <w:r>
        <w:t xml:space="preserve">dostępu telekomunikacyjnego w zakresie </w:t>
      </w:r>
      <w:r w:rsidRPr="00B9112E">
        <w:t>połączenia sieci (w przeciwieństwie do art. 27 ust</w:t>
      </w:r>
      <w:r>
        <w:t>.</w:t>
      </w:r>
      <w:r w:rsidRPr="00B9112E">
        <w:t xml:space="preserve"> 2b Pt, do zastosowania którego konieczne jest zaistnienie sporu co do innych niż połączenie sieci przypadków dostępu telekomunikacyjnego).</w:t>
      </w:r>
      <w:r>
        <w:t xml:space="preserve"> Prezes UKE podkreśla przy tym, że rozstrzygnięcie przez Prezesa UKE wniosku przedsiębiorcy telekomunikacyjnego złożonego </w:t>
      </w:r>
      <w:r>
        <w:br/>
        <w:t xml:space="preserve">na podstawie art. 27 ust. 2 Pt nie jest uzależnione od wcześniejszego nałożenia obowiązków regulacyjnych w wyniku ustalenia, że na danym rynku właściwym </w:t>
      </w:r>
      <w:r>
        <w:br/>
        <w:t xml:space="preserve">nie występuje skuteczna konkurencja (wniosek płynący z art. 27 ust. 2 Pt w związku z art. 26a Pt). Należy bowiem wskazać, że dla możliwości złożenia przez dany podmiot wniosku na podstawie przepisu art. 27 ust. 2 Pt (a następnie wydanie </w:t>
      </w:r>
      <w:r>
        <w:br/>
        <w:t xml:space="preserve">na skutek tego wniosku przez Prezesa UKE decyzji na podstawie art. 28 ust. 1 Pt) wystarczy, że zaistniał spór międzyoperatorski dotyczący połączenia sieci oraz, </w:t>
      </w:r>
      <w:r>
        <w:br/>
        <w:t xml:space="preserve">że spełnione zostały pozostałe przesłanki wymienione w tym przepisie (omówione powyżej, dotyczące wyczerpania procedury negocjacji, poprzedzającej wystąpienie </w:t>
      </w:r>
      <w:r>
        <w:br/>
        <w:t xml:space="preserve">z wnioskiem do Prezesa UKE). Obowiązki regulacyjne przy rozstrzyganiu sporów międzyoperatorskich z wniosków, złożonych na podstawie art. 27 ust. 2 Pt, brane </w:t>
      </w:r>
      <w:r>
        <w:br/>
        <w:t xml:space="preserve">są pod uwagę przez Prezesa UKE dopiero w ramach analizy przesłanek, o których mowa w przepisie art. 28 ust. 1 Pt, które wpływają na kształt merytorycznego rozstrzygnięcia przez Prezesa UKE kwestii spornych, w sprawach już wszczętych </w:t>
      </w:r>
      <w:r>
        <w:br/>
        <w:t xml:space="preserve">na podstawie art. 27 ust. 2 Pt, a zatem nie na etapie wszczynania postępowania </w:t>
      </w:r>
      <w:r>
        <w:br/>
        <w:t>na podstawie ww. przepisu Pt (tj. nie w ramach oceny formalnoprawnych przesłanek do zajęcia się żądaniem wnioskodawcy z wniosku, złożonego w oparciu o przepis art. 27 ust. 2 Pt)</w:t>
      </w:r>
      <w:r w:rsidRPr="0074373D">
        <w:t xml:space="preserve">. </w:t>
      </w:r>
      <w:r>
        <w:t xml:space="preserve">W świetle powyższego należało stwierdzić, że samo </w:t>
      </w:r>
      <w:r w:rsidRPr="00180AE1">
        <w:t>uznani</w:t>
      </w:r>
      <w:r>
        <w:t>e</w:t>
      </w:r>
      <w:r w:rsidRPr="00180AE1">
        <w:t xml:space="preserve"> rynku tranzytu połączeń w sieci stacjonarnej za konkurencyjny</w:t>
      </w:r>
      <w:r w:rsidRPr="00180AE1" w:rsidDel="00B073DB">
        <w:t xml:space="preserve"> </w:t>
      </w:r>
      <w:r>
        <w:t xml:space="preserve">(co implikuje brak nałożenia na jakikolwiek podmiot działający na tym rynku obowiązków regulacyjnych, jakie brane są pod uwagę przez Prezesa UKE już na etapie merytorycznego rozpatrywania sprawy objętej kompetencjami Prezesa UKE) </w:t>
      </w:r>
      <w:r w:rsidRPr="00180AE1">
        <w:t>nie</w:t>
      </w:r>
      <w:r>
        <w:t xml:space="preserve"> ma wpływu na ocenę </w:t>
      </w:r>
      <w:r w:rsidRPr="00180AE1">
        <w:t>kompetencj</w:t>
      </w:r>
      <w:r>
        <w:t>i Prezesa UKE</w:t>
      </w:r>
      <w:r w:rsidRPr="00180AE1">
        <w:t xml:space="preserve"> </w:t>
      </w:r>
      <w:r>
        <w:t xml:space="preserve">co </w:t>
      </w:r>
      <w:r w:rsidRPr="00180AE1">
        <w:t xml:space="preserve">do </w:t>
      </w:r>
      <w:r>
        <w:t xml:space="preserve">samego podjęcia się </w:t>
      </w:r>
      <w:r w:rsidRPr="00180AE1">
        <w:t>rozpatrzenia sporu międzyoperatorskiego</w:t>
      </w:r>
      <w:r>
        <w:t>,</w:t>
      </w:r>
      <w:r w:rsidRPr="00180AE1">
        <w:t xml:space="preserve"> </w:t>
      </w:r>
      <w:r>
        <w:t xml:space="preserve">tu: </w:t>
      </w:r>
      <w:r w:rsidRPr="00180AE1">
        <w:t xml:space="preserve">w oparciu o </w:t>
      </w:r>
      <w:r>
        <w:t>W</w:t>
      </w:r>
      <w:r w:rsidRPr="00180AE1">
        <w:t xml:space="preserve">niosek złożony na podstawie </w:t>
      </w:r>
      <w:r>
        <w:br/>
      </w:r>
      <w:r w:rsidRPr="00180AE1">
        <w:t>art. 27 ust. 2 Pt, dotyczący tranzytu połączeń w sieci stacjonarnej</w:t>
      </w:r>
      <w:r>
        <w:t xml:space="preserve"> Netii. W związku </w:t>
      </w:r>
      <w:r>
        <w:br/>
        <w:t xml:space="preserve">z powyższym zarzut Netii, zawarty w piśmie </w:t>
      </w:r>
      <w:r w:rsidRPr="00180AE1">
        <w:t>z dnia 25 listopada 2013 r.</w:t>
      </w:r>
      <w:r>
        <w:t xml:space="preserve">, </w:t>
      </w:r>
      <w:r>
        <w:br/>
        <w:t>w omawianym zakresie należy uznać za chybiony.</w:t>
      </w:r>
    </w:p>
    <w:p w:rsidR="00815506" w:rsidRDefault="00815506">
      <w:pPr>
        <w:spacing w:before="120" w:after="120"/>
        <w:jc w:val="both"/>
      </w:pPr>
      <w:r>
        <w:t>Odnosząc się natomiast do ww. przepisu art. 27 ust. 2 Pt w kontekście pojęcia połączenia sieci, stanowiącego szczególny rodzaj dostępu telekomunikacyjnego,</w:t>
      </w:r>
      <w:r>
        <w:br/>
        <w:t xml:space="preserve">w ramach którego Prezes UKE posiada </w:t>
      </w:r>
      <w:proofErr w:type="spellStart"/>
      <w:r>
        <w:t>kompentencje</w:t>
      </w:r>
      <w:proofErr w:type="spellEnd"/>
      <w:r w:rsidRPr="00180AE1">
        <w:t xml:space="preserve"> do rozpatrzenia sporu międzyoperatorskiego</w:t>
      </w:r>
      <w:r>
        <w:t xml:space="preserve">, wskazać należy, że Netia, jak już wyżej nadmieniono, stwierdziła, że, jej zdaniem, z treści art. 2 </w:t>
      </w:r>
      <w:proofErr w:type="spellStart"/>
      <w:r>
        <w:t>pkt</w:t>
      </w:r>
      <w:proofErr w:type="spellEnd"/>
      <w:r>
        <w:t xml:space="preserve"> 25 Pt wynika, iż „</w:t>
      </w:r>
      <w:r w:rsidRPr="005F16F3">
        <w:rPr>
          <w:i/>
        </w:rPr>
        <w:t xml:space="preserve">usługa tranzytu służy zapewnieniu możliwości kierowania połączeń do przedsiębiorców innych, </w:t>
      </w:r>
      <w:r>
        <w:rPr>
          <w:i/>
        </w:rPr>
        <w:br/>
      </w:r>
      <w:r w:rsidRPr="005F16F3">
        <w:rPr>
          <w:i/>
        </w:rPr>
        <w:t>niż przedsiębiorca, z którym ma on połączoną sieć</w:t>
      </w:r>
      <w:r>
        <w:rPr>
          <w:i/>
        </w:rPr>
        <w:t xml:space="preserve">”. </w:t>
      </w:r>
      <w:r>
        <w:t>W związku z tym, zdaniem Netii,</w:t>
      </w:r>
      <w:r>
        <w:rPr>
          <w:i/>
        </w:rPr>
        <w:t xml:space="preserve"> </w:t>
      </w:r>
      <w:r>
        <w:t xml:space="preserve">usługa tranzytu nie mieści się w pojęciu połączenia sieci i </w:t>
      </w:r>
      <w:r w:rsidRPr="00115D95">
        <w:rPr>
          <w:i/>
        </w:rPr>
        <w:t xml:space="preserve">„jest to rozwiązanie stojące poniekąd w kontrze do połączenia sieci z podmiotami, do których dany </w:t>
      </w:r>
      <w:r w:rsidRPr="00115D95">
        <w:rPr>
          <w:i/>
        </w:rPr>
        <w:lastRenderedPageBreak/>
        <w:t>przedsiębiorca chce skierować ruch”.</w:t>
      </w:r>
      <w:r>
        <w:t xml:space="preserve"> Odnosząc się do powyższych zarzutów Netii Prezes UKE wskazuje, że w zakresie definicji pojęcia połączenia</w:t>
      </w:r>
      <w:r w:rsidR="00790A1D">
        <w:t xml:space="preserve"> sieci należy zwrócić uwagę, że</w:t>
      </w:r>
      <w:r>
        <w:t xml:space="preserve"> z</w:t>
      </w:r>
      <w:r w:rsidRPr="00180AE1">
        <w:t>godnie z przepisem</w:t>
      </w:r>
      <w:r w:rsidRPr="0052643F">
        <w:t xml:space="preserve"> art. 2 </w:t>
      </w:r>
      <w:proofErr w:type="spellStart"/>
      <w:r w:rsidRPr="0052643F">
        <w:t>pkt</w:t>
      </w:r>
      <w:proofErr w:type="spellEnd"/>
      <w:r w:rsidRPr="0052643F">
        <w:t xml:space="preserve"> 25 Pt, </w:t>
      </w:r>
      <w:r>
        <w:t xml:space="preserve">poprzez </w:t>
      </w:r>
      <w:r w:rsidRPr="00115D95">
        <w:t xml:space="preserve">połączenie sieci </w:t>
      </w:r>
      <w:r>
        <w:t>należy rozumieć</w:t>
      </w:r>
      <w:r>
        <w:rPr>
          <w:i/>
        </w:rPr>
        <w:t xml:space="preserve"> </w:t>
      </w:r>
      <w:r>
        <w:t xml:space="preserve">fizyczne i logiczne połączenie publicznych sieci telekomunikacyjnych użytkowanych przez tego samego lub różnych przedsiębiorców telekomunikacyjnych, celem umożliwienia użytkownikom korzystającym z usług </w:t>
      </w:r>
      <w:r>
        <w:br/>
        <w:t xml:space="preserve">lub sieci jednego przedsiębiorcy telekomunikacyjnego komunikowania się </w:t>
      </w:r>
      <w:r>
        <w:br/>
        <w:t xml:space="preserve">z użytkownikami korzystającymi z usług lub sieci tego samego lub innego przedsiębiorcy telekomunikacyjnego albo dostępu do usług dostarczanych przez innego przedsiębiorcę telekomunikacyjnego; połączenie sieci stanowi szczególny rodzaj dostępu telekomunikacyjnego realizowanego pomiędzy operatorami. </w:t>
      </w:r>
      <w:r>
        <w:br/>
        <w:t xml:space="preserve">W związku z powyższym, nie powinien budzić wątpliwości fakt, </w:t>
      </w:r>
      <w:r>
        <w:br/>
        <w:t xml:space="preserve">że jedną z form komunikowania się użytkowników końcowych, korzystających </w:t>
      </w:r>
      <w:r>
        <w:br/>
        <w:t>z sieci tego samego lub różnych przedsiębiorców telekomunikacyjnych, jest wykonywanie połączeń telefonicznych, w ramach których, na poziomie rynku hurtowego, w celu zapewnienia ww. komunikacji między użytkownikami, możliwe jest wykorzystanie usługi tranzytu. Należy bowiem wskazać, że g</w:t>
      </w:r>
      <w:r w:rsidRPr="00B132CD">
        <w:t>łównymi elementami usługi hurtowej</w:t>
      </w:r>
      <w:r w:rsidRPr="00AC786B">
        <w:t xml:space="preserve"> niezbę</w:t>
      </w:r>
      <w:r>
        <w:t>dnymi</w:t>
      </w:r>
      <w:r w:rsidRPr="00AC786B">
        <w:t xml:space="preserve"> do świadczenia</w:t>
      </w:r>
      <w:r>
        <w:t xml:space="preserve"> detalicznej usługi połączeń telefonicznych (wokół której, w zakresie tranzytu połączeń telefonicznych, skupia się spór między OPL a Netią) są: usługa </w:t>
      </w:r>
      <w:r w:rsidRPr="00AC786B">
        <w:t>rozpoczynani</w:t>
      </w:r>
      <w:r>
        <w:t>a</w:t>
      </w:r>
      <w:r w:rsidRPr="00AC786B">
        <w:t xml:space="preserve"> połącze</w:t>
      </w:r>
      <w:r>
        <w:t>ń</w:t>
      </w:r>
      <w:r w:rsidRPr="00AC786B">
        <w:t xml:space="preserve">, </w:t>
      </w:r>
      <w:r>
        <w:t xml:space="preserve">usługa </w:t>
      </w:r>
      <w:r w:rsidRPr="00AC786B">
        <w:t>zakańczani</w:t>
      </w:r>
      <w:r>
        <w:t>a</w:t>
      </w:r>
      <w:r w:rsidRPr="00AC786B">
        <w:t xml:space="preserve"> połącze</w:t>
      </w:r>
      <w:r>
        <w:t xml:space="preserve">ń oraz (ewentualnie) usługa tranzytu połączeń. Należy przy tym wskazać, </w:t>
      </w:r>
      <w:r>
        <w:br/>
        <w:t>że u</w:t>
      </w:r>
      <w:r w:rsidRPr="00B95B0B">
        <w:t>sługa połą</w:t>
      </w:r>
      <w:r>
        <w:t xml:space="preserve">czenia telefonicznego, zgodnie z definicją z art. 2 </w:t>
      </w:r>
      <w:proofErr w:type="spellStart"/>
      <w:r>
        <w:t>pkt</w:t>
      </w:r>
      <w:proofErr w:type="spellEnd"/>
      <w:r>
        <w:t xml:space="preserve"> 26 Pt, jest usługą polegającą na ustanawianiu połączenia za pomocą publicznie dostępnej usługi telefonicznej, pozwalającą na dwukierunkową łączność głosową. Natomiast zgodnie z definicją publicznie dostępnej usługi telefonicznej (art. 2 </w:t>
      </w:r>
      <w:proofErr w:type="spellStart"/>
      <w:r>
        <w:t>pkt</w:t>
      </w:r>
      <w:proofErr w:type="spellEnd"/>
      <w:r>
        <w:t xml:space="preserve"> 30 Pt), usługa </w:t>
      </w:r>
      <w:r>
        <w:br/>
        <w:t xml:space="preserve">ta umożliwia inicjowanie i odbieranie połączeń za pomocą numeru ustalonego </w:t>
      </w:r>
      <w:r>
        <w:br/>
        <w:t xml:space="preserve">w planie numeracji krajowej dla publicznych sieci telefonicznych. Zatem, również </w:t>
      </w:r>
      <w:r>
        <w:br/>
        <w:t xml:space="preserve">na poziomie hurtowym, w realizacji usługi połączenia telefonicznego mogą uczestniczyć tylko te sieci, których funkcjonalność zapewnia wykorzystanie numerów ustalonych w planie numeracji krajowej dla publicznych sieci telefonicznych. Dodać należy, że numery ustalone w planie numeracji krajowej wykorzystywane są przez centrale telefoniczne lub ich odpowiedniki do adresacji </w:t>
      </w:r>
      <w:r>
        <w:br/>
        <w:t xml:space="preserve">i kierowania połączeń. Oznacza to, że do świadczenia usługi rozpoczynania, usługi zakańczania oraz usługi tranzytu połączeń mogą być wykorzystywane tylko te sieci, które zawierają centrale telefoniczne, przy czym sam tranzyt połączeń, </w:t>
      </w:r>
      <w:r>
        <w:br/>
        <w:t xml:space="preserve">z technicznego punktu widzenia, może być realizowany w sieci podmiotu trzeciego, w sieci operatora, w której zostało zainicjowane połączenie oraz w sieci operatora, </w:t>
      </w:r>
      <w:r>
        <w:br/>
        <w:t>w której połączenie zostało zakończone.</w:t>
      </w:r>
      <w:r w:rsidRPr="001C35C5">
        <w:t xml:space="preserve"> </w:t>
      </w:r>
      <w:r>
        <w:t>Mając na uwadze fakt, iż za usługę zakończenia połączenia płaci operator sieci, w której połączenie zainicjowano, jedynie tranzyt realizowany przez podmioty trzecie oraz tranzyt realizowany przez sieć podmiotu zakańczającego połączenie stanowi przedmiot usług tranzytu re</w:t>
      </w:r>
      <w:r w:rsidR="00790A1D">
        <w:t xml:space="preserve">alizowanych między operatorami. </w:t>
      </w:r>
      <w:r w:rsidRPr="00526F33">
        <w:t xml:space="preserve">Z usługą tranzytu połączenia w sieci stacjonarnej mamy </w:t>
      </w:r>
      <w:r>
        <w:t>więc</w:t>
      </w:r>
      <w:r w:rsidRPr="00526F33">
        <w:t xml:space="preserve"> do czynienia </w:t>
      </w:r>
      <w:r>
        <w:t xml:space="preserve">m.in. </w:t>
      </w:r>
      <w:r w:rsidRPr="00526F33">
        <w:t>w przypadku</w:t>
      </w:r>
      <w:r>
        <w:t>,</w:t>
      </w:r>
      <w:r w:rsidRPr="00526F33">
        <w:t xml:space="preserve"> gdy sieci przedsiębiorców telekomunikacyjnych</w:t>
      </w:r>
      <w:r>
        <w:t>,</w:t>
      </w:r>
      <w:r w:rsidRPr="00526F33">
        <w:t xml:space="preserve"> w których następuje rozpoczęcie i zakończenie połączenia </w:t>
      </w:r>
      <w:r>
        <w:br/>
      </w:r>
      <w:r w:rsidRPr="00526F33">
        <w:t>nie są ze sobą bezpośrednio połączone</w:t>
      </w:r>
      <w:r>
        <w:t>,</w:t>
      </w:r>
      <w:r w:rsidRPr="00526F33">
        <w:t xml:space="preserve"> a do zestawienia połączenia niezbędne jest wykorzystanie infrastruktury telekomunikacyjnej podmiotu trzeciego.</w:t>
      </w:r>
      <w:r w:rsidRPr="00526F33" w:rsidDel="00B9112E">
        <w:t xml:space="preserve"> </w:t>
      </w:r>
      <w:r w:rsidRPr="00526F33">
        <w:t xml:space="preserve">W przypadku </w:t>
      </w:r>
      <w:r>
        <w:t>bowiem,</w:t>
      </w:r>
      <w:r w:rsidRPr="00526F33">
        <w:t xml:space="preserve"> gdy połączenie kierowane jest przez centralę operatora, w sieci którego połączenie nie jest ani rozpoczynane ani zakańczane</w:t>
      </w:r>
      <w:r>
        <w:t>,</w:t>
      </w:r>
      <w:r w:rsidRPr="00526F33">
        <w:t xml:space="preserve"> niezbędne jest świadczenie usługi tranzytu połączeń w sieci stacjonarnej</w:t>
      </w:r>
      <w:r>
        <w:t xml:space="preserve"> podmiotu trzeciego</w:t>
      </w:r>
      <w:r w:rsidRPr="00526F33">
        <w:t>.</w:t>
      </w:r>
      <w:r w:rsidRPr="00B9112E">
        <w:t xml:space="preserve"> Tak zdefiniowana usługa tranzytu</w:t>
      </w:r>
      <w:r>
        <w:t>, zdaniem Prezesa UKE,</w:t>
      </w:r>
      <w:r w:rsidRPr="00B9112E">
        <w:t xml:space="preserve"> spełnia przesłankę „</w:t>
      </w:r>
      <w:r w:rsidRPr="00B9112E">
        <w:rPr>
          <w:i/>
        </w:rPr>
        <w:t xml:space="preserve">umożliwienia </w:t>
      </w:r>
      <w:r w:rsidRPr="00B9112E">
        <w:rPr>
          <w:i/>
        </w:rPr>
        <w:lastRenderedPageBreak/>
        <w:t xml:space="preserve">użytkownikom korzystającym z usług lub sieci jednego przedsiębiorcy telekomunikacyjnego komunikowania się z użytkownikami korzystającymi z usług </w:t>
      </w:r>
      <w:r w:rsidR="00914B85">
        <w:rPr>
          <w:i/>
        </w:rPr>
        <w:br/>
      </w:r>
      <w:r w:rsidRPr="00B9112E">
        <w:rPr>
          <w:i/>
        </w:rPr>
        <w:t xml:space="preserve">lub sieci tego samego lub innego przedsiębiorcy telekomunikacyjnego”, </w:t>
      </w:r>
      <w:r w:rsidRPr="00B9112E">
        <w:t xml:space="preserve">o której stanowi art. 2 </w:t>
      </w:r>
      <w:proofErr w:type="spellStart"/>
      <w:r w:rsidRPr="00B9112E">
        <w:t>pkt</w:t>
      </w:r>
      <w:proofErr w:type="spellEnd"/>
      <w:r w:rsidRPr="00B9112E">
        <w:t xml:space="preserve"> 25 Pt</w:t>
      </w:r>
      <w:r>
        <w:t>, co równocześnie przesądza o tym, że usługa tranzytu stanowi jeden z aspektów połączenia sieci. W świetle powyższego należy wskazać, że z wyżej opisanym modelem tranzytu</w:t>
      </w:r>
      <w:r w:rsidRPr="004E0543">
        <w:t xml:space="preserve"> </w:t>
      </w:r>
      <w:r>
        <w:t>mamy do czynienia w ramach sporu międzyoperatorskiego, stanowiącego przedmiot niniejszego postępowania, bowiem zgodnie z Wnioskiem, przedmiotem rozstrzygnięcia Prezesa UKE ma być kwestia</w:t>
      </w:r>
      <w:r w:rsidRPr="004E0543">
        <w:t xml:space="preserve"> </w:t>
      </w:r>
      <w:r w:rsidRPr="00180AE1">
        <w:t>zmiany Umowy o Połączeniu Sieci w zakres</w:t>
      </w:r>
      <w:r>
        <w:t>ie postanowień dotyczących usługi tranzytu w sieci Netia, a zatem usługi dotyczącej kierowania połączeń inicjowanych w sieci OPL</w:t>
      </w:r>
      <w:r w:rsidRPr="00526F33">
        <w:t xml:space="preserve"> przez centralę </w:t>
      </w:r>
      <w:r>
        <w:t>Netii</w:t>
      </w:r>
      <w:r w:rsidRPr="00526F33">
        <w:t xml:space="preserve">, </w:t>
      </w:r>
      <w:r>
        <w:t>w sieci której</w:t>
      </w:r>
      <w:r w:rsidRPr="00526F33">
        <w:t xml:space="preserve"> połączenie nie jest ani rozpoczynane</w:t>
      </w:r>
      <w:r>
        <w:t>,</w:t>
      </w:r>
      <w:r w:rsidRPr="00526F33">
        <w:t xml:space="preserve"> ani zakańczane</w:t>
      </w:r>
      <w:r>
        <w:t>. W świetle powyższego nie można się zgodzić z twierdzeniem Netii, iż usługa tranzytu „</w:t>
      </w:r>
      <w:r w:rsidRPr="009A4957">
        <w:rPr>
          <w:i/>
        </w:rPr>
        <w:t xml:space="preserve"> </w:t>
      </w:r>
      <w:r w:rsidRPr="00115D95">
        <w:rPr>
          <w:i/>
        </w:rPr>
        <w:t>jest to rozwiązanie stojące poniekąd w kontrze do połączenia sieci z podmiotami, do których dany przedsiębiorca chce skierować ruch”.</w:t>
      </w:r>
      <w:r w:rsidRPr="002B5C0C">
        <w:t xml:space="preserve"> </w:t>
      </w:r>
      <w:r>
        <w:t xml:space="preserve">(…) </w:t>
      </w:r>
      <w:r>
        <w:br/>
      </w:r>
      <w:r w:rsidRPr="009A4957">
        <w:rPr>
          <w:i/>
        </w:rPr>
        <w:t xml:space="preserve">z art. 2 </w:t>
      </w:r>
      <w:proofErr w:type="spellStart"/>
      <w:r w:rsidRPr="009A4957">
        <w:rPr>
          <w:i/>
        </w:rPr>
        <w:t>pkt</w:t>
      </w:r>
      <w:proofErr w:type="spellEnd"/>
      <w:r w:rsidRPr="009A4957">
        <w:rPr>
          <w:i/>
        </w:rPr>
        <w:t xml:space="preserve"> 25 </w:t>
      </w:r>
      <w:r w:rsidRPr="008F1DA2">
        <w:rPr>
          <w:i/>
        </w:rPr>
        <w:t>Pt wynika, iż</w:t>
      </w:r>
      <w:r w:rsidRPr="008F1DA2">
        <w:t xml:space="preserve"> </w:t>
      </w:r>
      <w:r w:rsidRPr="008F1DA2">
        <w:rPr>
          <w:i/>
        </w:rPr>
        <w:t xml:space="preserve">usługa tranzytu służy zapewnieniu możliwości kierowania połączeń do przedsiębiorców innych, niż przedsiębiorca, z którym </w:t>
      </w:r>
      <w:r>
        <w:rPr>
          <w:i/>
        </w:rPr>
        <w:br/>
      </w:r>
      <w:r w:rsidRPr="008F1DA2">
        <w:rPr>
          <w:i/>
        </w:rPr>
        <w:t>ma on połączoną sieć”.</w:t>
      </w:r>
      <w:r w:rsidRPr="008F1DA2">
        <w:t xml:space="preserve"> </w:t>
      </w:r>
      <w:r>
        <w:t xml:space="preserve">Przytoczona wyżej teza Netii nie bierze w ogóle pod uwagę technicznych aspektów usług tranzytu, które polegają na kierowaniu połączenia </w:t>
      </w:r>
      <w:r>
        <w:br/>
        <w:t xml:space="preserve">z sieci operatora inicjującego połączenie (tu: OPL), przez punkt styku sieci, do sieci operatora </w:t>
      </w:r>
      <w:proofErr w:type="spellStart"/>
      <w:r>
        <w:t>tranzytującego</w:t>
      </w:r>
      <w:proofErr w:type="spellEnd"/>
      <w:r>
        <w:t xml:space="preserve"> (tu: Netia), a następnie kierowanie połączenia, </w:t>
      </w:r>
      <w:r>
        <w:br/>
        <w:t xml:space="preserve">przez kolejny punkt styku sieci, do sieci operatora zakańczającego połączenie (operatora docelowego, do którego połączenie jest inicjowane z sieci OPL </w:t>
      </w:r>
      <w:r>
        <w:br/>
        <w:t xml:space="preserve">(przy czym na marginesie wskazać należy, że możliwe są także warianty z kilkoma operatorami </w:t>
      </w:r>
      <w:proofErr w:type="spellStart"/>
      <w:r>
        <w:t>tranzytującymi</w:t>
      </w:r>
      <w:proofErr w:type="spellEnd"/>
      <w:r>
        <w:t xml:space="preserve">)). W związku z powyższym, istotą połączenia telefonicznego z wykorzystaniem usługi tranzytu jest to, że ruch </w:t>
      </w:r>
      <w:proofErr w:type="spellStart"/>
      <w:r>
        <w:t>tranzytowany</w:t>
      </w:r>
      <w:proofErr w:type="spellEnd"/>
      <w:r>
        <w:t xml:space="preserve"> jest kierowany dalej do innego operatora (operatora docelowego), a nie zakańczany </w:t>
      </w:r>
      <w:r>
        <w:br/>
        <w:t xml:space="preserve">w sieci operatora </w:t>
      </w:r>
      <w:proofErr w:type="spellStart"/>
      <w:r>
        <w:t>tranzytującego</w:t>
      </w:r>
      <w:proofErr w:type="spellEnd"/>
      <w:r>
        <w:t xml:space="preserve"> (tu: sieci Netii). Innymi słowy, skoro w przypadku usługi tranzytu, operator </w:t>
      </w:r>
      <w:proofErr w:type="spellStart"/>
      <w:r>
        <w:t>tranzytujący</w:t>
      </w:r>
      <w:proofErr w:type="spellEnd"/>
      <w:r>
        <w:t xml:space="preserve"> (tu: Netia) nie jest operatorem docelowym, </w:t>
      </w:r>
      <w:r>
        <w:br/>
        <w:t xml:space="preserve">do którego użytkownika użytkownicy operatora inicjującego (tu: OPL) wywołują połączenie w celu komunikacji z użytkownikami operatora docelowego </w:t>
      </w:r>
      <w:r>
        <w:br/>
        <w:t xml:space="preserve">(z wykorzystaniem usługi tranzytu w sieci Netii), należało uznać, że usługa tranzytu stanowi usługę wchodzącą w skład połączenia sieci. W związku z powyższym </w:t>
      </w:r>
      <w:r>
        <w:br/>
        <w:t xml:space="preserve">za nieuzasadnione należało uznać twierdzenie Netii, zawarte w piśmie z dnia </w:t>
      </w:r>
      <w:r>
        <w:br/>
        <w:t>25 listopada 2013 r., iż „</w:t>
      </w:r>
      <w:r w:rsidRPr="005F16F3">
        <w:rPr>
          <w:i/>
        </w:rPr>
        <w:t>usługa tranzytu służy zapewnieniu możliwości kierowania połączeń do przedsiębiorców innych, niż przedsiębiorca, z którym ma on połączoną sieć</w:t>
      </w:r>
      <w:r>
        <w:rPr>
          <w:i/>
        </w:rPr>
        <w:t xml:space="preserve">”. </w:t>
      </w:r>
      <w:r w:rsidRPr="0003266C">
        <w:t xml:space="preserve">Jak bowiem wyżej szczegółowo wyjaśniono, </w:t>
      </w:r>
      <w:r>
        <w:t xml:space="preserve">usługa tranzytu w istocie służy </w:t>
      </w:r>
      <w:r>
        <w:br/>
        <w:t xml:space="preserve">do kierowania połączeń do użytkowników operatorów (docelowych), z którymi dany operator (inicjujący) ma połączoną sieć (nie zaś docelowo do „innych” podmiotów), ponieważ usługa ta ma na celu zapewnienie ww. połączenia w sytuacji, gdy nie ma możliwości kierowania ruchu </w:t>
      </w:r>
      <w:proofErr w:type="spellStart"/>
      <w:r>
        <w:t>tranzytującego</w:t>
      </w:r>
      <w:proofErr w:type="spellEnd"/>
      <w:r>
        <w:t xml:space="preserve"> do sieci innego operatora inaczej, </w:t>
      </w:r>
      <w:r>
        <w:br/>
        <w:t xml:space="preserve">niż poprzez punkty styku sieci podmiotu trzeciego (operatora </w:t>
      </w:r>
      <w:proofErr w:type="spellStart"/>
      <w:r>
        <w:t>tranzytującego</w:t>
      </w:r>
      <w:proofErr w:type="spellEnd"/>
      <w:r>
        <w:t xml:space="preserve">). </w:t>
      </w:r>
      <w:r>
        <w:br/>
        <w:t>W związku z powyższym, zdaniem Prezesa UKE, usługa tranzytu stanowi zatem techniczny aspekt połączenia sieci (a zatem jest usługą wchodzącą w skład usługi połączenia sieci na poziomie rynku hurtowego), służący umożliwieniu</w:t>
      </w:r>
      <w:r w:rsidRPr="0003266C">
        <w:t xml:space="preserve"> użytkownikom korzystającym z usług lub sieci jednego przedsiębiorcy telekomunikacyjnego komunikowania się</w:t>
      </w:r>
      <w:r>
        <w:t xml:space="preserve"> docelowo</w:t>
      </w:r>
      <w:r w:rsidRPr="0003266C">
        <w:t xml:space="preserve"> z użytkownikami </w:t>
      </w:r>
      <w:r>
        <w:t>k</w:t>
      </w:r>
      <w:r w:rsidRPr="0003266C">
        <w:t>orzystającymi z usług lub sieci innego pr</w:t>
      </w:r>
      <w:r>
        <w:t>zedsiębiorcy telekomunikacyjnego</w:t>
      </w:r>
      <w:r w:rsidRPr="0003266C">
        <w:t>,</w:t>
      </w:r>
      <w:r>
        <w:t xml:space="preserve"> zgodnie z definicją połączenia sieci, zawartą w przepisie</w:t>
      </w:r>
      <w:r w:rsidRPr="00B9112E">
        <w:rPr>
          <w:i/>
        </w:rPr>
        <w:t xml:space="preserve"> </w:t>
      </w:r>
      <w:r w:rsidRPr="00B9112E">
        <w:t xml:space="preserve">art. 2 </w:t>
      </w:r>
      <w:proofErr w:type="spellStart"/>
      <w:r w:rsidRPr="00B9112E">
        <w:t>pkt</w:t>
      </w:r>
      <w:proofErr w:type="spellEnd"/>
      <w:r w:rsidRPr="00B9112E">
        <w:t xml:space="preserve"> 25 Pt</w:t>
      </w:r>
      <w:r>
        <w:t>.</w:t>
      </w:r>
    </w:p>
    <w:p w:rsidR="00815506" w:rsidRDefault="00815506">
      <w:pPr>
        <w:spacing w:before="120" w:after="120"/>
        <w:jc w:val="both"/>
        <w:rPr>
          <w:i/>
        </w:rPr>
      </w:pPr>
      <w:r>
        <w:t xml:space="preserve">Odnosząc się natomiast do twierdzeń Netii, zawartych w piśmie </w:t>
      </w:r>
      <w:r w:rsidRPr="00180AE1">
        <w:t xml:space="preserve">z dnia </w:t>
      </w:r>
      <w:r>
        <w:br/>
      </w:r>
      <w:r w:rsidRPr="00180AE1">
        <w:t>25 listopada 2013 r.,</w:t>
      </w:r>
      <w:r>
        <w:t xml:space="preserve"> a dotyczących treści art. 5 ust 1 lit. a Dyrektywy o dostępie,  </w:t>
      </w:r>
      <w:r>
        <w:br/>
      </w:r>
      <w:r>
        <w:lastRenderedPageBreak/>
        <w:t xml:space="preserve">Prezes UKE zgadza się z Netią, że możliwe jest nałożenie przez regulatora obowiązków na przedsiębiorstwa, które kontrolują dostęp do użytkowników końcowych. Zgodnie bowiem z treścią przepisu art. 45 Pt, który stanowi implementację przywołanego powyżej postanowienia Dyrektywy o dostępie, wynika, </w:t>
      </w:r>
      <w:r>
        <w:br/>
        <w:t xml:space="preserve">że </w:t>
      </w:r>
      <w:r w:rsidRPr="00265DC7">
        <w:rPr>
          <w:i/>
        </w:rPr>
        <w:t xml:space="preserve">„Prezes UKE może, biorąc pod uwagę adekwatność danego obowiązku </w:t>
      </w:r>
      <w:r>
        <w:rPr>
          <w:i/>
        </w:rPr>
        <w:br/>
      </w:r>
      <w:r w:rsidRPr="00265DC7">
        <w:rPr>
          <w:i/>
        </w:rPr>
        <w:t>do zidentyfikowanego problemu, proporcjonalność oraz cele określone w art. 1</w:t>
      </w:r>
      <w:r>
        <w:rPr>
          <w:i/>
        </w:rPr>
        <w:br/>
      </w:r>
      <w:r w:rsidRPr="00265DC7">
        <w:rPr>
          <w:i/>
        </w:rPr>
        <w:t>ust. 2, z uwzględnieniem art. 1 ust. 3, w drodze decyzji, nałożyć na przedsiębiorcę telekomunikacyjnego kontrolującego dostęp do użytkowników końcowych obowiązki regulacyjne niezbędne do zapewnienia użytkownikom końcowym tego przedsiębiorcy telekomunikacyjnego komunikowania się z użytkownikami innego przedsiębiorcy telekomunikacyjnego, w tym obowiązek wzajemnego połączenia sieci</w:t>
      </w:r>
      <w:r w:rsidRPr="00265DC7">
        <w:t xml:space="preserve">”. </w:t>
      </w:r>
      <w:r>
        <w:t xml:space="preserve">Należy jednak zauważyć, iż przedmiotowy zarzut Netii jest całkowicie niezwiązany </w:t>
      </w:r>
      <w:r>
        <w:br/>
        <w:t xml:space="preserve">z przedmiotem niniejszego postępowania. Kwestia kontrolowania przez Netię dostępu do użytkowników końcowych lub braku takiej kontroli (zgodnie </w:t>
      </w:r>
      <w:r>
        <w:br/>
        <w:t xml:space="preserve">z ww. art. 45 Pt) nie jest bowiem przedmiotem badania w zakresie usługi tranzytu, której dotyczy spór międzyoperatorski między OPL i Netią, rozstrzygany przez Prezesa UKE na podstawie art. 28 ust. 1 Pt (omówionym szerzej w dalszej części uzasadnienia niniejszej decyzji). Co więcej, jak podniosła sama Netia, usługa tranzytu nie jest związana z kontrolowaniem dostępu do użytkowników końcowych (o czym mowa w przywołanym przez Netię w piśmie z dnia 25 listopada 2013 r. </w:t>
      </w:r>
      <w:r>
        <w:br/>
        <w:t xml:space="preserve">postanowieniu art. 5 ust. 1 lit. a Dyrektywy o dostępie, zaimplementowanym </w:t>
      </w:r>
      <w:r>
        <w:br/>
        <w:t xml:space="preserve">w ramach art. 45 Pt). W związku z powyższym również zarzut Netii, iż </w:t>
      </w:r>
      <w:r w:rsidRPr="00662716">
        <w:rPr>
          <w:i/>
        </w:rPr>
        <w:t xml:space="preserve">nie sposób, </w:t>
      </w:r>
      <w:r>
        <w:rPr>
          <w:i/>
        </w:rPr>
        <w:br/>
      </w:r>
      <w:r w:rsidRPr="00662716">
        <w:rPr>
          <w:i/>
        </w:rPr>
        <w:t>w przypadku tranzytu, stwierdzić by występowała w tej usłud</w:t>
      </w:r>
      <w:r>
        <w:rPr>
          <w:i/>
        </w:rPr>
        <w:t>ze cecha wzajemności, skoro jej</w:t>
      </w:r>
      <w:r w:rsidRPr="00662716">
        <w:rPr>
          <w:i/>
        </w:rPr>
        <w:t xml:space="preserve"> istotą jest zapewnienie możliwości kierowania połączeń</w:t>
      </w:r>
      <w:r>
        <w:rPr>
          <w:i/>
        </w:rPr>
        <w:t xml:space="preserve"> </w:t>
      </w:r>
      <w:r w:rsidRPr="00662716">
        <w:rPr>
          <w:i/>
        </w:rPr>
        <w:t>do podmiotu trzeciego, który jednocześnie może kierować połączenia wychodzące z własnej sieci zupełnie inną drogą (</w:t>
      </w:r>
      <w:proofErr w:type="spellStart"/>
      <w:r w:rsidRPr="00662716">
        <w:rPr>
          <w:i/>
        </w:rPr>
        <w:t>tranzytując</w:t>
      </w:r>
      <w:proofErr w:type="spellEnd"/>
      <w:r w:rsidRPr="00662716">
        <w:rPr>
          <w:i/>
        </w:rPr>
        <w:t xml:space="preserve"> przez sieć innego przedsiębiorcy</w:t>
      </w:r>
      <w:r>
        <w:rPr>
          <w:i/>
        </w:rPr>
        <w:t>)”</w:t>
      </w:r>
      <w:r w:rsidRPr="0003266C">
        <w:t xml:space="preserve">, jako nie odnoszący się do przedmiotu niniejszego postępowania, należy uznać </w:t>
      </w:r>
      <w:r>
        <w:br/>
      </w:r>
      <w:r w:rsidRPr="0003266C">
        <w:t>za bezprzedmiotowy.</w:t>
      </w:r>
      <w:r w:rsidRPr="00AD5C16">
        <w:t xml:space="preserve"> </w:t>
      </w:r>
    </w:p>
    <w:p w:rsidR="00815506" w:rsidRDefault="00815506">
      <w:pPr>
        <w:autoSpaceDE w:val="0"/>
        <w:autoSpaceDN w:val="0"/>
        <w:spacing w:before="120" w:after="120"/>
        <w:jc w:val="both"/>
      </w:pPr>
      <w:r>
        <w:t xml:space="preserve">Podsumowując całość ww. rozważań, biorąc pod uwagę fakt, że </w:t>
      </w:r>
      <w:r w:rsidRPr="003A5C25">
        <w:t xml:space="preserve">obowiązek negocjowania wynikający z przepisów prawa dotyczy połączenia sieci, do którego </w:t>
      </w:r>
      <w:r>
        <w:br/>
      </w:r>
      <w:r w:rsidRPr="003A5C25">
        <w:t>to pojęcia, co zostało wskazane powyżej, zalicza się usługę tranzytu</w:t>
      </w:r>
      <w:r>
        <w:t xml:space="preserve"> (której dotyczył Wniosek, zawierający żądanie rozstrzygnięcia kwestii dotyczących zasad rozliczeń </w:t>
      </w:r>
      <w:r>
        <w:br/>
        <w:t>i warunków wypowiedzenia Umowy o Połączeniu Sieci w zakresie tej usługi)</w:t>
      </w:r>
      <w:r w:rsidRPr="003A5C25">
        <w:t>, Pr</w:t>
      </w:r>
      <w:r>
        <w:t xml:space="preserve">ezes UKE stwierdził, że </w:t>
      </w:r>
      <w:r w:rsidRPr="00180AE1">
        <w:t xml:space="preserve">przysługuje </w:t>
      </w:r>
      <w:r>
        <w:t xml:space="preserve">mu </w:t>
      </w:r>
      <w:r w:rsidRPr="00180AE1">
        <w:t xml:space="preserve">kompetencja do rozpatrzenia sporu międzyoperatorskiego w oparciu o </w:t>
      </w:r>
      <w:r>
        <w:t>W</w:t>
      </w:r>
      <w:r w:rsidRPr="00180AE1">
        <w:t>niosek złożony na podstawie art. 27 ust. 2 Pt, dotyczący tranzytu połączeń w sieci stacjonarnej</w:t>
      </w:r>
      <w:r>
        <w:t xml:space="preserve"> Netii</w:t>
      </w:r>
      <w:r w:rsidRPr="00180AE1">
        <w:t xml:space="preserve">. </w:t>
      </w:r>
      <w:r w:rsidRPr="00CE084B">
        <w:t xml:space="preserve">Biorąc powyższe pod uwagę należy stwierdzić, że w niniejszej sprawie zostały spełnione wymogi formalne </w:t>
      </w:r>
      <w:r>
        <w:br/>
      </w:r>
      <w:r w:rsidRPr="00CE084B">
        <w:t xml:space="preserve">do wydania przez Prezesa UKE decyzji o dostępie telekomunikacyjnym </w:t>
      </w:r>
      <w:r>
        <w:br/>
      </w:r>
      <w:r w:rsidRPr="00CE084B">
        <w:t>na podstawie art. 28</w:t>
      </w:r>
      <w:r>
        <w:t xml:space="preserve"> ust. 1</w:t>
      </w:r>
      <w:r w:rsidRPr="00CE084B">
        <w:t xml:space="preserve"> Pt</w:t>
      </w:r>
      <w:r>
        <w:t xml:space="preserve">. W związku z powyższym Prezes UKE za zasadne uznał merytoryczne rozpoznanie Wniosku, w tym jego analizę pod kątem spełnienia przesłanek, o których mowa w art. 28 ust. 1 Pt (o czym będzie mowa dalej </w:t>
      </w:r>
      <w:r>
        <w:br/>
        <w:t>w uzasadnieniu niniejszej decyzji).</w:t>
      </w:r>
    </w:p>
    <w:p w:rsidR="00815506" w:rsidRDefault="00815506" w:rsidP="00BA07F4">
      <w:pPr>
        <w:spacing w:before="160"/>
        <w:jc w:val="both"/>
      </w:pPr>
      <w:r w:rsidRPr="00DA47E4">
        <w:t>Analiza Wniosku wskazuje</w:t>
      </w:r>
      <w:r>
        <w:t xml:space="preserve">, że OPL wniosła o zmianę przez Prezesa UKE Umowy </w:t>
      </w:r>
      <w:r>
        <w:br/>
        <w:t xml:space="preserve">o Połączeniu sieci w zakresie: możliwości wypowiedzenia przez OPL Umowy </w:t>
      </w:r>
      <w:r>
        <w:br/>
        <w:t xml:space="preserve">o Połączeniu Sieci w części określającej warunki świadczenia przez Netię na rzecz OPL usługi tranzytu w sieci Netii z zachowaniem jednomiesięcznego okresu wypowiedzenia (poprzez wprowadzenie dodatkowych zapisów w Części Ogólnej Umowy, w art. 16 „Rozwiązanie Umowy) oraz wprowadzenie w Części Finansowej Umowy o Połączeniu Sieci </w:t>
      </w:r>
      <w:r w:rsidRPr="00C27C1D">
        <w:t>– w art. 7 ust. 9</w:t>
      </w:r>
      <w:r w:rsidRPr="00DF0DAA">
        <w:rPr>
          <w:color w:val="FFC000"/>
        </w:rPr>
        <w:t xml:space="preserve"> </w:t>
      </w:r>
      <w:r>
        <w:t xml:space="preserve">„Stawki należne Netii za tranzyt w Sieci </w:t>
      </w:r>
      <w:r>
        <w:lastRenderedPageBreak/>
        <w:t xml:space="preserve">Netii”, zapisów w tym celu, aby stawka jaką uiszcza OPL za zakończenie połączenia w sieci innego operatora poprzez sieć Netii, nie była wyższa niż stawki </w:t>
      </w:r>
      <w:r>
        <w:br/>
        <w:t>za zakończenie połączeń w sieci Netii.</w:t>
      </w:r>
    </w:p>
    <w:p w:rsidR="00815506" w:rsidRDefault="00815506" w:rsidP="00BA07F4">
      <w:pPr>
        <w:spacing w:before="160"/>
        <w:jc w:val="both"/>
      </w:pPr>
      <w:r>
        <w:t xml:space="preserve">Przechodząc zatem do merytorycznego rozpatrzenia niniejszej sprawy, której przedmiotem jest zmiana Umowy o Połączeniu Sieci zgodnie z Wnioskiem </w:t>
      </w:r>
      <w:r>
        <w:br/>
        <w:t>(w sposób wyżej opisany), Prezes UKE wskazuje, że s</w:t>
      </w:r>
      <w:r w:rsidRPr="00057BC1">
        <w:t xml:space="preserve">tosownie do </w:t>
      </w:r>
      <w:r w:rsidRPr="006E3CEB">
        <w:t>art. 30 ust. 1 Pt, do zmian umów o dostępie telekomunikacyjnym stosuje się odpowiednio przepisy art. 26</w:t>
      </w:r>
      <w:r>
        <w:t xml:space="preserve"> </w:t>
      </w:r>
      <w:r w:rsidRPr="006E3CEB">
        <w:t>-</w:t>
      </w:r>
      <w:r>
        <w:t xml:space="preserve"> </w:t>
      </w:r>
      <w:r w:rsidRPr="006E3CEB">
        <w:t>28 i art. 33 Pt</w:t>
      </w:r>
      <w:r>
        <w:t xml:space="preserve"> (dotyczące wydawania decyzji administracyjnych o dostępie telekomunikacyjnym)</w:t>
      </w:r>
      <w:r w:rsidRPr="006E3CEB">
        <w:t>.</w:t>
      </w:r>
    </w:p>
    <w:p w:rsidR="00815506" w:rsidRPr="004C7D5C" w:rsidRDefault="00815506" w:rsidP="001B6C73">
      <w:pPr>
        <w:pStyle w:val="Tekstpodstawowy3"/>
        <w:spacing w:before="120"/>
      </w:pPr>
      <w:r>
        <w:t xml:space="preserve">Zgodnie zatem ze znajdującym w niniejszej sprawie odpowiednie zastosowanie, </w:t>
      </w:r>
      <w:r>
        <w:br/>
        <w:t xml:space="preserve">w związku z ww. przepisem art. 30 ust. 1 Pt, przepisem </w:t>
      </w:r>
      <w:r w:rsidRPr="00057BC1">
        <w:t xml:space="preserve">art. 28 ust. 1 Pt, Prezes UKE podejmuje decyzję o </w:t>
      </w:r>
      <w:r>
        <w:t xml:space="preserve">zmianie umowy o </w:t>
      </w:r>
      <w:r w:rsidRPr="00057BC1">
        <w:t xml:space="preserve">dostępie telekomunikacyjnym w terminie </w:t>
      </w:r>
      <w:r>
        <w:br/>
      </w:r>
      <w:r w:rsidRPr="00057BC1">
        <w:t xml:space="preserve">90 dni od dnia złożenia wniosku o </w:t>
      </w:r>
      <w:r>
        <w:t>zmianę</w:t>
      </w:r>
      <w:r w:rsidRPr="00057BC1">
        <w:t xml:space="preserve"> umowy o dostępie telekomunikacyjnym, biorąc pod uwagę następujące kryteria:</w:t>
      </w:r>
    </w:p>
    <w:p w:rsidR="00815506" w:rsidRPr="004C7D5C" w:rsidRDefault="00815506" w:rsidP="00C56D4D">
      <w:pPr>
        <w:pStyle w:val="Wypunktowaniemocne"/>
        <w:numPr>
          <w:ilvl w:val="0"/>
          <w:numId w:val="29"/>
        </w:numPr>
        <w:tabs>
          <w:tab w:val="clear" w:pos="360"/>
          <w:tab w:val="clear" w:pos="1080"/>
          <w:tab w:val="num" w:pos="426"/>
        </w:tabs>
        <w:suppressAutoHyphens w:val="0"/>
        <w:spacing w:before="120" w:after="120"/>
        <w:ind w:left="284" w:hanging="284"/>
        <w:rPr>
          <w:lang w:eastAsia="pl-PL"/>
        </w:rPr>
      </w:pPr>
      <w:r w:rsidRPr="004C7D5C">
        <w:rPr>
          <w:lang w:eastAsia="pl-PL"/>
        </w:rPr>
        <w:t>interes użytkowników sieci telekomunikacyjnych;</w:t>
      </w:r>
    </w:p>
    <w:p w:rsidR="00815506" w:rsidRDefault="00815506" w:rsidP="00C56D4D">
      <w:pPr>
        <w:pStyle w:val="Wypunktowaniemocne"/>
        <w:numPr>
          <w:ilvl w:val="0"/>
          <w:numId w:val="29"/>
        </w:numPr>
        <w:tabs>
          <w:tab w:val="clear" w:pos="360"/>
          <w:tab w:val="clear" w:pos="1080"/>
          <w:tab w:val="num" w:pos="426"/>
        </w:tabs>
        <w:suppressAutoHyphens w:val="0"/>
        <w:spacing w:before="120" w:after="120"/>
        <w:ind w:left="284" w:hanging="284"/>
        <w:rPr>
          <w:lang w:eastAsia="pl-PL"/>
        </w:rPr>
      </w:pPr>
      <w:r w:rsidRPr="004C7D5C">
        <w:rPr>
          <w:lang w:eastAsia="pl-PL"/>
        </w:rPr>
        <w:t>obowiązki nałożone na przedsiębiorców telekomunikacyjnych;</w:t>
      </w:r>
    </w:p>
    <w:p w:rsidR="00815506" w:rsidRDefault="00815506" w:rsidP="00C56D4D">
      <w:pPr>
        <w:pStyle w:val="Wypunktowaniemocne"/>
        <w:tabs>
          <w:tab w:val="clear" w:pos="360"/>
        </w:tabs>
        <w:suppressAutoHyphens w:val="0"/>
        <w:spacing w:before="120" w:after="120"/>
        <w:ind w:left="426" w:hanging="426"/>
        <w:rPr>
          <w:lang w:eastAsia="pl-PL"/>
        </w:rPr>
      </w:pPr>
      <w:r>
        <w:rPr>
          <w:lang w:eastAsia="pl-PL"/>
        </w:rPr>
        <w:t>2a) rozwój nowoczesnej infrastruktury telekomunikacyjnej, w tym promowanie efektywnego inwestowania w dziedzinie infrastruktury oraz technologii innowacyjnych;</w:t>
      </w:r>
    </w:p>
    <w:p w:rsidR="00815506" w:rsidRPr="004C7D5C" w:rsidRDefault="00815506" w:rsidP="00C56D4D">
      <w:pPr>
        <w:pStyle w:val="Wypunktowaniemocne"/>
        <w:numPr>
          <w:ilvl w:val="0"/>
          <w:numId w:val="29"/>
        </w:numPr>
        <w:tabs>
          <w:tab w:val="clear" w:pos="1080"/>
          <w:tab w:val="num" w:pos="360"/>
        </w:tabs>
        <w:suppressAutoHyphens w:val="0"/>
        <w:spacing w:before="120" w:after="120"/>
        <w:ind w:left="284" w:hanging="284"/>
        <w:rPr>
          <w:lang w:eastAsia="pl-PL"/>
        </w:rPr>
      </w:pPr>
      <w:r>
        <w:rPr>
          <w:lang w:eastAsia="pl-PL"/>
        </w:rPr>
        <w:t>promocję nowoczesnych usług telekomunikacyjnych;</w:t>
      </w:r>
    </w:p>
    <w:p w:rsidR="00815506" w:rsidRPr="004C7D5C" w:rsidRDefault="00815506" w:rsidP="00C56D4D">
      <w:pPr>
        <w:pStyle w:val="Tekstpodstawowywcity3"/>
        <w:numPr>
          <w:ilvl w:val="0"/>
          <w:numId w:val="29"/>
        </w:numPr>
        <w:tabs>
          <w:tab w:val="clear" w:pos="1080"/>
        </w:tabs>
        <w:spacing w:before="120"/>
        <w:ind w:left="284" w:hanging="284"/>
        <w:jc w:val="both"/>
        <w:rPr>
          <w:sz w:val="24"/>
          <w:szCs w:val="24"/>
        </w:rPr>
      </w:pPr>
      <w:r w:rsidRPr="004C7D5C">
        <w:rPr>
          <w:sz w:val="24"/>
          <w:szCs w:val="24"/>
        </w:rPr>
        <w:t>charakter zaistniałych kwestii spornych oraz praktyczną możliwość wdrożenia rozwiązań dotyczących technicznych i ekonomicznych aspektów dostępu telekomunikacyjnego, zarówno zaproponowanych przez przedsiębiorców telekomunikacyjnych będących stronami negocjacji, jak też mogących stanowić rozwiązania alternatywne;</w:t>
      </w:r>
    </w:p>
    <w:p w:rsidR="00815506" w:rsidRPr="004C7D5C" w:rsidRDefault="00815506" w:rsidP="00C56D4D">
      <w:pPr>
        <w:pStyle w:val="Tekstpodstawowy3"/>
        <w:numPr>
          <w:ilvl w:val="0"/>
          <w:numId w:val="29"/>
        </w:numPr>
        <w:tabs>
          <w:tab w:val="right" w:pos="360"/>
          <w:tab w:val="left" w:pos="408"/>
        </w:tabs>
        <w:spacing w:before="120" w:after="120"/>
        <w:ind w:left="284" w:hanging="284"/>
      </w:pPr>
      <w:r w:rsidRPr="004C7D5C">
        <w:t>zapewnienie:</w:t>
      </w:r>
    </w:p>
    <w:p w:rsidR="00815506" w:rsidRDefault="00815506" w:rsidP="00C56D4D">
      <w:pPr>
        <w:numPr>
          <w:ilvl w:val="0"/>
          <w:numId w:val="33"/>
        </w:numPr>
        <w:tabs>
          <w:tab w:val="clear" w:pos="1080"/>
        </w:tabs>
        <w:spacing w:before="120" w:after="120"/>
        <w:ind w:left="709" w:hanging="284"/>
        <w:jc w:val="both"/>
      </w:pPr>
      <w:r>
        <w:t xml:space="preserve">integralności sieci oraz </w:t>
      </w:r>
      <w:proofErr w:type="spellStart"/>
      <w:r>
        <w:t>interoperacyjności</w:t>
      </w:r>
      <w:proofErr w:type="spellEnd"/>
      <w:r>
        <w:t xml:space="preserve"> usług;</w:t>
      </w:r>
    </w:p>
    <w:p w:rsidR="00815506" w:rsidRPr="004C7D5C" w:rsidRDefault="00815506" w:rsidP="00C56D4D">
      <w:pPr>
        <w:numPr>
          <w:ilvl w:val="0"/>
          <w:numId w:val="33"/>
        </w:numPr>
        <w:tabs>
          <w:tab w:val="clear" w:pos="1080"/>
        </w:tabs>
        <w:spacing w:before="120" w:after="120"/>
        <w:ind w:left="709" w:hanging="284"/>
        <w:jc w:val="both"/>
      </w:pPr>
      <w:r w:rsidRPr="004C7D5C">
        <w:t>niedyskryminujących warunków dostępu telekomunikacyjnego,</w:t>
      </w:r>
    </w:p>
    <w:p w:rsidR="00815506" w:rsidRPr="004C7D5C" w:rsidRDefault="00815506" w:rsidP="00C56D4D">
      <w:pPr>
        <w:numPr>
          <w:ilvl w:val="0"/>
          <w:numId w:val="33"/>
        </w:numPr>
        <w:tabs>
          <w:tab w:val="clear" w:pos="1080"/>
        </w:tabs>
        <w:spacing w:before="120" w:after="120"/>
        <w:ind w:left="709" w:hanging="284"/>
        <w:jc w:val="both"/>
      </w:pPr>
      <w:r w:rsidRPr="004C7D5C">
        <w:t>rozwoju konkurencyjnego rynku usług telekomunikacyjnych;</w:t>
      </w:r>
    </w:p>
    <w:p w:rsidR="00815506" w:rsidRDefault="00815506" w:rsidP="00C56D4D">
      <w:pPr>
        <w:numPr>
          <w:ilvl w:val="0"/>
          <w:numId w:val="29"/>
        </w:numPr>
        <w:tabs>
          <w:tab w:val="right" w:pos="360"/>
        </w:tabs>
        <w:spacing w:before="120" w:after="120"/>
        <w:ind w:left="284" w:hanging="284"/>
        <w:jc w:val="both"/>
      </w:pPr>
      <w:r w:rsidRPr="004C7D5C">
        <w:t xml:space="preserve">pozycje rynkowe przedsiębiorców telekomunikacyjnych, których sieci </w:t>
      </w:r>
      <w:r w:rsidRPr="004C7D5C">
        <w:br/>
        <w:t>są łączone;</w:t>
      </w:r>
    </w:p>
    <w:p w:rsidR="00815506" w:rsidRDefault="00815506" w:rsidP="00C56D4D">
      <w:pPr>
        <w:numPr>
          <w:ilvl w:val="0"/>
          <w:numId w:val="29"/>
        </w:numPr>
        <w:tabs>
          <w:tab w:val="right" w:pos="360"/>
        </w:tabs>
        <w:spacing w:before="120" w:after="120"/>
        <w:ind w:left="284" w:hanging="284"/>
        <w:jc w:val="both"/>
      </w:pPr>
      <w:r>
        <w:t>interes publiczny, w tym ochronę środowiska;</w:t>
      </w:r>
    </w:p>
    <w:p w:rsidR="00815506" w:rsidRPr="004C7D5C" w:rsidRDefault="00815506" w:rsidP="00C56D4D">
      <w:pPr>
        <w:numPr>
          <w:ilvl w:val="0"/>
          <w:numId w:val="29"/>
        </w:numPr>
        <w:tabs>
          <w:tab w:val="right" w:pos="360"/>
        </w:tabs>
        <w:spacing w:before="120" w:after="120"/>
        <w:ind w:left="284" w:hanging="284"/>
        <w:jc w:val="both"/>
      </w:pPr>
      <w:r>
        <w:t>utrzymanie ciągłości świadczenia usługi powszechnej.</w:t>
      </w:r>
    </w:p>
    <w:p w:rsidR="00815506" w:rsidRDefault="00815506" w:rsidP="002E700E">
      <w:pPr>
        <w:tabs>
          <w:tab w:val="right" w:pos="360"/>
        </w:tabs>
        <w:spacing w:after="120"/>
        <w:jc w:val="both"/>
      </w:pPr>
      <w:r w:rsidRPr="00CE084B">
        <w:t xml:space="preserve">W odniesieniu do powyższych przesłanek w doktrynie wskazuje się, </w:t>
      </w:r>
      <w:r>
        <w:br/>
      </w:r>
      <w:r w:rsidRPr="00CE084B">
        <w:t>iż</w:t>
      </w:r>
      <w:r>
        <w:t xml:space="preserve"> </w:t>
      </w:r>
      <w:r w:rsidRPr="00CE084B">
        <w:rPr>
          <w:i/>
        </w:rPr>
        <w:t xml:space="preserve">„merytoryczne przesłanki w sprawie dostępu telekomunikacyjnego zostały bardzo rozbudowane. Kryteria wymienione w ust. 1 </w:t>
      </w:r>
      <w:r w:rsidRPr="00CE084B">
        <w:rPr>
          <w:i/>
          <w:u w:val="single"/>
        </w:rPr>
        <w:t>muszą być brane pod uwagę łącznie</w:t>
      </w:r>
      <w:r w:rsidRPr="00CE084B">
        <w:rPr>
          <w:i/>
        </w:rPr>
        <w:t xml:space="preserve">. Ustawa nie wskazuje ich hierarchii, przy czym niektóre z nich mają charakter bezwzględny, a pozostałe </w:t>
      </w:r>
      <w:r w:rsidRPr="00CE084B">
        <w:rPr>
          <w:i/>
          <w:u w:val="single"/>
        </w:rPr>
        <w:t>mogą być spełnione w różnym stopniu</w:t>
      </w:r>
      <w:r w:rsidRPr="00CE084B">
        <w:rPr>
          <w:i/>
        </w:rPr>
        <w:t>. Prezes</w:t>
      </w:r>
      <w:r>
        <w:rPr>
          <w:i/>
        </w:rPr>
        <w:t xml:space="preserve"> UKE</w:t>
      </w:r>
      <w:r w:rsidRPr="00CE084B">
        <w:rPr>
          <w:i/>
        </w:rPr>
        <w:t xml:space="preserve"> powinien podejmować decyzję w taki sposób, aby uzyskać możliwie najbardziej korzystny rezultat w świetle wymienionych w ust. 1 </w:t>
      </w:r>
      <w:r>
        <w:rPr>
          <w:i/>
        </w:rPr>
        <w:t>kryteriów</w:t>
      </w:r>
      <w:r w:rsidRPr="00CE084B">
        <w:t>” (</w:t>
      </w:r>
      <w:r w:rsidRPr="00CE084B">
        <w:rPr>
          <w:iCs/>
        </w:rPr>
        <w:t>S. Piątek, Prawo telekomunikacyjne, Komentarz, Wydawnictwo C. H. Beck, Warszawa 20</w:t>
      </w:r>
      <w:r>
        <w:rPr>
          <w:iCs/>
        </w:rPr>
        <w:t>13</w:t>
      </w:r>
      <w:r w:rsidRPr="00CE084B">
        <w:rPr>
          <w:iCs/>
        </w:rPr>
        <w:t>, str. 2</w:t>
      </w:r>
      <w:r>
        <w:rPr>
          <w:iCs/>
        </w:rPr>
        <w:t>48</w:t>
      </w:r>
      <w:r w:rsidRPr="00CE084B">
        <w:rPr>
          <w:iCs/>
        </w:rPr>
        <w:t xml:space="preserve">). Aby zatem Prezes UKE był uprawniony do dokonania zmiany umowy </w:t>
      </w:r>
      <w:r w:rsidRPr="00CE084B">
        <w:rPr>
          <w:iCs/>
        </w:rPr>
        <w:br/>
        <w:t xml:space="preserve">o dostępie telekomunikacyjnym, muszą ziścić się (zostać spełnione w mniejszym </w:t>
      </w:r>
      <w:r>
        <w:rPr>
          <w:iCs/>
        </w:rPr>
        <w:br/>
      </w:r>
      <w:r w:rsidRPr="00CE084B">
        <w:rPr>
          <w:iCs/>
        </w:rPr>
        <w:t xml:space="preserve">lub większym stopniu) przesłanki określone w art. 28 ust. 1 Pt. Natomiast samo </w:t>
      </w:r>
      <w:r w:rsidRPr="00CE084B">
        <w:rPr>
          <w:iCs/>
        </w:rPr>
        <w:lastRenderedPageBreak/>
        <w:t>wystąpienie kwestii spornych pomiędzy stronami postępowania nie jest warunkiem wystarczającym do ingerencji Prezesa UKE w treść umowy o dostępie telekomunikacyjnym i konieczności jej zmiany. Powyższe, w ocenie Prezesa UKE, oznacza, iż w przypadku</w:t>
      </w:r>
      <w:r>
        <w:rPr>
          <w:iCs/>
        </w:rPr>
        <w:t>,</w:t>
      </w:r>
      <w:r w:rsidRPr="00CE084B">
        <w:rPr>
          <w:iCs/>
        </w:rPr>
        <w:t xml:space="preserve"> gdy wnioskowana w danym postępowaniu zmiana umowy o dostępie telekomunikacyjnym stoi w sprzeczności z którąkolwiek z w</w:t>
      </w:r>
      <w:r>
        <w:rPr>
          <w:iCs/>
        </w:rPr>
        <w:t>w.</w:t>
      </w:r>
      <w:r w:rsidRPr="00CE084B">
        <w:rPr>
          <w:iCs/>
        </w:rPr>
        <w:t xml:space="preserve"> przesłanek wskazanych w art. 28 ust. 1 Pt, Prezes UKE powinien odmówić dokonania takiej zmiany. Jednocześnie należy podkreślić, iż wystarczającym dla odmowy zmiany umowy o dostępie telekomunikacyjnym jest sprzeczność proponowanego rozstrzygnięcia z którąkolwiek z przesłanek określonych w art. 28 ust. 1 Pt, nie jest natomiast konieczne, aby rozważana zmiana umowy o dostępie telekomunikacyjnym musiała stać w sprzeczności łącznie z wszystkimi przesłankami określonymi </w:t>
      </w:r>
      <w:r>
        <w:rPr>
          <w:iCs/>
        </w:rPr>
        <w:br/>
      </w:r>
      <w:r w:rsidRPr="00CE084B">
        <w:rPr>
          <w:iCs/>
        </w:rPr>
        <w:t xml:space="preserve">w art. 28 ust. 1 Pt. W praktyce mogą bowiem zaistnieć sytuacje, w których część </w:t>
      </w:r>
      <w:r>
        <w:rPr>
          <w:iCs/>
        </w:rPr>
        <w:br/>
      </w:r>
      <w:r w:rsidRPr="00CE084B">
        <w:rPr>
          <w:iCs/>
        </w:rPr>
        <w:t xml:space="preserve">z określonych w art. 28 ust. 1 Pt przesłanek może przemawiać za zmianą umowy </w:t>
      </w:r>
      <w:r>
        <w:rPr>
          <w:iCs/>
        </w:rPr>
        <w:br/>
      </w:r>
      <w:r w:rsidRPr="00CE084B">
        <w:rPr>
          <w:iCs/>
        </w:rPr>
        <w:t xml:space="preserve">o dostępie telekomunikacyjnym, natomiast część może wykluczać takie rozstrzygnięcie. </w:t>
      </w:r>
      <w:r w:rsidR="00B9662A">
        <w:rPr>
          <w:iCs/>
        </w:rPr>
        <w:t xml:space="preserve">Brak spełnienia którejkolwiek </w:t>
      </w:r>
      <w:r w:rsidRPr="00CE084B">
        <w:rPr>
          <w:iCs/>
        </w:rPr>
        <w:t xml:space="preserve">z przesłanek z art. 28 ust. 1 Pt uprawnia w takiej sytuacji Prezesa UKE do wydania decyzji odmawiającej zmiany umowy </w:t>
      </w:r>
      <w:r w:rsidR="00BD1CA2">
        <w:rPr>
          <w:iCs/>
        </w:rPr>
        <w:t>o dostępie telekomunikacyjnym.</w:t>
      </w:r>
    </w:p>
    <w:p w:rsidR="00815506" w:rsidRDefault="00815506" w:rsidP="005645A8">
      <w:pPr>
        <w:spacing w:before="120" w:after="120"/>
        <w:jc w:val="both"/>
      </w:pPr>
      <w:r>
        <w:rPr>
          <w:color w:val="000000"/>
        </w:rPr>
        <w:t xml:space="preserve">Biorąc pod uwagę powyższe rozważania, </w:t>
      </w:r>
      <w:r w:rsidRPr="00007ADB">
        <w:rPr>
          <w:color w:val="000000"/>
        </w:rPr>
        <w:t>Prezes UKE, rozstrzygając w niniejszej sprawie</w:t>
      </w:r>
      <w:r>
        <w:rPr>
          <w:color w:val="000000"/>
        </w:rPr>
        <w:t>,</w:t>
      </w:r>
      <w:r w:rsidRPr="00007ADB">
        <w:rPr>
          <w:color w:val="000000"/>
        </w:rPr>
        <w:t xml:space="preserve"> wnikliwie rozpatrzył przesłanki</w:t>
      </w:r>
      <w:r>
        <w:rPr>
          <w:color w:val="000000"/>
        </w:rPr>
        <w:t>,</w:t>
      </w:r>
      <w:r w:rsidRPr="00007ADB">
        <w:rPr>
          <w:color w:val="000000"/>
        </w:rPr>
        <w:t xml:space="preserve"> o których mowa w art. 28 ust. 1 Pt</w:t>
      </w:r>
      <w:r>
        <w:rPr>
          <w:color w:val="000000"/>
        </w:rPr>
        <w:t xml:space="preserve">, </w:t>
      </w:r>
      <w:r>
        <w:rPr>
          <w:color w:val="000000"/>
        </w:rPr>
        <w:br/>
      </w:r>
      <w:r w:rsidRPr="00007ADB">
        <w:t xml:space="preserve">w szczególności </w:t>
      </w:r>
      <w:r>
        <w:t xml:space="preserve">biorąc </w:t>
      </w:r>
      <w:r w:rsidRPr="00007ADB">
        <w:t>pod uwagę</w:t>
      </w:r>
      <w:r>
        <w:t xml:space="preserve"> przesłanki takie jak:</w:t>
      </w:r>
      <w:r w:rsidRPr="004C7D5C" w:rsidDel="005645A8">
        <w:t xml:space="preserve"> </w:t>
      </w:r>
      <w:r w:rsidRPr="004C7D5C">
        <w:t xml:space="preserve">interes użytkowników sieci telekomunikacyjnych (art. 28 ust. 1 </w:t>
      </w:r>
      <w:proofErr w:type="spellStart"/>
      <w:r w:rsidRPr="004C7D5C">
        <w:t>pkt</w:t>
      </w:r>
      <w:proofErr w:type="spellEnd"/>
      <w:r w:rsidRPr="004C7D5C">
        <w:t xml:space="preserve"> 1 Pt), obowiązki nałożone na strony (art. 28 ust. 1 </w:t>
      </w:r>
      <w:proofErr w:type="spellStart"/>
      <w:r w:rsidRPr="004C7D5C">
        <w:t>pkt</w:t>
      </w:r>
      <w:proofErr w:type="spellEnd"/>
      <w:r w:rsidRPr="004C7D5C">
        <w:t xml:space="preserve"> 2 Pt), zapewnienie niedyskryminujących warunków dostępu</w:t>
      </w:r>
      <w:r>
        <w:t xml:space="preserve"> t</w:t>
      </w:r>
      <w:r w:rsidRPr="004C7D5C">
        <w:t>elekomunikacyjnego</w:t>
      </w:r>
      <w:r>
        <w:t xml:space="preserve"> </w:t>
      </w:r>
      <w:r w:rsidRPr="004C7D5C">
        <w:t xml:space="preserve">(art. 28 ust. 1 </w:t>
      </w:r>
      <w:proofErr w:type="spellStart"/>
      <w:r w:rsidRPr="004C7D5C">
        <w:t>pkt</w:t>
      </w:r>
      <w:proofErr w:type="spellEnd"/>
      <w:r w:rsidRPr="004C7D5C">
        <w:t xml:space="preserve"> 5 lit. b Pt), zapewnienie rozwoju konkurencyjnego rynku usług telekomunikacyjnych (art. 28 ust. 1 </w:t>
      </w:r>
      <w:proofErr w:type="spellStart"/>
      <w:r w:rsidRPr="004C7D5C">
        <w:t>pkt</w:t>
      </w:r>
      <w:proofErr w:type="spellEnd"/>
      <w:r w:rsidRPr="004C7D5C">
        <w:t xml:space="preserve"> 5 lit. c Pt) oraz pozycje rynkowe przedsiębiorców  (art. 28 ust. 1 </w:t>
      </w:r>
      <w:proofErr w:type="spellStart"/>
      <w:r w:rsidRPr="004C7D5C">
        <w:t>pkt</w:t>
      </w:r>
      <w:proofErr w:type="spellEnd"/>
      <w:r w:rsidRPr="004C7D5C">
        <w:t xml:space="preserve"> 6 Pt)</w:t>
      </w:r>
      <w:r>
        <w:t xml:space="preserve">, gdyż te właśnie przesłanki, </w:t>
      </w:r>
      <w:r w:rsidRPr="00CE084B">
        <w:t>ze względu na charakter spornej sprawy, mają zasadnicze znaczenie dla niniejszego rozstrzygnięcia i przemawiają</w:t>
      </w:r>
      <w:r>
        <w:t>,</w:t>
      </w:r>
      <w:r w:rsidRPr="00CE084B">
        <w:t xml:space="preserve"> w ocenie Prezesa UKE</w:t>
      </w:r>
      <w:r>
        <w:t>,</w:t>
      </w:r>
      <w:r w:rsidRPr="00CE084B">
        <w:t xml:space="preserve"> za przyjęciem rozstrzygnięcia </w:t>
      </w:r>
      <w:r>
        <w:t>w przedmiocie odmowy zmiany Umowy o Połączeniu Sieci</w:t>
      </w:r>
      <w:r w:rsidRPr="00CE084B">
        <w:t xml:space="preserve"> </w:t>
      </w:r>
      <w:r>
        <w:t xml:space="preserve">zgodnie z Wnioskiem </w:t>
      </w:r>
      <w:r w:rsidRPr="00CE084B">
        <w:t xml:space="preserve">w niniejszej sprawie. </w:t>
      </w:r>
      <w:r w:rsidRPr="00727809">
        <w:t>Ponadto Prezes UKE uznał, że</w:t>
      </w:r>
      <w:r>
        <w:t>,</w:t>
      </w:r>
      <w:r w:rsidRPr="00727809">
        <w:t xml:space="preserve"> </w:t>
      </w:r>
      <w:r>
        <w:t xml:space="preserve">biorąc pod uwagę przedmiot niniejszego postępowania, którym jest zgodnie z Wnioskiem </w:t>
      </w:r>
      <w:r w:rsidRPr="00180AE1">
        <w:t>zmian</w:t>
      </w:r>
      <w:r>
        <w:t>a</w:t>
      </w:r>
      <w:r w:rsidRPr="00180AE1">
        <w:t xml:space="preserve"> Umowy o Połączeniu Sieci w zakres</w:t>
      </w:r>
      <w:r>
        <w:t xml:space="preserve">ie </w:t>
      </w:r>
      <w:r w:rsidRPr="00180AE1">
        <w:t>wprowadzenia do Umowy</w:t>
      </w:r>
      <w:r>
        <w:t xml:space="preserve"> </w:t>
      </w:r>
      <w:r w:rsidRPr="00180AE1">
        <w:t>o Połączeniu Sieci zapisów dotyczących zasad rozliczania usługi tranzytu w sieci Neti</w:t>
      </w:r>
      <w:r>
        <w:t>i</w:t>
      </w:r>
      <w:r w:rsidRPr="00180AE1">
        <w:t xml:space="preserve"> oraz zapisów umożliwiających OPL wypowiedzenie Umowy o Połączeniu Sieci w części określającej warunki świadczenia przez Netię na rzecz OPL usługi tranzytu w sieci Neti</w:t>
      </w:r>
      <w:r>
        <w:t xml:space="preserve">i, </w:t>
      </w:r>
      <w:r w:rsidRPr="00727809">
        <w:t>wydanie decyzji w przedmiotowym zakresie nie wpłynie na rozwój nowoczesnej infrastruktury telekomunikacyjnej</w:t>
      </w:r>
      <w:r>
        <w:t>, w tym promowanie efektywnego inwestowania w dziedzinie infrastruktury oraz technologii innowacyjnych</w:t>
      </w:r>
      <w:r w:rsidRPr="00727809">
        <w:t xml:space="preserve"> (art. 28 ust. 1 </w:t>
      </w:r>
      <w:proofErr w:type="spellStart"/>
      <w:r w:rsidRPr="00727809">
        <w:t>pkt</w:t>
      </w:r>
      <w:proofErr w:type="spellEnd"/>
      <w:r w:rsidRPr="00727809">
        <w:t xml:space="preserve"> 2a Pt), na kwestię integralności sieci </w:t>
      </w:r>
      <w:r>
        <w:t xml:space="preserve">oraz </w:t>
      </w:r>
      <w:proofErr w:type="spellStart"/>
      <w:r>
        <w:t>interoperacyjności</w:t>
      </w:r>
      <w:proofErr w:type="spellEnd"/>
      <w:r>
        <w:t xml:space="preserve"> usług </w:t>
      </w:r>
      <w:r w:rsidRPr="00727809">
        <w:t xml:space="preserve">(art. 28 ust. 1 </w:t>
      </w:r>
      <w:proofErr w:type="spellStart"/>
      <w:r w:rsidRPr="00727809">
        <w:t>pkt</w:t>
      </w:r>
      <w:proofErr w:type="spellEnd"/>
      <w:r w:rsidRPr="00727809">
        <w:t xml:space="preserve"> 5 lit. a Pt), a także na promocję nowoczesnych usług telekomunikacyjnych (art. 28 ust. 1 </w:t>
      </w:r>
      <w:proofErr w:type="spellStart"/>
      <w:r w:rsidRPr="00727809">
        <w:t>pkt</w:t>
      </w:r>
      <w:proofErr w:type="spellEnd"/>
      <w:r w:rsidRPr="00727809">
        <w:t xml:space="preserve"> 3 Pt)</w:t>
      </w:r>
      <w:r>
        <w:t xml:space="preserve">, </w:t>
      </w:r>
      <w:r w:rsidRPr="00727809">
        <w:t>interes publiczny</w:t>
      </w:r>
      <w:r>
        <w:t>, w tym ochronę środowiska</w:t>
      </w:r>
      <w:r w:rsidRPr="00727809">
        <w:t xml:space="preserve"> (art. 28</w:t>
      </w:r>
      <w:r>
        <w:t xml:space="preserve"> </w:t>
      </w:r>
      <w:r w:rsidRPr="00727809">
        <w:t>ust.</w:t>
      </w:r>
      <w:r>
        <w:t> </w:t>
      </w:r>
      <w:r w:rsidRPr="00727809">
        <w:t>1</w:t>
      </w:r>
      <w:r>
        <w:t> </w:t>
      </w:r>
      <w:proofErr w:type="spellStart"/>
      <w:r w:rsidRPr="00727809">
        <w:t>pkt</w:t>
      </w:r>
      <w:proofErr w:type="spellEnd"/>
      <w:r w:rsidRPr="00727809">
        <w:t xml:space="preserve"> 7 Pt)</w:t>
      </w:r>
      <w:r>
        <w:t xml:space="preserve">, a także utrzymanie ciągłości świadczenia usługi powszechnej (art. 28 ust. 1 </w:t>
      </w:r>
      <w:proofErr w:type="spellStart"/>
      <w:r>
        <w:t>pkt</w:t>
      </w:r>
      <w:proofErr w:type="spellEnd"/>
      <w:r>
        <w:t xml:space="preserve"> 8 Pt)</w:t>
      </w:r>
      <w:r w:rsidRPr="00727809">
        <w:t>.</w:t>
      </w:r>
      <w:r w:rsidRPr="008A1CE8">
        <w:t xml:space="preserve"> </w:t>
      </w:r>
      <w:r>
        <w:t xml:space="preserve">W związku z powyższym ww. przesłanki zawarte w przepisie art. 28 ust. 1 </w:t>
      </w:r>
      <w:proofErr w:type="spellStart"/>
      <w:r>
        <w:t>pkt</w:t>
      </w:r>
      <w:proofErr w:type="spellEnd"/>
      <w:r>
        <w:t>: 2a, 3, 5 lit. a, 7, 8 Pt należało ocenić jako nie mające znaczenia (mające znaczenie neutralne) dla rozstrzygnięcia podjętego w niniejszej sprawie.</w:t>
      </w:r>
    </w:p>
    <w:p w:rsidR="00815506" w:rsidRPr="00CE084B" w:rsidRDefault="00815506" w:rsidP="00A2313E">
      <w:pPr>
        <w:spacing w:before="120"/>
        <w:jc w:val="both"/>
      </w:pPr>
      <w:r w:rsidRPr="004C7D5C">
        <w:t xml:space="preserve">Odnosząc się </w:t>
      </w:r>
      <w:r>
        <w:t xml:space="preserve">w pierwszej kolejności </w:t>
      </w:r>
      <w:r w:rsidRPr="004C7D5C">
        <w:t>do przesłanki pozycji rynkowych przedsiębiorców</w:t>
      </w:r>
      <w:r w:rsidRPr="0058371F">
        <w:t xml:space="preserve">, a więc przesłanki zawartej w art. 28 ust. 1 </w:t>
      </w:r>
      <w:proofErr w:type="spellStart"/>
      <w:r w:rsidRPr="0058371F">
        <w:t>pkt</w:t>
      </w:r>
      <w:proofErr w:type="spellEnd"/>
      <w:r w:rsidRPr="0058371F">
        <w:t xml:space="preserve"> 6</w:t>
      </w:r>
      <w:r>
        <w:t xml:space="preserve"> Pt</w:t>
      </w:r>
      <w:r w:rsidRPr="0058371F">
        <w:t xml:space="preserve">, należy zwrócić uwagę, iż </w:t>
      </w:r>
      <w:r>
        <w:t>P</w:t>
      </w:r>
      <w:r w:rsidRPr="0058371F">
        <w:t xml:space="preserve">ostanowienie </w:t>
      </w:r>
      <w:r>
        <w:t>SMP,</w:t>
      </w:r>
      <w:r w:rsidRPr="0058371F">
        <w:t xml:space="preserve"> zamykające postępowanie w sprawie ustalenia, </w:t>
      </w:r>
      <w:r>
        <w:br/>
      </w:r>
      <w:r w:rsidRPr="0058371F">
        <w:t xml:space="preserve">czy na krajowym rynku świadczenia usługi tranzytu połączeń w stacjonarnej publicznej sieci telefonicznej występuje skuteczna konkurencja, wydane zostało </w:t>
      </w:r>
      <w:r>
        <w:br/>
      </w:r>
      <w:r w:rsidRPr="0058371F">
        <w:lastRenderedPageBreak/>
        <w:t>w związku z ustaleniem,</w:t>
      </w:r>
      <w:r>
        <w:t xml:space="preserve"> </w:t>
      </w:r>
      <w:r w:rsidRPr="0058371F">
        <w:t xml:space="preserve">że na rynku tym nie występuje ani indywidualna </w:t>
      </w:r>
      <w:r>
        <w:br/>
      </w:r>
      <w:r w:rsidRPr="0058371F">
        <w:t xml:space="preserve">ani kolektywna pozycja znacząca przedsiębiorców telekomunikacyjnych. </w:t>
      </w:r>
      <w:r>
        <w:br/>
      </w:r>
      <w:r w:rsidRPr="0058371F">
        <w:t>W postanowieniu tym Prezes UKE wskazał, że</w:t>
      </w:r>
      <w:r w:rsidRPr="0058371F">
        <w:rPr>
          <w:i/>
        </w:rPr>
        <w:t xml:space="preserve"> „po dokonaniu analizy sytuacji panującej na krajowym rynku świadczenia usługi tranzytu połączeń w stacjonarnej publicznej sieci telefonicznej, nie stwierdza występowania decydujących okoliczności, które mogłyby wskazywać na istnienie zarówno indywidualnej, </w:t>
      </w:r>
      <w:r>
        <w:rPr>
          <w:i/>
        </w:rPr>
        <w:br/>
      </w:r>
      <w:r w:rsidRPr="0058371F">
        <w:rPr>
          <w:i/>
        </w:rPr>
        <w:t>jak</w:t>
      </w:r>
      <w:r>
        <w:rPr>
          <w:i/>
        </w:rPr>
        <w:t xml:space="preserve"> </w:t>
      </w:r>
      <w:r w:rsidRPr="0058371F">
        <w:rPr>
          <w:i/>
        </w:rPr>
        <w:t>i kolektywnej pozycji znaczącej przedsiębiorców na nim działających.”</w:t>
      </w:r>
      <w:r w:rsidRPr="0058371F">
        <w:t xml:space="preserve"> </w:t>
      </w:r>
      <w:r w:rsidRPr="00CE084B">
        <w:t xml:space="preserve">Powyższe oznacza, że żaden przedsiębiorca telekomunikacyjny działający na rynku tranzytu połączeń (w tym również </w:t>
      </w:r>
      <w:r>
        <w:t>OPL</w:t>
      </w:r>
      <w:r w:rsidRPr="00CE084B">
        <w:t xml:space="preserve">), nie zajmuje takiej pozycji rynkowej, która umożliwiałaby mu zachowanie się niezależne od jego konkurentów, a więc </w:t>
      </w:r>
      <w:r>
        <w:br/>
      </w:r>
      <w:r w:rsidRPr="00CE084B">
        <w:t xml:space="preserve">i </w:t>
      </w:r>
      <w:r>
        <w:t xml:space="preserve">możliwy wpływ na </w:t>
      </w:r>
      <w:r w:rsidRPr="00CE084B">
        <w:t xml:space="preserve">zniekształcanie </w:t>
      </w:r>
      <w:r>
        <w:t xml:space="preserve">lub ograniczanie </w:t>
      </w:r>
      <w:r w:rsidRPr="00CE084B">
        <w:t>konkurencji.</w:t>
      </w:r>
      <w:r>
        <w:t xml:space="preserve"> Należy również zwrócić uwagę, że zgodnie ze stanowiskiem doktryny </w:t>
      </w:r>
      <w:r w:rsidRPr="006A3C41">
        <w:rPr>
          <w:i/>
        </w:rPr>
        <w:t>„Wymóg uwzględnienia pozycji rynkowych przedsiębiorców nawiązuje głównie do wyników postępowań regulacyjnych prowadzonych w celu ustalenia przedsiębiorców o znaczącej pozycji rynkowej”</w:t>
      </w:r>
      <w:r>
        <w:t xml:space="preserve"> (S. Piątek, Prawo telekomunikacyjne. Komentarz, Warszawa 2013, </w:t>
      </w:r>
      <w:r>
        <w:br/>
        <w:t>s. 250). Biorąc pod uwagę powyższe stanowisko nauki przedmiotu oraz opisane uprzednio okoliczności, z których wynika, że na rynku świadczenia usługi tranzytu połączeń</w:t>
      </w:r>
      <w:r w:rsidRPr="006A3C41">
        <w:t xml:space="preserve"> </w:t>
      </w:r>
      <w:r w:rsidRPr="00CE084B">
        <w:t>nie występuje ani indywidualna ani kolektywna pozycja znacząca przedsiębiorców telekomunikacyjnych</w:t>
      </w:r>
      <w:r>
        <w:t>, należy wskazać, że b</w:t>
      </w:r>
      <w:r w:rsidRPr="00CE084B">
        <w:t>rak zróżnicowania pozycji rynkowych przedsiębiorców w takim stopniu, aby zróżnicowanie to miało wpływ na kształtowanie się konkurencji na rynku tranzytu połączeń</w:t>
      </w:r>
      <w:r>
        <w:t xml:space="preserve"> i wynikający </w:t>
      </w:r>
      <w:r>
        <w:br/>
        <w:t xml:space="preserve">z tego fakt, braku wyznaczenia przez Prezesa UKE przedsiębiorcy </w:t>
      </w:r>
      <w:r>
        <w:br/>
        <w:t>lub przedsiębiorców zajmujących pozycję znaczącą na omawianym rynku</w:t>
      </w:r>
      <w:r w:rsidRPr="00CE084B">
        <w:t xml:space="preserve"> oznacza, że przesłanka</w:t>
      </w:r>
      <w:r>
        <w:t>, o której mowa w</w:t>
      </w:r>
      <w:r w:rsidRPr="00CE084B">
        <w:t xml:space="preserve"> art. 28 ust. 1 </w:t>
      </w:r>
      <w:proofErr w:type="spellStart"/>
      <w:r w:rsidRPr="00CE084B">
        <w:t>pkt</w:t>
      </w:r>
      <w:proofErr w:type="spellEnd"/>
      <w:r w:rsidRPr="00CE084B">
        <w:t xml:space="preserve"> 6 Pt</w:t>
      </w:r>
      <w:r>
        <w:t>,</w:t>
      </w:r>
      <w:r w:rsidRPr="00CE084B">
        <w:t xml:space="preserve"> nie przemawia za </w:t>
      </w:r>
      <w:r>
        <w:t>ingerencją Prezesa UKE w stosunki umowne między OPL i Netią poprzez zmianę</w:t>
      </w:r>
      <w:r w:rsidRPr="00CE084B">
        <w:t xml:space="preserve"> </w:t>
      </w:r>
      <w:r w:rsidRPr="0058371F">
        <w:t>Umowy</w:t>
      </w:r>
      <w:r>
        <w:t xml:space="preserve"> </w:t>
      </w:r>
      <w:r>
        <w:br/>
        <w:t>o Połączeniu Sieci zgodnie z Wnioskiem.</w:t>
      </w:r>
      <w:r w:rsidRPr="00CE084B">
        <w:t xml:space="preserve"> </w:t>
      </w:r>
    </w:p>
    <w:p w:rsidR="00815506" w:rsidRDefault="00815506" w:rsidP="00A2313E">
      <w:pPr>
        <w:autoSpaceDE w:val="0"/>
        <w:autoSpaceDN w:val="0"/>
        <w:adjustRightInd w:val="0"/>
        <w:spacing w:before="160"/>
        <w:jc w:val="both"/>
      </w:pPr>
      <w:r w:rsidRPr="00AD3E7C">
        <w:t xml:space="preserve">W zakresie przesłanki, o której mowa w art. 28 ust. 1 </w:t>
      </w:r>
      <w:proofErr w:type="spellStart"/>
      <w:r w:rsidRPr="00AD3E7C">
        <w:t>pkt</w:t>
      </w:r>
      <w:proofErr w:type="spellEnd"/>
      <w:r w:rsidRPr="00AD3E7C">
        <w:t xml:space="preserve"> 2 Pt (obowiązki nałożone na przedsiębiorców telekomunikacyjnych), </w:t>
      </w:r>
      <w:r w:rsidRPr="00AD3E7C">
        <w:rPr>
          <w:bCs/>
        </w:rPr>
        <w:t xml:space="preserve">należy wskazać, że obowiązki, o których mowa w tym przepisie </w:t>
      </w:r>
      <w:r w:rsidRPr="00360654">
        <w:rPr>
          <w:bCs/>
        </w:rPr>
        <w:t>„</w:t>
      </w:r>
      <w:r w:rsidRPr="00AD3E7C">
        <w:rPr>
          <w:bCs/>
          <w:i/>
        </w:rPr>
        <w:t xml:space="preserve">obejmują zarówno powinności wynikające z przepisów prawa, obowiązki wynikające z decyzji o przyznaniu zasobów telekomunikacyjnych, jak i obowiązki regulacyjne </w:t>
      </w:r>
      <w:r w:rsidRPr="00AD3E7C">
        <w:rPr>
          <w:bCs/>
        </w:rPr>
        <w:t>[...]</w:t>
      </w:r>
      <w:r w:rsidRPr="00AD3E7C">
        <w:rPr>
          <w:bCs/>
          <w:i/>
        </w:rPr>
        <w:t>. Obowiązki nałożone na przedsiębiorców muszą być uwzględnione w pełni przy podejmowaniu decyzji, co powoduje, że mają inny charakter niż pozostałe kryteria wymienione w ust. 1</w:t>
      </w:r>
      <w:r w:rsidRPr="00AD3E7C">
        <w:rPr>
          <w:bCs/>
        </w:rPr>
        <w:t xml:space="preserve"> [artykułu 28 Pt]” (S. Piątek, Prawo telekomunikacyjne. Komentarz, C.H. Beck, Warszawa 20</w:t>
      </w:r>
      <w:r>
        <w:rPr>
          <w:bCs/>
        </w:rPr>
        <w:t>13</w:t>
      </w:r>
      <w:r w:rsidRPr="00AD3E7C">
        <w:rPr>
          <w:bCs/>
        </w:rPr>
        <w:t>, s. 2</w:t>
      </w:r>
      <w:r>
        <w:rPr>
          <w:bCs/>
        </w:rPr>
        <w:t>48</w:t>
      </w:r>
      <w:r w:rsidRPr="00AD3E7C">
        <w:rPr>
          <w:bCs/>
        </w:rPr>
        <w:t>).</w:t>
      </w:r>
      <w:r>
        <w:rPr>
          <w:bCs/>
        </w:rPr>
        <w:t xml:space="preserve"> </w:t>
      </w:r>
      <w:r>
        <w:t xml:space="preserve">Mając na uwadze powyższe, analizując przesłankę z art. 28 ust. 1 </w:t>
      </w:r>
      <w:proofErr w:type="spellStart"/>
      <w:r>
        <w:t>pkt</w:t>
      </w:r>
      <w:proofErr w:type="spellEnd"/>
      <w:r>
        <w:t xml:space="preserve"> 2 Pt, Prezes UKE stwierdził, że </w:t>
      </w:r>
      <w:r w:rsidRPr="0058371F">
        <w:t>usługa tranzytu</w:t>
      </w:r>
      <w:r>
        <w:t xml:space="preserve">, </w:t>
      </w:r>
      <w:r w:rsidRPr="0058371F">
        <w:t xml:space="preserve">jak słusznie podniosła </w:t>
      </w:r>
      <w:r>
        <w:t>Netia w piśmie z dnia</w:t>
      </w:r>
      <w:r>
        <w:br/>
        <w:t>25</w:t>
      </w:r>
      <w:r w:rsidRPr="0058371F">
        <w:t xml:space="preserve"> </w:t>
      </w:r>
      <w:r>
        <w:t>listopada</w:t>
      </w:r>
      <w:r w:rsidRPr="0058371F">
        <w:t xml:space="preserve"> 201</w:t>
      </w:r>
      <w:r>
        <w:t>3</w:t>
      </w:r>
      <w:r w:rsidRPr="0058371F">
        <w:t xml:space="preserve"> r., nie jest </w:t>
      </w:r>
      <w:r>
        <w:t xml:space="preserve">na dzień wydania niniejszej decyzji </w:t>
      </w:r>
      <w:r w:rsidRPr="0058371F">
        <w:t>usługą regulowaną</w:t>
      </w:r>
      <w:r>
        <w:t>. Zauważyć bowiem należy, iż Postanowieniem SMP</w:t>
      </w:r>
      <w:r w:rsidRPr="0058371F">
        <w:t xml:space="preserve"> </w:t>
      </w:r>
      <w:r>
        <w:t xml:space="preserve">Prezes UKE </w:t>
      </w:r>
      <w:r w:rsidRPr="0058371F">
        <w:t>ustal</w:t>
      </w:r>
      <w:r>
        <w:t>ił</w:t>
      </w:r>
      <w:r w:rsidRPr="0058371F">
        <w:t>,</w:t>
      </w:r>
      <w:r>
        <w:t xml:space="preserve"> </w:t>
      </w:r>
      <w:r w:rsidR="00BD1CA2">
        <w:br/>
      </w:r>
      <w:r>
        <w:t>że</w:t>
      </w:r>
      <w:r w:rsidRPr="0058371F">
        <w:t xml:space="preserve"> na krajowym rynku świadczenia usługi tranzytu połączeń w stacjonarnej publicznej sieci telefonicznej występuje skuteczna konkurencja</w:t>
      </w:r>
      <w:r w:rsidRPr="005D613B">
        <w:t xml:space="preserve"> </w:t>
      </w:r>
      <w:r>
        <w:t xml:space="preserve">(co oznacza, że </w:t>
      </w:r>
      <w:r w:rsidRPr="0058371F">
        <w:t>na</w:t>
      </w:r>
      <w:r>
        <w:t xml:space="preserve"> żadnym przedsiębiorcy, w tym</w:t>
      </w:r>
      <w:r w:rsidRPr="0058371F">
        <w:t xml:space="preserve"> </w:t>
      </w:r>
      <w:r>
        <w:t>na Netii,</w:t>
      </w:r>
      <w:r w:rsidRPr="0058371F">
        <w:t xml:space="preserve"> nie ciążą obowiązki regulacyjne w</w:t>
      </w:r>
      <w:r>
        <w:t xml:space="preserve"> </w:t>
      </w:r>
      <w:r w:rsidRPr="0058371F">
        <w:t>zakresie usługi tranzytu połączeń</w:t>
      </w:r>
      <w:r>
        <w:t>)</w:t>
      </w:r>
      <w:r w:rsidRPr="0058371F">
        <w:t xml:space="preserve">. W związku z wydaniem </w:t>
      </w:r>
      <w:r>
        <w:t>Postanowienia SMP</w:t>
      </w:r>
      <w:r w:rsidRPr="0058371F">
        <w:t xml:space="preserve"> obowiązki regulacyjne w zakresie świadczenia usługi tranzytu połączeń w sieci </w:t>
      </w:r>
      <w:r>
        <w:t>OPL</w:t>
      </w:r>
      <w:r w:rsidRPr="0058371F">
        <w:t xml:space="preserve"> zostały zniesione wobec </w:t>
      </w:r>
      <w:r>
        <w:t>OPL</w:t>
      </w:r>
      <w:r w:rsidRPr="0058371F">
        <w:t xml:space="preserve"> Decyzją SMP.</w:t>
      </w:r>
      <w:r>
        <w:t xml:space="preserve"> Wobec powyższego należy uznać, iż z uwagi na panującą na rynku tranzytu połączeń sytuację skutecznej konkurencji, </w:t>
      </w:r>
      <w:r w:rsidRPr="0058371F">
        <w:t>na żadnej ze stron postępowania nie ciążą obowiązki regulacyjne w zak</w:t>
      </w:r>
      <w:r>
        <w:t xml:space="preserve">resie usługi tranzytu połączeń </w:t>
      </w:r>
      <w:r w:rsidRPr="00CE084B">
        <w:t xml:space="preserve">(art. 28 ust. 1 </w:t>
      </w:r>
      <w:proofErr w:type="spellStart"/>
      <w:r w:rsidRPr="00CE084B">
        <w:t>pkt</w:t>
      </w:r>
      <w:proofErr w:type="spellEnd"/>
      <w:r w:rsidRPr="00CE084B">
        <w:t xml:space="preserve"> 2 Pt)</w:t>
      </w:r>
      <w:r>
        <w:t>, co zostanie wzięte pod uwagę w kontekście rozpatrywania spełnienia pozostałych, wyżej wskazanych przesłanek, o których mowa w art. 28 ust. 1 Pt</w:t>
      </w:r>
      <w:r w:rsidRPr="00CE084B">
        <w:t>.</w:t>
      </w:r>
    </w:p>
    <w:p w:rsidR="00815506" w:rsidRDefault="00815506" w:rsidP="002E700E">
      <w:pPr>
        <w:spacing w:before="160"/>
        <w:jc w:val="both"/>
      </w:pPr>
      <w:r>
        <w:lastRenderedPageBreak/>
        <w:t xml:space="preserve">Prezes UKE zwraca bowiem jednocześnie uwagę, iż okoliczność braku istniejących obowiązków regulacyjnych ciążących na stronach na rynku tranzytu połączeń </w:t>
      </w:r>
      <w:r>
        <w:br/>
        <w:t xml:space="preserve">w sieciach stacjonarnych, powinna być brana pod uwagę z uwzględnieniem pozostałych kwestii dotyczących stosunków międzyoperatorskich pomiędzy stronami, a także sytuacji regulacyjnej obowiązującej na rynku właściwym. Dopiero bowiem uwzględnienie przez Prezesa UKE wszystkich aspektów sprawy umożliwi prawidłowe zastosowanie przedmiotowej przesłanki i przesądzi o jej wpływie </w:t>
      </w:r>
      <w:r>
        <w:br/>
        <w:t>na kształt rozstrzygnięcia. W szczególności pod uwagę wziąć należy fakt, iż strony łączy Umowa o Połączeniu Sieci, regulująca warunki połączenia sieci stron, która umożliwia wzajemne świadczenie usług hurtowych i co za tym idzie, umożliwia świadczenie usług użytkownikom końcowym. W świetle powyższego, ponieważ powstały między OPL a Netią spór międzyoperatorski, będący podstawą do zwrócenia się do Prezesa UKE z Wnioskiem, powodujący wszczęcie niniejszego postępowania, dotyczy jedynie:</w:t>
      </w:r>
    </w:p>
    <w:p w:rsidR="00815506" w:rsidRDefault="00815506" w:rsidP="002E700E">
      <w:pPr>
        <w:spacing w:before="160"/>
        <w:jc w:val="both"/>
      </w:pPr>
      <w:r>
        <w:t xml:space="preserve">- możliwości wypowiedzenia przez OPL Umowy o Połączeniu Sieci w części </w:t>
      </w:r>
      <w:r w:rsidR="008C4FD1">
        <w:br/>
      </w:r>
      <w:r>
        <w:t xml:space="preserve">już określającej warunki świadczenia przez Netię na rzecz OPL usługi tranzytu </w:t>
      </w:r>
      <w:r w:rsidR="008C4FD1">
        <w:br/>
      </w:r>
      <w:r>
        <w:t xml:space="preserve">w sieci Netii z zachowaniem jednomiesięcznego okresu oraz </w:t>
      </w:r>
    </w:p>
    <w:p w:rsidR="00815506" w:rsidRDefault="00815506" w:rsidP="002E700E">
      <w:pPr>
        <w:spacing w:before="160"/>
        <w:jc w:val="both"/>
      </w:pPr>
      <w:r>
        <w:t xml:space="preserve">- wprowadzenia dodatkowych zapisów w tym celu, aby stawka, jaką uiszcza OPL za zakończenie połączenia w sieci innego operatora poprzez sieć Netii, nie była wyższa niż stawki za zakończenie połączeń w sieci Netii, </w:t>
      </w:r>
    </w:p>
    <w:p w:rsidR="00815506" w:rsidRDefault="00815506" w:rsidP="002E700E">
      <w:pPr>
        <w:spacing w:before="160"/>
        <w:jc w:val="both"/>
      </w:pPr>
      <w:r>
        <w:t>nie można, zdaniem Prezesa UKE przyjąć, że konieczność wprowadzenia do Umowy o Połączeniu Sieci ww. postanowień jest spowodowana potrzebą umożliwienia wzajemnego świadczenia usług hurtowych w celu zapewnienia możliwości</w:t>
      </w:r>
      <w:r w:rsidRPr="00B8212C">
        <w:t xml:space="preserve"> </w:t>
      </w:r>
      <w:r>
        <w:t xml:space="preserve">świadczenie usług użytkownikom końcowym. Obecne postanowienia Umowy o Połączeniu Sieci zawierają w swej treści uregulowania w zakresie usługi tranzytu, zatem niewątpliwie strony zapewniły między sobą współpracę międzyoperatorską w zakresie </w:t>
      </w:r>
      <w:proofErr w:type="spellStart"/>
      <w:r>
        <w:t>tranzytowania</w:t>
      </w:r>
      <w:proofErr w:type="spellEnd"/>
      <w:r>
        <w:t xml:space="preserve"> połączeń. Natomiast, jak zostało już nadmienione, krajowy rynek tranzytu połączeń w sieci stacjonarnej jest rynkiem, na którym panuje, stwierdzona Postanowieniem SMP, skuteczna konkurencja, umożliwiająca uczestnikom tego rynku swobodny wybór partnera biznesowego w zakresie świadczenia lub korzystania z tej usługi, jeśli zatem strony Umowy o Połączeniu Sieci nie są w stanie uzgodnić zmiany Umowy o Połączeniu sieci w ww. zakresie, nic nie stoi na przeszkodzie, ażeby zwrócić się do innego partnera biznesowego, działającego na o</w:t>
      </w:r>
      <w:r w:rsidR="00FA5E75">
        <w:t>mawianym, konkurencyjnym rynku,</w:t>
      </w:r>
      <w:r>
        <w:t xml:space="preserve"> w celu uzyskania bardziej konkurencyjnych, w tym żądanych w niniejszym postępowaniu, warunków współpracy. Oznacza to zatem, że skoro na rynku usługi tranzytu panuje ww. sytuacja skutecznej konkurencji między poszczególnymi graczami rynku telekomunikacyjnego, to tym samym zapewniony jest, na skutek takiej swobodnej gry rynkowej, rozwój konkurencyjnego rynku usług telekomunikacyjnych. Zatem przesłanka, dotycząca potrzeby zapewnienia rozwoju konkurencyjnego rynku, jaką miałaby za sobą nieść zmiana Umowy o Połączeniu Sieci, objęta Wnioskiem, </w:t>
      </w:r>
      <w:r w:rsidR="008805A0">
        <w:br/>
      </w:r>
      <w:r>
        <w:t>nie przemawia za ingerencją Prezesa UKE w celu zmiany umowy we wnioskowanym przez OPL</w:t>
      </w:r>
      <w:r w:rsidR="009A5D44">
        <w:t xml:space="preserve"> zakresie</w:t>
      </w:r>
      <w:r>
        <w:t xml:space="preserve">. W konsekwencji uznać należy, </w:t>
      </w:r>
      <w:r w:rsidR="00CF2106">
        <w:br/>
      </w:r>
      <w:r>
        <w:t xml:space="preserve">że ww. przesłanka zapewnienia, na skutek podejmowanego przez Prezesa UKE, rozstrzygnięcia zgodnie z Wnioskiem, rozwoju konkurencyjnego rynku usług telekomunikacyjnych (art. 28 ust. 1 </w:t>
      </w:r>
      <w:proofErr w:type="spellStart"/>
      <w:r>
        <w:t>pkt</w:t>
      </w:r>
      <w:proofErr w:type="spellEnd"/>
      <w:r>
        <w:t xml:space="preserve"> 5 lit. c Pt) nie przemawia za zmianą Umowy o Połączeniu Sieci zgodnie z Wnioskiem. Ingerencja Prezesa UKE w zasady współpracy między stronami w odniesieniu do materii objętej Wnioskiem nie jest </w:t>
      </w:r>
      <w:r>
        <w:lastRenderedPageBreak/>
        <w:t xml:space="preserve">bowiem konieczna, skoro na rynku tranzytu istnieją możliwości konkurencyjnej współpracy między przedsiębiorcami telekomunikacyjnymi, w tym możliwości podejmowania takiej współpracy zarówno przez OPL, jak i Netię, </w:t>
      </w:r>
      <w:r w:rsidR="00FB7D0F">
        <w:br/>
      </w:r>
      <w:r>
        <w:t xml:space="preserve">oraz konkurencyjnego ustalania między nimi warunków współpracy w zakresie usługi tranzytu, w tym współpracy w zakresie materii objętych Wnioskiem. </w:t>
      </w:r>
    </w:p>
    <w:p w:rsidR="00815506" w:rsidRDefault="00815506" w:rsidP="002E700E">
      <w:pPr>
        <w:spacing w:before="160"/>
        <w:jc w:val="both"/>
      </w:pPr>
      <w:r>
        <w:t xml:space="preserve">Biorąc zatem pod uwagę wymienione wyżej okoliczności, związane z istnieniem skutecznej konkurencji na rynku tranzytu połączeń w stacjonarnej publicznej sieci telefonicznej i brakiem potrzeby ingerencji Prezesa UKE celem jej zapewnienia </w:t>
      </w:r>
      <w:r>
        <w:br/>
        <w:t xml:space="preserve">oraz wskazany uprzednio (związany z ww. okolicznością stwierdzenia, na skutek wydania Postanowienia SMP, istnienia na rynku tranzytu połączeń skutecznej konkurencji) fakt </w:t>
      </w:r>
      <w:r w:rsidRPr="00CE084B">
        <w:t xml:space="preserve">braku istniejących obowiązków regulacyjnych ciążących </w:t>
      </w:r>
      <w:r>
        <w:br/>
      </w:r>
      <w:r w:rsidRPr="00CE084B">
        <w:t xml:space="preserve">na </w:t>
      </w:r>
      <w:r>
        <w:t>stronach niniejszego postępowania</w:t>
      </w:r>
      <w:r w:rsidRPr="00CE084B">
        <w:t xml:space="preserve"> na rynku tranzytu połączeń w sieciach stacjonarnych</w:t>
      </w:r>
      <w:r>
        <w:t>, Prezes UKE wskazuje, iż zarówno</w:t>
      </w:r>
      <w:r w:rsidRPr="00A00F39">
        <w:t xml:space="preserve"> </w:t>
      </w:r>
      <w:r>
        <w:t>omówiona wyżej przesłanka zapewnienia rozwoju konkurencyjnego rynku usług telekomunikacyjnych (a</w:t>
      </w:r>
      <w:r w:rsidR="00395250">
        <w:t xml:space="preserve">rt. 28 ust. 1 </w:t>
      </w:r>
      <w:proofErr w:type="spellStart"/>
      <w:r w:rsidR="00395250">
        <w:t>pkt</w:t>
      </w:r>
      <w:proofErr w:type="spellEnd"/>
      <w:r w:rsidR="00395250">
        <w:t xml:space="preserve"> 5 lit. c Pt),</w:t>
      </w:r>
      <w:r>
        <w:t xml:space="preserve"> jak i przesłanka</w:t>
      </w:r>
      <w:r w:rsidRPr="00222822">
        <w:t xml:space="preserve"> uwzględniania obowiązków nałożonych </w:t>
      </w:r>
      <w:r w:rsidR="00395250">
        <w:br/>
      </w:r>
      <w:r w:rsidRPr="00222822">
        <w:t>na strony</w:t>
      </w:r>
      <w:r>
        <w:t xml:space="preserve"> (</w:t>
      </w:r>
      <w:r w:rsidRPr="00AA4739">
        <w:t xml:space="preserve">art. 28 ust. 1 </w:t>
      </w:r>
      <w:proofErr w:type="spellStart"/>
      <w:r w:rsidRPr="00AA4739">
        <w:t>pkt</w:t>
      </w:r>
      <w:proofErr w:type="spellEnd"/>
      <w:r w:rsidRPr="00AA4739">
        <w:t xml:space="preserve"> 2 Pt</w:t>
      </w:r>
      <w:r>
        <w:t xml:space="preserve">) nie przemawia za ingerencją Prezesa UKE </w:t>
      </w:r>
      <w:r w:rsidR="00395250">
        <w:br/>
      </w:r>
      <w:r>
        <w:t xml:space="preserve">w stosunki umowne między stronami poprzez zmianę Umowy o Połączeniu Sieci </w:t>
      </w:r>
      <w:r w:rsidRPr="0058371F">
        <w:t xml:space="preserve">w proponowanym przez </w:t>
      </w:r>
      <w:r>
        <w:t>OPL</w:t>
      </w:r>
      <w:r w:rsidRPr="0058371F">
        <w:t xml:space="preserve"> zakresie</w:t>
      </w:r>
      <w:r>
        <w:t xml:space="preserve">, odnoszącym się do usługi tranzytu połączeń miedzy stronami tj. </w:t>
      </w:r>
      <w:r w:rsidRPr="00180AE1">
        <w:t>w zakres</w:t>
      </w:r>
      <w:r>
        <w:t xml:space="preserve">ie </w:t>
      </w:r>
      <w:r w:rsidRPr="00180AE1">
        <w:t>wprowadzenia do Umowy</w:t>
      </w:r>
      <w:r>
        <w:t xml:space="preserve"> </w:t>
      </w:r>
      <w:r w:rsidRPr="00180AE1">
        <w:t>o Połączeniu Sieci zapisów dotyczących zasad rozliczania usługi tranzytu w sieci Neti</w:t>
      </w:r>
      <w:r>
        <w:t>i</w:t>
      </w:r>
      <w:r w:rsidRPr="00180AE1">
        <w:t xml:space="preserve"> oraz zapisów umożliwiających OPL wypowiedzenie Umowy o Połączeniu Sieci w części określającej warunki świadczenia przez Netię na rzecz OPL usługi tranzytu w sieci Neti</w:t>
      </w:r>
      <w:r>
        <w:t>i</w:t>
      </w:r>
      <w:r w:rsidRPr="00C64EFC">
        <w:t>.</w:t>
      </w:r>
    </w:p>
    <w:p w:rsidR="00815506" w:rsidRDefault="00815506" w:rsidP="00933E4E">
      <w:pPr>
        <w:spacing w:before="120" w:after="120"/>
        <w:jc w:val="both"/>
      </w:pPr>
      <w:r w:rsidRPr="008171D6">
        <w:rPr>
          <w:bCs/>
        </w:rPr>
        <w:t>Prezes UKE</w:t>
      </w:r>
      <w:r>
        <w:rPr>
          <w:bCs/>
        </w:rPr>
        <w:t>,</w:t>
      </w:r>
      <w:r w:rsidRPr="008171D6">
        <w:rPr>
          <w:bCs/>
        </w:rPr>
        <w:t xml:space="preserve"> rozstrzygając w niniejszej sprawie</w:t>
      </w:r>
      <w:r>
        <w:rPr>
          <w:bCs/>
        </w:rPr>
        <w:t>,</w:t>
      </w:r>
      <w:r w:rsidRPr="008171D6">
        <w:rPr>
          <w:bCs/>
        </w:rPr>
        <w:t xml:space="preserve"> zobligowany był do </w:t>
      </w:r>
      <w:r>
        <w:rPr>
          <w:bCs/>
        </w:rPr>
        <w:t>uwzględnienia</w:t>
      </w:r>
      <w:r w:rsidRPr="008171D6">
        <w:rPr>
          <w:bCs/>
        </w:rPr>
        <w:t xml:space="preserve"> przesłanki wynikającej z art. 28 ust. 1 </w:t>
      </w:r>
      <w:proofErr w:type="spellStart"/>
      <w:r w:rsidRPr="008171D6">
        <w:rPr>
          <w:bCs/>
        </w:rPr>
        <w:t>pkt</w:t>
      </w:r>
      <w:proofErr w:type="spellEnd"/>
      <w:r w:rsidRPr="008171D6">
        <w:rPr>
          <w:bCs/>
        </w:rPr>
        <w:t xml:space="preserve"> 5 lit. </w:t>
      </w:r>
      <w:r>
        <w:rPr>
          <w:bCs/>
        </w:rPr>
        <w:t>b</w:t>
      </w:r>
      <w:r w:rsidRPr="008171D6">
        <w:rPr>
          <w:bCs/>
        </w:rPr>
        <w:t xml:space="preserve"> Pt tj. zobligowany był</w:t>
      </w:r>
      <w:r>
        <w:rPr>
          <w:bCs/>
        </w:rPr>
        <w:br/>
      </w:r>
      <w:r w:rsidRPr="008171D6">
        <w:rPr>
          <w:bCs/>
        </w:rPr>
        <w:t xml:space="preserve">do </w:t>
      </w:r>
      <w:r>
        <w:rPr>
          <w:bCs/>
        </w:rPr>
        <w:t>wzięcia pod uwagę, przy rozstrzyganiu niniejszej sprawy,</w:t>
      </w:r>
      <w:r w:rsidRPr="008171D6">
        <w:rPr>
          <w:bCs/>
        </w:rPr>
        <w:t xml:space="preserve"> </w:t>
      </w:r>
      <w:r>
        <w:rPr>
          <w:bCs/>
        </w:rPr>
        <w:t>niedyskryminują</w:t>
      </w:r>
      <w:r w:rsidRPr="008171D6">
        <w:rPr>
          <w:bCs/>
        </w:rPr>
        <w:t xml:space="preserve">cych warunków dostępu telekomunikacyjnego. </w:t>
      </w:r>
      <w:r>
        <w:t xml:space="preserve">Zgodnie z poglądem prezentowanym </w:t>
      </w:r>
      <w:r>
        <w:br/>
        <w:t xml:space="preserve">w doktrynie </w:t>
      </w:r>
      <w:r w:rsidRPr="00E9445D">
        <w:rPr>
          <w:i/>
        </w:rPr>
        <w:t xml:space="preserve">„Zapewnienie niedyskryminujących warunków oznacza konieczność takiego samego traktowania przedsiębiorców telekomunikacyjnych ubiegających </w:t>
      </w:r>
      <w:r>
        <w:rPr>
          <w:i/>
        </w:rPr>
        <w:br/>
      </w:r>
      <w:r w:rsidRPr="00E9445D">
        <w:rPr>
          <w:i/>
        </w:rPr>
        <w:t>się o dostęp do sieci telekomunikacyjnej konkretnego przedsiębiorcy. W sytuacji wystąpienia podobnych okoliczności warunki dostępu powinny być podobne”</w:t>
      </w:r>
      <w:r>
        <w:t xml:space="preserve"> </w:t>
      </w:r>
      <w:r>
        <w:br/>
        <w:t xml:space="preserve">(M. Rogalski, Komentarz do art. 28 ustawy - Prawo telekomunikacyjne, LEX 2010). Biorąc pod uwagę przedstawione wyżej stanowisko doktryny oraz wskazaną uprzednio okoliczność istnienia w pełni rozwiniętej konkurencji na rynku tranzytu połączeń, stwierdzić należy, że wobec możliwości swobodnego kształtowania stosunków prawnych pomiędzy przedsiębiorcami telekomunikacyjnymi na rynku usług tranzytu połączeń, nie zachodzi na omawianym rynku sytuacja, w której któryś z graczy rynkowych miałby możliwość narzucenia swojemu partnerowi biznesowemu warunków niekorzystnych, odbiegających od warunków stosowanych powszechnie na tym rynku. W sytuacji takiej bowiem próby narzucenia warunków niekorzystnych we współpracy między stronami, strona niezadowolona z oferowanych zasad współpracy jest w stanie rozpocząć w interesującym ją zakresie negocjacje z konkurentem w zakresie świadczenia usługi tranzytu i uzyskać interesujące ją warunki współpracy. Tym samym w związku z panującą na rynku tranzytu połączeń sytuacją skutecznej konkurencji nie zachodzi problem narzucania kontrahentowi dyskryminujących warunków dostępu telekomunikacyjnego </w:t>
      </w:r>
      <w:r w:rsidR="00822502">
        <w:br/>
      </w:r>
      <w:r>
        <w:t xml:space="preserve">w zakresie </w:t>
      </w:r>
      <w:proofErr w:type="spellStart"/>
      <w:r>
        <w:t>tranzytowania</w:t>
      </w:r>
      <w:proofErr w:type="spellEnd"/>
      <w:r>
        <w:t xml:space="preserve"> połączeń. Z uwagi na powyższe przesłanka zapewnienia niedyskryminujących warunków dostępu telekomunikacyjnego nie przemawia </w:t>
      </w:r>
      <w:r w:rsidR="00822502">
        <w:br/>
      </w:r>
      <w:r>
        <w:t xml:space="preserve">za zmiana Umowy o Połączeniu sieci w zakresie, o którym mowa we Wniosku. </w:t>
      </w:r>
      <w:r w:rsidR="00822502">
        <w:br/>
      </w:r>
      <w:r>
        <w:lastRenderedPageBreak/>
        <w:t xml:space="preserve">W świetle powyższych rozważań należy bowiem zwrócić uwagę, że gdyby nastąpiła, zdaniem OPL, dyskryminacja ze strony Netii w ramach proponowanych przez </w:t>
      </w:r>
      <w:r w:rsidR="00822502">
        <w:br/>
      </w:r>
      <w:r>
        <w:t xml:space="preserve">nią warunków współpracy w omawianym zakresie (poprzez np. brak </w:t>
      </w:r>
      <w:r>
        <w:rPr>
          <w:bCs/>
        </w:rPr>
        <w:t xml:space="preserve">uprawnienia </w:t>
      </w:r>
      <w:r w:rsidR="00822502">
        <w:rPr>
          <w:bCs/>
        </w:rPr>
        <w:br/>
      </w:r>
      <w:r>
        <w:rPr>
          <w:bCs/>
        </w:rPr>
        <w:t xml:space="preserve">do wypowiedzenia części </w:t>
      </w:r>
      <w:r>
        <w:t xml:space="preserve">Umowy o Połączeniu Sieci, czy też na skutek tego, </w:t>
      </w:r>
      <w:r w:rsidR="00822502">
        <w:br/>
      </w:r>
      <w:r>
        <w:t xml:space="preserve">jak twierdzi OPL, że model rozliczeń, jaki miałby zostać przyjęty w Umowie </w:t>
      </w:r>
      <w:r w:rsidR="00822502">
        <w:br/>
      </w:r>
      <w:r>
        <w:t xml:space="preserve">o Połączeniu Sieci, miałby spowodować zawyżone koszty, jakie ponosi OPL) </w:t>
      </w:r>
      <w:r w:rsidR="00822502">
        <w:br/>
      </w:r>
      <w:r>
        <w:t xml:space="preserve">to zawsze OPL mogłaby się zwrócić do innego przedsiębiorcy telekomunikacyjnego, działającego na omawianym rynku tranzytu, o dostęp w zakresie usługi tranzytu, </w:t>
      </w:r>
      <w:r w:rsidR="00822502">
        <w:br/>
      </w:r>
      <w:r>
        <w:t xml:space="preserve">z którym mogłaby swobodnie wynegocjować korzystne, jej zdaniem, warunki świadczenia tej usługi, o których mowa we Wniosku. Zatem, w świetle powyższych rozważań, przesłanka, o której mowa w art. 28 ust. 1 </w:t>
      </w:r>
      <w:proofErr w:type="spellStart"/>
      <w:r>
        <w:t>pkt</w:t>
      </w:r>
      <w:proofErr w:type="spellEnd"/>
      <w:r>
        <w:t xml:space="preserve"> 5 lit. b Pt, nie przemawia </w:t>
      </w:r>
      <w:r w:rsidR="00822502">
        <w:br/>
      </w:r>
      <w:r>
        <w:t>za zmianą Umowy o Połączeniu Sieci zgodnie z Wnioskiem.</w:t>
      </w:r>
    </w:p>
    <w:p w:rsidR="00815506" w:rsidRDefault="00815506" w:rsidP="00CE2DEC">
      <w:pPr>
        <w:spacing w:before="120"/>
        <w:jc w:val="both"/>
        <w:rPr>
          <w:i/>
        </w:rPr>
      </w:pPr>
      <w:r>
        <w:rPr>
          <w:color w:val="000000"/>
        </w:rPr>
        <w:t>Jak już wyżej wskazano, w</w:t>
      </w:r>
      <w:r w:rsidRPr="0058371F">
        <w:rPr>
          <w:color w:val="000000"/>
        </w:rPr>
        <w:t xml:space="preserve"> ocenie Prezesa UKE regulacja współpracy międzyoperatorskiej między stronami w zakresie rozliczeń za usługę tranzytu połączeń nie przyczyni się także do zapewnienia rozwoju konkurencyjnego rynku usług telekomunikacyjnych</w:t>
      </w:r>
      <w:r>
        <w:rPr>
          <w:color w:val="000000"/>
        </w:rPr>
        <w:t xml:space="preserve"> (art. 28 ust. 1 </w:t>
      </w:r>
      <w:proofErr w:type="spellStart"/>
      <w:r>
        <w:rPr>
          <w:color w:val="000000"/>
        </w:rPr>
        <w:t>pkt</w:t>
      </w:r>
      <w:proofErr w:type="spellEnd"/>
      <w:r>
        <w:rPr>
          <w:color w:val="000000"/>
        </w:rPr>
        <w:t xml:space="preserve"> 5 lit. c Pt)</w:t>
      </w:r>
      <w:r w:rsidRPr="0058371F">
        <w:rPr>
          <w:color w:val="000000"/>
        </w:rPr>
        <w:t xml:space="preserve">. </w:t>
      </w:r>
      <w:r w:rsidRPr="0058371F">
        <w:t>Uprawnienia Prezesa UKE wynikające z art. 27-33 Pt należy bowiem interpretować w świetle ogólny</w:t>
      </w:r>
      <w:r>
        <w:t xml:space="preserve">ch celów polityki regulacyjnej, </w:t>
      </w:r>
      <w:r w:rsidRPr="0058371F">
        <w:t xml:space="preserve">o których mowa w art. 189 ust. 2 Pt, w szczególności w świetle celu, o którym mowa w art. 189 ust. 2 </w:t>
      </w:r>
      <w:proofErr w:type="spellStart"/>
      <w:r w:rsidRPr="0058371F">
        <w:t>pkt</w:t>
      </w:r>
      <w:proofErr w:type="spellEnd"/>
      <w:r w:rsidRPr="0058371F">
        <w:t xml:space="preserve"> 1 lit</w:t>
      </w:r>
      <w:r>
        <w:t>.</w:t>
      </w:r>
      <w:r w:rsidRPr="0058371F">
        <w:t xml:space="preserve"> b Pt a więc wspierania konkurencji </w:t>
      </w:r>
      <w:r>
        <w:br/>
      </w:r>
      <w:r w:rsidRPr="0058371F">
        <w:t xml:space="preserve">w zakresie dostarczania sieci telekomunikacyjnych, udogodnień towarzyszących </w:t>
      </w:r>
      <w:r>
        <w:br/>
      </w:r>
      <w:r w:rsidRPr="0058371F">
        <w:t xml:space="preserve">lub świadczenia usług telekomunikacyjnych, w tym zapobiegania zniekształcaniu </w:t>
      </w:r>
      <w:r>
        <w:br/>
      </w:r>
      <w:r w:rsidRPr="0058371F">
        <w:t>lub ograniczaniu konkurencji (na rynku telekomunikacyjnym). Jak słusznie wskazuje się w doktrynie „</w:t>
      </w:r>
      <w:r w:rsidRPr="0058371F">
        <w:rPr>
          <w:i/>
        </w:rPr>
        <w:t>Uprawnienie Prezesa UKE do wydania decyzji zastępującej umowę stanowi wyjątek od zasady swobody działalności gospodarczej i jako takie nie może</w:t>
      </w:r>
      <w:r>
        <w:rPr>
          <w:i/>
        </w:rPr>
        <w:br w:type="textWrapping" w:clear="all"/>
      </w:r>
      <w:r w:rsidRPr="0058371F">
        <w:rPr>
          <w:i/>
        </w:rPr>
        <w:t>być interpretowane rozszerzająco</w:t>
      </w:r>
      <w:r w:rsidRPr="0058371F">
        <w:t xml:space="preserve">” (K. Kawałek, M. Rogalski, Prawo telekomunikacyjne. Komentarz Wydawnictwo </w:t>
      </w:r>
      <w:proofErr w:type="spellStart"/>
      <w:r w:rsidRPr="0058371F">
        <w:t>Wolters</w:t>
      </w:r>
      <w:proofErr w:type="spellEnd"/>
      <w:r w:rsidRPr="0058371F">
        <w:t xml:space="preserve"> </w:t>
      </w:r>
      <w:proofErr w:type="spellStart"/>
      <w:r w:rsidRPr="0058371F">
        <w:t>Kluwer</w:t>
      </w:r>
      <w:proofErr w:type="spellEnd"/>
      <w:r w:rsidRPr="0058371F">
        <w:t xml:space="preserve"> Polska, Warszawa 2010). Wobec powyższego należy ocenić, że kompetencje Prezesa UKE </w:t>
      </w:r>
      <w:r>
        <w:br w:type="textWrapping" w:clear="all"/>
      </w:r>
      <w:r w:rsidRPr="0058371F">
        <w:t xml:space="preserve">do rozstrzygania sporów międzyoperatorskich powinny być stosowane jedynie </w:t>
      </w:r>
      <w:r>
        <w:br w:type="textWrapping" w:clear="all"/>
      </w:r>
      <w:r w:rsidRPr="0058371F">
        <w:t xml:space="preserve">w szczególnie uzasadnionych przypadkach, o ile mechanizmy rynkowe same </w:t>
      </w:r>
      <w:r>
        <w:br/>
      </w:r>
      <w:r w:rsidRPr="0058371F">
        <w:t xml:space="preserve">nie są w stanie zapewnić należytego rozwoju konkurencji na rynku. Ponieważ rynek tranzytu połączeń zgodnie z </w:t>
      </w:r>
      <w:r>
        <w:t>Postanowieniem SMP</w:t>
      </w:r>
      <w:r w:rsidRPr="002764E9">
        <w:t xml:space="preserve"> </w:t>
      </w:r>
      <w:r w:rsidRPr="0058371F">
        <w:t>jest rynkiem konkurencyjnym</w:t>
      </w:r>
      <w:r>
        <w:t>,</w:t>
      </w:r>
      <w:r w:rsidRPr="0058371F">
        <w:t xml:space="preserve"> należy ocenić, że zmiana Umowy </w:t>
      </w:r>
      <w:r>
        <w:t xml:space="preserve">o Połączeniu Sieci </w:t>
      </w:r>
      <w:r w:rsidRPr="0058371F">
        <w:t xml:space="preserve">w zakresie proponowanym przez </w:t>
      </w:r>
      <w:r>
        <w:t>OPL</w:t>
      </w:r>
      <w:r w:rsidRPr="0058371F">
        <w:t xml:space="preserve"> nie jest niezbędna do zapewnienia rozwoju konkurencyjnego rynku telekomunikacyjnego. </w:t>
      </w:r>
      <w:r>
        <w:t>W tym miejscu zasadne</w:t>
      </w:r>
      <w:r w:rsidRPr="00CE084B">
        <w:t xml:space="preserve"> </w:t>
      </w:r>
      <w:r>
        <w:t>będzie</w:t>
      </w:r>
      <w:r w:rsidRPr="00CE084B">
        <w:t xml:space="preserve"> również przywołanie motywu 13</w:t>
      </w:r>
      <w:r>
        <w:t xml:space="preserve"> preambuły do</w:t>
      </w:r>
      <w:r w:rsidRPr="00CE084B">
        <w:t xml:space="preserve"> dyrektywy 2002/21/WE (</w:t>
      </w:r>
      <w:r w:rsidRPr="00CE084B">
        <w:rPr>
          <w:rStyle w:val="Uwydatnienie"/>
          <w:i w:val="0"/>
        </w:rPr>
        <w:t xml:space="preserve">Dz. Urz. UE L 108 z 24 kwietnia 2002 r., str. 33 - 50, Polskie wydanie specjalne: Rozdział 13 Tom 29 P. 349 – 366), zgodnie </w:t>
      </w:r>
      <w:r>
        <w:rPr>
          <w:rStyle w:val="Uwydatnienie"/>
          <w:i w:val="0"/>
        </w:rPr>
        <w:br/>
      </w:r>
      <w:r w:rsidRPr="00CE084B">
        <w:rPr>
          <w:rStyle w:val="Uwydatnienie"/>
          <w:i w:val="0"/>
        </w:rPr>
        <w:t>z którym</w:t>
      </w:r>
      <w:r w:rsidRPr="00CE084B">
        <w:t>: „</w:t>
      </w:r>
      <w:r w:rsidRPr="00CE084B">
        <w:rPr>
          <w:i/>
        </w:rPr>
        <w:t>Jest też możliwe, iż konkurencja będzie się rozwijać w zróżnicowanym tempie w zależności od danego segmentu rynku i że, zdaniem Państw Członkowskich, konieczne będzie zapewnienie krajowym organom regulacyjnym możliwości obniżenia regulacyjnych wymogów na rynkach, na których konkurencja przynosi oczekiwane efekty”.</w:t>
      </w:r>
      <w:r>
        <w:rPr>
          <w:i/>
        </w:rPr>
        <w:t xml:space="preserve"> </w:t>
      </w:r>
      <w:r>
        <w:t xml:space="preserve">Odnosząc powyższe do niniejszej sprawy należy wskazać, </w:t>
      </w:r>
      <w:r>
        <w:br/>
        <w:t>że w sytuacji, gdy konkurencja jest w pełni rozwinięta, co ma miejsce na rynku tranzytu połączeń,</w:t>
      </w:r>
      <w:r w:rsidRPr="00CE084B">
        <w:t xml:space="preserve"> </w:t>
      </w:r>
      <w:r>
        <w:t>p</w:t>
      </w:r>
      <w:r w:rsidRPr="00CE084B">
        <w:t>rzez obniżenie wymogów regulacyjnych bezsprzecznie należy rozumieć</w:t>
      </w:r>
      <w:r>
        <w:t xml:space="preserve"> brak ingerencji Prezesa UKE w stosunki międzyoperatorskie</w:t>
      </w:r>
      <w:r w:rsidRPr="00CE084B">
        <w:t xml:space="preserve">. Reasumując, </w:t>
      </w:r>
      <w:r>
        <w:t xml:space="preserve">jak już wyżej wskazywał Prezes UKE, </w:t>
      </w:r>
      <w:r w:rsidRPr="00CE084B">
        <w:t xml:space="preserve">z uwagi na </w:t>
      </w:r>
      <w:r>
        <w:t>Postanowienie SMP</w:t>
      </w:r>
      <w:r w:rsidRPr="00CE084B">
        <w:t>, zamykające postępowanie w sprawie ustalenia</w:t>
      </w:r>
      <w:r>
        <w:t>,</w:t>
      </w:r>
      <w:r w:rsidRPr="00CE084B">
        <w:t xml:space="preserve"> czy na krajowym rynku świadczenia usługi połączeń w stacjonarnej publicznej sieci telefonicznej występuje skuteczna konkurencja, które potwierdz</w:t>
      </w:r>
      <w:r>
        <w:t>ił</w:t>
      </w:r>
      <w:r w:rsidRPr="00CE084B">
        <w:t>o, iż na rynku tranzytu połączeń występuje skuteczna konkurencja, przesłanka zapewnienia rozwoju konkurencyjnego rynku telekomunikacyjnego</w:t>
      </w:r>
      <w:r>
        <w:t xml:space="preserve"> (art. 28 ust. 1 </w:t>
      </w:r>
      <w:proofErr w:type="spellStart"/>
      <w:r>
        <w:t>pkt</w:t>
      </w:r>
      <w:proofErr w:type="spellEnd"/>
      <w:r>
        <w:t xml:space="preserve"> 5 lit. c Pt) </w:t>
      </w:r>
      <w:r w:rsidRPr="00CE084B">
        <w:t xml:space="preserve">nie przemawia za wprowadzeniem </w:t>
      </w:r>
      <w:r w:rsidRPr="00CE084B">
        <w:lastRenderedPageBreak/>
        <w:t xml:space="preserve">do Umowy </w:t>
      </w:r>
      <w:r>
        <w:t xml:space="preserve">o Połączeniu Sieci </w:t>
      </w:r>
      <w:r w:rsidRPr="00CE084B">
        <w:t xml:space="preserve">zmian proponowanych przez </w:t>
      </w:r>
      <w:r>
        <w:t>OPL, które, jak wynika z analizy Wniosku, nie służą już zapewnieniu wzajemnego świadczenia usług hurtowych (w zakresie tranzytu) w celu zapewnienia możliwości</w:t>
      </w:r>
      <w:r w:rsidRPr="00B8212C">
        <w:t xml:space="preserve"> </w:t>
      </w:r>
      <w:r>
        <w:t>świadczenie usług użytkownikom końcowym, lecz zmianie warunków rozliczeń i wypowiadania Umowy, które mogą zostać osiągnięte w ramach szerokiej (także z innymi podmiotami) współpracy międzyoperatorskiej na konkurencyjnym rynku tranzytu połączeń</w:t>
      </w:r>
      <w:r w:rsidRPr="00CE084B">
        <w:t>.</w:t>
      </w:r>
    </w:p>
    <w:p w:rsidR="00815506" w:rsidRDefault="00815506" w:rsidP="00F023F9">
      <w:pPr>
        <w:spacing w:before="160"/>
        <w:jc w:val="both"/>
      </w:pPr>
      <w:r>
        <w:t xml:space="preserve">W odniesieniu natomiast do przesłanki określonej w </w:t>
      </w:r>
      <w:r w:rsidRPr="00CE084B">
        <w:t xml:space="preserve">art. 28 ust. 1 </w:t>
      </w:r>
      <w:proofErr w:type="spellStart"/>
      <w:r w:rsidRPr="00CE084B">
        <w:t>pkt</w:t>
      </w:r>
      <w:proofErr w:type="spellEnd"/>
      <w:r w:rsidRPr="00CE084B">
        <w:t xml:space="preserve"> 1 Pt (interes użytkowników sieci telekomunikacyjnych),</w:t>
      </w:r>
      <w:r>
        <w:t xml:space="preserve"> biorąc pod uwagę wskazaną wyżej okoliczność,</w:t>
      </w:r>
      <w:r w:rsidRPr="002826C6">
        <w:t xml:space="preserve"> </w:t>
      </w:r>
      <w:r w:rsidRPr="00CE084B">
        <w:t>iż powstały spór</w:t>
      </w:r>
      <w:r>
        <w:t>,</w:t>
      </w:r>
      <w:r w:rsidRPr="00CE084B">
        <w:t xml:space="preserve"> będący powodem wszczęcia niniejszego postępowania, nie ma bezpośredniego wpływu na możliwość świadczenia przez strony usług na rynku detalicznym</w:t>
      </w:r>
      <w:r>
        <w:t xml:space="preserve"> (która to możliwość jest już zapewniona </w:t>
      </w:r>
      <w:r w:rsidR="000E38AC">
        <w:br/>
      </w:r>
      <w:r>
        <w:t>na podstawie Umowy o Połączeniu Sieci), Prezes UKE stwierdził, że w niniejszej sprawie interes użytkowników końcowych zapewniają wystarczająco dotychczasowe zapisy Umowy o Połączeniu Sieci, zaś zmiany żądane Wnioskiem, w zakresie zasad rozliczeń i możliwości wypowiedzenia umowy zawartej między stronami na poziomie hurtowym, w żade</w:t>
      </w:r>
      <w:r w:rsidR="000E38AC">
        <w:t>n</w:t>
      </w:r>
      <w:r>
        <w:t xml:space="preserve"> sposób nie wpływają na użytkowników sieci telekomunikacyjnych i tym samym nie mają wpływu na ich interes. Prezes UKE wskazuje zatem, że przesłanka z art. </w:t>
      </w:r>
      <w:r w:rsidRPr="00CE084B">
        <w:t xml:space="preserve">art. 28 ust. 1 </w:t>
      </w:r>
      <w:proofErr w:type="spellStart"/>
      <w:r w:rsidRPr="00CE084B">
        <w:t>pkt</w:t>
      </w:r>
      <w:proofErr w:type="spellEnd"/>
      <w:r w:rsidRPr="00CE084B">
        <w:t xml:space="preserve"> 1 Pt </w:t>
      </w:r>
      <w:r>
        <w:t>nie przemawia za zmianą Umowy</w:t>
      </w:r>
      <w:r w:rsidRPr="002826C6">
        <w:t xml:space="preserve"> </w:t>
      </w:r>
      <w:r>
        <w:t xml:space="preserve">o Połączeniu Sieci </w:t>
      </w:r>
      <w:r w:rsidRPr="00180AE1">
        <w:t>w zakres</w:t>
      </w:r>
      <w:r>
        <w:t xml:space="preserve">ie </w:t>
      </w:r>
      <w:r w:rsidRPr="00180AE1">
        <w:t xml:space="preserve">wprowadzenia </w:t>
      </w:r>
      <w:r>
        <w:t xml:space="preserve">do Umowy </w:t>
      </w:r>
      <w:r w:rsidRPr="00180AE1">
        <w:t xml:space="preserve">o Połączeniu Sieci </w:t>
      </w:r>
      <w:r>
        <w:t xml:space="preserve">dodatkowych </w:t>
      </w:r>
      <w:r w:rsidRPr="00180AE1">
        <w:t>zapisów dotyczących zasad rozliczania usługi tranzytu w sieci Neti</w:t>
      </w:r>
      <w:r>
        <w:t>i</w:t>
      </w:r>
      <w:r w:rsidRPr="00180AE1">
        <w:t xml:space="preserve"> oraz zapisów</w:t>
      </w:r>
      <w:r>
        <w:t>,</w:t>
      </w:r>
      <w:r w:rsidRPr="00180AE1">
        <w:t xml:space="preserve"> umożliwiających OPL wypowiedzenie Umowy o Połączeniu Sieci w</w:t>
      </w:r>
      <w:r>
        <w:t> </w:t>
      </w:r>
      <w:r w:rsidRPr="00180AE1">
        <w:t>części określającej warunki świadczenia przez Netię na rzecz OPL usługi tranzytu w sieci Neti</w:t>
      </w:r>
      <w:r>
        <w:t>i</w:t>
      </w:r>
      <w:r w:rsidRPr="00C64EFC">
        <w:t>.</w:t>
      </w:r>
    </w:p>
    <w:p w:rsidR="00815506" w:rsidRDefault="00815506" w:rsidP="007E14EF">
      <w:pPr>
        <w:spacing w:before="160"/>
        <w:jc w:val="both"/>
      </w:pPr>
      <w:r w:rsidRPr="0058371F">
        <w:t>Reasumując,</w:t>
      </w:r>
      <w:r>
        <w:t xml:space="preserve"> w świetle powyższego,</w:t>
      </w:r>
      <w:r w:rsidRPr="0058371F">
        <w:t xml:space="preserve"> </w:t>
      </w:r>
      <w:r>
        <w:rPr>
          <w:rFonts w:cs="EUAlbertina"/>
          <w:color w:val="000000"/>
        </w:rPr>
        <w:t xml:space="preserve">w ocenie Prezesa UKE proponowana przez OPL we Wniosku zmiana Umowy o Połączeniu Sieci, zgodnie z projektem Aneksu w zakresie: </w:t>
      </w:r>
      <w:r>
        <w:t xml:space="preserve">możliwości wypowiedzenia przez OPL Umowy o Połączeniu Sieci </w:t>
      </w:r>
      <w:r>
        <w:br/>
        <w:t xml:space="preserve">w części określającej warunki świadczenia przez Netię na rzecz OPL usługi tranzytu w sieci Netii z zachowaniem jednomiesięcznego okresu wypowiedzenia </w:t>
      </w:r>
      <w:r>
        <w:br/>
        <w:t xml:space="preserve">oraz wprowadzenie zapisów przewidujących, aby stawka, jaką uiszcza OPL </w:t>
      </w:r>
      <w:r>
        <w:br/>
        <w:t xml:space="preserve">za zakończenie połączenia w sieci innego operatora poprzez sieć Netii nie była wyższa niż stawki za zakończenie połączeń w sieci Netii, </w:t>
      </w:r>
      <w:r w:rsidRPr="00E5654E">
        <w:rPr>
          <w:rFonts w:cs="EUAlbertina"/>
          <w:color w:val="000000"/>
        </w:rPr>
        <w:t xml:space="preserve">nie </w:t>
      </w:r>
      <w:r>
        <w:t>stanowi rozwiązania,</w:t>
      </w:r>
      <w:r w:rsidRPr="00E5654E">
        <w:t xml:space="preserve"> </w:t>
      </w:r>
      <w:r>
        <w:br/>
        <w:t xml:space="preserve">za którego wprowadzeniem przez Prezesa UKE przemawiałyby przesłanki </w:t>
      </w:r>
      <w:r w:rsidRPr="0058371F">
        <w:t>zawarte w</w:t>
      </w:r>
      <w:r>
        <w:t>:</w:t>
      </w:r>
      <w:r w:rsidRPr="0058371F">
        <w:t xml:space="preserve"> art. 28 ust. 1 </w:t>
      </w:r>
      <w:proofErr w:type="spellStart"/>
      <w:r>
        <w:t>pkt</w:t>
      </w:r>
      <w:proofErr w:type="spellEnd"/>
      <w:r>
        <w:t xml:space="preserve"> 1 Pt (interes użytkowników sieci telekomunikacyjnych), art. 28 ust. 1 </w:t>
      </w:r>
      <w:proofErr w:type="spellStart"/>
      <w:r>
        <w:t>pkt</w:t>
      </w:r>
      <w:proofErr w:type="spellEnd"/>
      <w:r>
        <w:t xml:space="preserve"> 2 Pt (obowiązki nałożone na przedsiębiorców telekomunikacyjnych)</w:t>
      </w:r>
      <w:r w:rsidRPr="0058371F">
        <w:t xml:space="preserve">, </w:t>
      </w:r>
      <w:r>
        <w:br/>
        <w:t xml:space="preserve">art. 28 ust. 1 </w:t>
      </w:r>
      <w:proofErr w:type="spellStart"/>
      <w:r>
        <w:t>pkt</w:t>
      </w:r>
      <w:proofErr w:type="spellEnd"/>
      <w:r>
        <w:t xml:space="preserve"> 5 lit. b Pt (zapewnienie </w:t>
      </w:r>
      <w:r w:rsidRPr="0058371F">
        <w:t>niedyskryminujących warunków dostępu</w:t>
      </w:r>
      <w:r>
        <w:t xml:space="preserve"> t</w:t>
      </w:r>
      <w:r w:rsidRPr="0058371F">
        <w:t>elekomunikacyjnego</w:t>
      </w:r>
      <w:r>
        <w:t xml:space="preserve">), art. 28 ust. 1 </w:t>
      </w:r>
      <w:proofErr w:type="spellStart"/>
      <w:r>
        <w:t>pkt</w:t>
      </w:r>
      <w:proofErr w:type="spellEnd"/>
      <w:r>
        <w:t xml:space="preserve"> 5 lit. c (zapewnienie rozwoju konkurencyjnego rynku usług telekomunikacyjnych) oraz w art. 28 ust. 1 </w:t>
      </w:r>
      <w:proofErr w:type="spellStart"/>
      <w:r>
        <w:t>pkt</w:t>
      </w:r>
      <w:proofErr w:type="spellEnd"/>
      <w:r>
        <w:t xml:space="preserve"> 6 Pt (pozycje rynkowe przedsiębiorców, których sieci są łączone).</w:t>
      </w:r>
    </w:p>
    <w:p w:rsidR="00815506" w:rsidRPr="006B558A" w:rsidRDefault="00815506" w:rsidP="007E14EF">
      <w:pPr>
        <w:spacing w:before="160"/>
        <w:jc w:val="both"/>
      </w:pPr>
      <w:r w:rsidRPr="006B558A">
        <w:t xml:space="preserve">Wskazać </w:t>
      </w:r>
      <w:r>
        <w:t xml:space="preserve">przy tym </w:t>
      </w:r>
      <w:r w:rsidRPr="006B558A">
        <w:t>należy, że</w:t>
      </w:r>
      <w:r>
        <w:t xml:space="preserve"> choć </w:t>
      </w:r>
      <w:r w:rsidRPr="006B558A">
        <w:t>za mającą znaczenie w niniejszej sprawie należy uznać również przesłankę</w:t>
      </w:r>
      <w:r w:rsidRPr="0058371F" w:rsidDel="005F784C">
        <w:t xml:space="preserve"> </w:t>
      </w:r>
      <w:r w:rsidRPr="0058371F">
        <w:t>zawart</w:t>
      </w:r>
      <w:r>
        <w:t>ą</w:t>
      </w:r>
      <w:r w:rsidRPr="0058371F">
        <w:t xml:space="preserve"> w art. 28 ust. 1 </w:t>
      </w:r>
      <w:proofErr w:type="spellStart"/>
      <w:r w:rsidRPr="0058371F">
        <w:t>pkt</w:t>
      </w:r>
      <w:proofErr w:type="spellEnd"/>
      <w:r w:rsidRPr="0058371F">
        <w:t xml:space="preserve"> 4 Pt, a więc przesłank</w:t>
      </w:r>
      <w:r>
        <w:t>ę</w:t>
      </w:r>
      <w:r w:rsidRPr="0058371F">
        <w:t xml:space="preserve"> charakteru zaistniałych kwestii spornych oraz praktycznej możliwości wdrożenia rozwiązań dotyczących ekonomicznych aspektów dostępu telekomunikacyjnego, zarówno zaproponowanych przez przedsiębiorców telekomunikacyjnych będących stronami negocjacji, jak też mogących stanowić rozwiązania alternatywne</w:t>
      </w:r>
      <w:r>
        <w:t xml:space="preserve"> (aspekty techniczne sporu, o których mowa w ramach omawianej przesłanki z art. 28 ust. 1 Pt, w związku z zakresem przedmiotowym Wniosku, nie mają znaczenia w niniejszej sprawie), Prezes UKE nie rozpatrywał już bliżej w świetle tej przesłanki </w:t>
      </w:r>
      <w:r>
        <w:lastRenderedPageBreak/>
        <w:t>argumentacji stron, skupiających się na wadach i zaletach postanowień, jakie mi</w:t>
      </w:r>
      <w:r w:rsidR="00CF7D03">
        <w:t>ałyby zmienić Umowę o Połączeni</w:t>
      </w:r>
      <w:r>
        <w:t xml:space="preserve">u Sieci, zgodnie z żądaniem OPL, zawartym </w:t>
      </w:r>
      <w:r w:rsidR="00CF7D03">
        <w:br/>
      </w:r>
      <w:r>
        <w:t xml:space="preserve">we Wniosku. </w:t>
      </w:r>
      <w:r w:rsidRPr="0058371F">
        <w:t xml:space="preserve">Prezes UKE </w:t>
      </w:r>
      <w:r>
        <w:t xml:space="preserve">w tym zakresie </w:t>
      </w:r>
      <w:r w:rsidRPr="0058371F">
        <w:t xml:space="preserve">wskazuje, że </w:t>
      </w:r>
      <w:r>
        <w:t>OPL</w:t>
      </w:r>
      <w:r w:rsidRPr="0058371F">
        <w:t xml:space="preserve"> zmianę Umowy</w:t>
      </w:r>
      <w:r>
        <w:t xml:space="preserve"> </w:t>
      </w:r>
      <w:r>
        <w:br/>
        <w:t>o Połączeniu Sieci</w:t>
      </w:r>
      <w:r w:rsidRPr="0058371F">
        <w:t xml:space="preserve"> umotywowała</w:t>
      </w:r>
      <w:r>
        <w:t xml:space="preserve"> nieuzasadnioną asymetrią stawek</w:t>
      </w:r>
      <w:r w:rsidRPr="0058371F">
        <w:t xml:space="preserve"> </w:t>
      </w:r>
      <w:r>
        <w:t xml:space="preserve">w relacji z Netią, ponoszeniem przez OPL zawyżonych kosztów za zakańczanie połączeń w sieciach innych operatorów alternatywnych oraz uniemożliwieniem OPL wypowiedzenie Umowy o Połączeniu Sieci w części określającej warunki świadczenia przez Netię </w:t>
      </w:r>
      <w:r>
        <w:br/>
        <w:t xml:space="preserve">na rzecz OPL usługi tranzytu w sieci Netii, co, zdaniem OPL, jest sprzeczne </w:t>
      </w:r>
      <w:r>
        <w:br/>
        <w:t>z zasadami swobody obrotu gospodarczego</w:t>
      </w:r>
      <w:r w:rsidRPr="0058371F">
        <w:t>.</w:t>
      </w:r>
      <w:r w:rsidRPr="00614AA4">
        <w:rPr>
          <w:color w:val="FF0000"/>
        </w:rPr>
        <w:t xml:space="preserve"> </w:t>
      </w:r>
      <w:r w:rsidRPr="006B558A">
        <w:t xml:space="preserve">Z kolei Netia, w odpowiedzi </w:t>
      </w:r>
      <w:r>
        <w:br/>
      </w:r>
      <w:r w:rsidRPr="006B558A">
        <w:t xml:space="preserve">na powyższą propozycję zmiany Umowy o Połączeniu Sieci, w piśmie z dnia </w:t>
      </w:r>
      <w:r>
        <w:br/>
      </w:r>
      <w:r w:rsidRPr="006B558A">
        <w:t xml:space="preserve">25 listopada 2013 r. podniosła, </w:t>
      </w:r>
      <w:r w:rsidRPr="00180AE1">
        <w:t xml:space="preserve">że </w:t>
      </w:r>
      <w:r>
        <w:t xml:space="preserve">ww. </w:t>
      </w:r>
      <w:r w:rsidRPr="00180AE1">
        <w:t>propozycja OPL polegająca na tym,</w:t>
      </w:r>
      <w:r>
        <w:t xml:space="preserve"> </w:t>
      </w:r>
      <w:r>
        <w:br/>
      </w:r>
      <w:r w:rsidRPr="00180AE1">
        <w:t>by stawka, jaką uiszcza OPL za zakończenie w sieci innego operatora poprzez sieć Netii, nie mogła być wyższa niż stawki za zakończenie połączeń w sieci Neti</w:t>
      </w:r>
      <w:r>
        <w:t>i</w:t>
      </w:r>
      <w:r w:rsidRPr="00180AE1">
        <w:t>,</w:t>
      </w:r>
      <w:r>
        <w:t xml:space="preserve"> </w:t>
      </w:r>
      <w:r>
        <w:br/>
      </w:r>
      <w:r w:rsidRPr="00180AE1">
        <w:t>nie znajduje ani ekonomicznego ani prawnego uzasadnienia i prowadzi</w:t>
      </w:r>
      <w:r>
        <w:t xml:space="preserve"> </w:t>
      </w:r>
      <w:r>
        <w:br/>
      </w:r>
      <w:r w:rsidRPr="00180AE1">
        <w:t>do faworyzowania jednej ze stron Umowy o Połączeniu Sieci</w:t>
      </w:r>
      <w:r>
        <w:t xml:space="preserve"> (tj. OPL)</w:t>
      </w:r>
      <w:r w:rsidRPr="00180AE1">
        <w:t xml:space="preserve">. Netia podkreśliła również, </w:t>
      </w:r>
      <w:r>
        <w:t xml:space="preserve">w odniesieniu do stanowiska OPL, zgodnie z którym </w:t>
      </w:r>
      <w:r w:rsidRPr="00180AE1">
        <w:t xml:space="preserve">aktualne zapisy Umowy o Połączeniu Sieci uniemożliwiają OPL wypowiedzenie umowy </w:t>
      </w:r>
      <w:r>
        <w:br/>
      </w:r>
      <w:r w:rsidRPr="00180AE1">
        <w:t>w części określającej warunki świadczenia przez Netię na rzecz OPL usługi tranzytu w sieci Neti</w:t>
      </w:r>
      <w:r>
        <w:t>i, iż</w:t>
      </w:r>
      <w:r w:rsidRPr="00180AE1">
        <w:t xml:space="preserve"> OPL nie ma obowiązku </w:t>
      </w:r>
      <w:proofErr w:type="spellStart"/>
      <w:r w:rsidRPr="00180AE1">
        <w:t>tranzytowania</w:t>
      </w:r>
      <w:proofErr w:type="spellEnd"/>
      <w:r w:rsidRPr="00180AE1">
        <w:t xml:space="preserve"> ruchu poprzez sieć Netii,</w:t>
      </w:r>
      <w:r>
        <w:t xml:space="preserve"> </w:t>
      </w:r>
      <w:r>
        <w:br/>
      </w:r>
      <w:r w:rsidRPr="00180AE1">
        <w:t>w związku z czym OPL w dowolnym dniu może zaprzestać przesyłania ruchu poprzez sieć Netii, co nie rodziłoby żadnych roszczeń Netii względem OPL.</w:t>
      </w:r>
      <w:r>
        <w:rPr>
          <w:color w:val="FF0000"/>
        </w:rPr>
        <w:t xml:space="preserve"> </w:t>
      </w:r>
      <w:r w:rsidRPr="006B558A">
        <w:t xml:space="preserve">Biorąc </w:t>
      </w:r>
      <w:r>
        <w:t>jednakże</w:t>
      </w:r>
      <w:r w:rsidRPr="006B558A">
        <w:t xml:space="preserve"> pod uwagę </w:t>
      </w:r>
      <w:r>
        <w:t>wskazaną wyżej okoliczność</w:t>
      </w:r>
      <w:r w:rsidRPr="006B558A">
        <w:t xml:space="preserve">, iż przeciwko </w:t>
      </w:r>
      <w:r>
        <w:t xml:space="preserve">zmianie Umowy </w:t>
      </w:r>
      <w:r>
        <w:br/>
        <w:t xml:space="preserve">o Połączeniu Sieci </w:t>
      </w:r>
      <w:r w:rsidRPr="006B558A">
        <w:t xml:space="preserve">zgodnie z Wnioskiem, przemawiają inne, wyżej omówione, przesłanki z art. 28 ust. 1 Pt, stwierdzić należy, że </w:t>
      </w:r>
      <w:r>
        <w:t xml:space="preserve">nawet, w razie rozpatrzenia przez Prezesa UKE ww. argumentacji Netii i OPL, ewentualne stwierdzenie spełnienia </w:t>
      </w:r>
      <w:r w:rsidRPr="006B558A">
        <w:t>ww. przesłank</w:t>
      </w:r>
      <w:r>
        <w:t>i nie spowodowałoby, iż</w:t>
      </w:r>
      <w:r w:rsidRPr="006B558A">
        <w:t xml:space="preserve"> </w:t>
      </w:r>
      <w:r>
        <w:t xml:space="preserve"> Prezes UKE powinien dokonać</w:t>
      </w:r>
      <w:r w:rsidRPr="006B558A">
        <w:t xml:space="preserve"> zmian</w:t>
      </w:r>
      <w:r>
        <w:t>y</w:t>
      </w:r>
      <w:r w:rsidRPr="006B558A">
        <w:t xml:space="preserve"> Umowy o połączeniu sieci zgodnie z Wnioskiem.</w:t>
      </w:r>
    </w:p>
    <w:p w:rsidR="00815506" w:rsidRPr="004420E9" w:rsidRDefault="00815506" w:rsidP="007E14EF">
      <w:pPr>
        <w:spacing w:before="160"/>
        <w:jc w:val="both"/>
        <w:rPr>
          <w:iCs/>
        </w:rPr>
      </w:pPr>
      <w:r>
        <w:t xml:space="preserve">Ze względu zatem na fakt, że </w:t>
      </w:r>
      <w:r>
        <w:rPr>
          <w:iCs/>
        </w:rPr>
        <w:t xml:space="preserve">wystarczająca dla odmowy zmiany umowy o dostępie telekomunikacyjnym jest okoliczność niespełnienia przynajmniej jednej z przesłanek określonych w art. 28 ust. 1 Pt, przemawiających za pozytywnym rozstrzygnięciem sporu międzyoperatorskiego (na co wskazano już powyżej), Prezes UKE wskazuje, </w:t>
      </w:r>
      <w:r>
        <w:rPr>
          <w:iCs/>
        </w:rPr>
        <w:br/>
        <w:t xml:space="preserve">iż przedstawione powyżej okoliczności sprawy przesądzają o zasadności wydania </w:t>
      </w:r>
      <w:r>
        <w:rPr>
          <w:iCs/>
        </w:rPr>
        <w:br/>
        <w:t xml:space="preserve">w niniejszym postępowaniu rozstrzygnięcia w przedmiocie odmowy zmiany Umowy o Połączeniu Sieci zgodnie z Wnioskiem. Omówiona powyżej niezgodność propozycji OPL z przesłankami z art. 28 ust. 1 </w:t>
      </w:r>
      <w:proofErr w:type="spellStart"/>
      <w:r>
        <w:rPr>
          <w:iCs/>
        </w:rPr>
        <w:t>pkt</w:t>
      </w:r>
      <w:proofErr w:type="spellEnd"/>
      <w:r>
        <w:rPr>
          <w:iCs/>
        </w:rPr>
        <w:t xml:space="preserve"> 1, 2, </w:t>
      </w:r>
      <w:proofErr w:type="spellStart"/>
      <w:r>
        <w:rPr>
          <w:iCs/>
        </w:rPr>
        <w:t>pkt</w:t>
      </w:r>
      <w:proofErr w:type="spellEnd"/>
      <w:r>
        <w:rPr>
          <w:iCs/>
        </w:rPr>
        <w:t xml:space="preserve"> 5 lit. b i c oraz </w:t>
      </w:r>
      <w:proofErr w:type="spellStart"/>
      <w:r>
        <w:rPr>
          <w:iCs/>
        </w:rPr>
        <w:t>pkt</w:t>
      </w:r>
      <w:proofErr w:type="spellEnd"/>
      <w:r>
        <w:rPr>
          <w:iCs/>
        </w:rPr>
        <w:t xml:space="preserve"> 6 Pt wyklucza bowiem możliwość wydania w niniejszej sprawie rozstrzygnięcia </w:t>
      </w:r>
      <w:r>
        <w:rPr>
          <w:iCs/>
        </w:rPr>
        <w:br/>
        <w:t>o charakterze pozytywnym.</w:t>
      </w:r>
    </w:p>
    <w:p w:rsidR="00815506" w:rsidRPr="002844CF" w:rsidRDefault="00815506" w:rsidP="0048457E">
      <w:pPr>
        <w:spacing w:before="120" w:after="120"/>
        <w:jc w:val="both"/>
      </w:pPr>
      <w:r>
        <w:t xml:space="preserve">W tym miejscu należy się również odnieść do wyrażonego w stanowisku Netii </w:t>
      </w:r>
      <w:r>
        <w:br/>
        <w:t xml:space="preserve">z dnia 25 listopada 2013 r. wniosku o umorzenie niniejszego postępowania (stanowiącego alternatywne żądanie Netii dla wydania w niniejszej sprawie decyzji odmawiającej uwzględnienia Wniosku). W odniesieniu do powyższego zagadnienia należy wskazać, iż, jak wynika z treści pisma Netii z dnia 25 listopada 2013 r., </w:t>
      </w:r>
      <w:r>
        <w:br/>
        <w:t xml:space="preserve">ww. żądanie Netii powiązane było z wykazywanymi przez nią w piśmie z dnia </w:t>
      </w:r>
      <w:r>
        <w:br/>
        <w:t xml:space="preserve">25 listopada 2013 r. podstawami braku, w opinii Netii, kompetencji Prezesa UKE </w:t>
      </w:r>
      <w:r>
        <w:br/>
        <w:t xml:space="preserve">do rozstrzygnięcia sporu w niniejszej sprawie, co jednak zostało już przez Prezesa UKE omówione szczegółowo powyżej w uzasadnieniu niniejszej decyzji w zakresie kwalifikacji usługi tranzytu jako połączenia sieci i przesądzenia o możliwości podjęcia przez Prezesa UKE działań w celu merytorycznego rozstrzygnięcia niniejszej sprawy. W związku z powyższym brak było podstaw do umorzenia </w:t>
      </w:r>
      <w:r>
        <w:lastRenderedPageBreak/>
        <w:t xml:space="preserve">niniejszego postępowania, względnie odmowy rozstrzygnięcia z uwagi na wykazaną wyżej dopuszczalność działania Prezesa UKE w niniejszej sprawie. Niezależnie </w:t>
      </w:r>
      <w:r>
        <w:br/>
        <w:t xml:space="preserve">od powyższego Prezes UKE wskazuje, że </w:t>
      </w:r>
      <w:r w:rsidRPr="002844CF">
        <w:t xml:space="preserve">zgodnie z treścią art. 105 § 1 kpa, </w:t>
      </w:r>
      <w:r>
        <w:br/>
      </w:r>
      <w:r w:rsidRPr="002844CF">
        <w:t>gdy postępowanie z jakiejkolwiek przyczyny stało się bezprzedmiotowe w całości albo w części, organ administracji publicznej wydaje decyzję o umorzeniu postępowania odpowiednio w całoś</w:t>
      </w:r>
      <w:r>
        <w:t xml:space="preserve">ci albo w części. </w:t>
      </w:r>
      <w:r w:rsidRPr="002844CF">
        <w:t xml:space="preserve">Z taką sytuacją nie mamy </w:t>
      </w:r>
      <w:r w:rsidR="00F14DB7">
        <w:br/>
      </w:r>
      <w:r w:rsidRPr="002844CF">
        <w:t>do czynienia w niniejszym postępowaniu, bowiem przedmiot</w:t>
      </w:r>
      <w:r>
        <w:t xml:space="preserve"> niniejszego</w:t>
      </w:r>
      <w:r w:rsidRPr="002844CF">
        <w:t xml:space="preserve"> postępowania</w:t>
      </w:r>
      <w:r>
        <w:t xml:space="preserve"> tj. spór międzyoperatorski między OPL i Netią w zakresie wskazanym we Wniosku, na dzień wydania niniejszej decyzji nie uległ wyczerpaniu</w:t>
      </w:r>
      <w:r w:rsidRPr="002844CF">
        <w:t xml:space="preserve"> </w:t>
      </w:r>
      <w:r w:rsidR="00F14DB7">
        <w:br/>
      </w:r>
      <w:r w:rsidRPr="002844CF">
        <w:t>(</w:t>
      </w:r>
      <w:r>
        <w:t xml:space="preserve">w szczególności </w:t>
      </w:r>
      <w:r w:rsidRPr="002844CF">
        <w:t>strony nie zawarły</w:t>
      </w:r>
      <w:r>
        <w:t xml:space="preserve"> do chwili obecnej odpowiedniej</w:t>
      </w:r>
      <w:r w:rsidRPr="002844CF">
        <w:t xml:space="preserve"> </w:t>
      </w:r>
      <w:r>
        <w:t>umowy/aneksu w powyższym zakresie, która</w:t>
      </w:r>
      <w:r w:rsidRPr="002844CF">
        <w:t xml:space="preserve"> konsumowałby przedmiot niniejszego postępowania)</w:t>
      </w:r>
      <w:r>
        <w:t>, a innych podstaw do obligatoryjnego umorzenia niniejszego postępowania Prezes UKE nie dostrzegł</w:t>
      </w:r>
      <w:r w:rsidRPr="002844CF">
        <w:t>. Brak jest zatem podstaw do uznania, iż postępowanie jest bezprzedmiotowe na podstawie art. 105 § 1 kpa</w:t>
      </w:r>
      <w:r>
        <w:t xml:space="preserve"> i zachodzi konieczność jego umorzenia (w całości albo w części)</w:t>
      </w:r>
      <w:r w:rsidRPr="002844CF">
        <w:t xml:space="preserve">. </w:t>
      </w:r>
      <w:r>
        <w:t>Prezes UKE wskazuje również, iż b</w:t>
      </w:r>
      <w:r w:rsidRPr="002844CF">
        <w:t xml:space="preserve">rak </w:t>
      </w:r>
      <w:r>
        <w:br/>
      </w:r>
      <w:r w:rsidRPr="002844CF">
        <w:t>jest</w:t>
      </w:r>
      <w:r>
        <w:t xml:space="preserve"> także</w:t>
      </w:r>
      <w:r w:rsidRPr="002844CF">
        <w:t xml:space="preserve"> podstaw </w:t>
      </w:r>
      <w:r>
        <w:t>do rozpoznania wniosku OPL</w:t>
      </w:r>
      <w:r w:rsidRPr="002844CF">
        <w:t xml:space="preserve"> w tr</w:t>
      </w:r>
      <w:r>
        <w:t xml:space="preserve">ybie art. 105 § 2 kpa, zgodnie </w:t>
      </w:r>
      <w:r>
        <w:br/>
      </w:r>
      <w:r w:rsidRPr="002844CF">
        <w:t xml:space="preserve">z którym organ administracji publicznej może umorzyć postępowanie, jeżeli wystąpi o to strona, na której żądanie postępowanie zostało wszczęte, a nie sprzeciwiają </w:t>
      </w:r>
      <w:r w:rsidR="005C5CAC">
        <w:br/>
      </w:r>
      <w:r w:rsidRPr="002844CF">
        <w:t xml:space="preserve">się temu inne strony oraz gdy nie jest to sprzeczne z interesem społecznym. </w:t>
      </w:r>
      <w:r>
        <w:t>Należy bowiem wskazać, że n</w:t>
      </w:r>
      <w:r w:rsidRPr="002844CF">
        <w:t xml:space="preserve">iniejsze postępowanie toczy się z Wniosku złożonego </w:t>
      </w:r>
      <w:r>
        <w:br/>
      </w:r>
      <w:r w:rsidRPr="002844CF">
        <w:t>przez</w:t>
      </w:r>
      <w:r>
        <w:t xml:space="preserve"> OPL</w:t>
      </w:r>
      <w:r w:rsidRPr="002844CF">
        <w:t xml:space="preserve">, tak więc </w:t>
      </w:r>
      <w:r>
        <w:t>Netia, niebędąca</w:t>
      </w:r>
      <w:r w:rsidRPr="002844CF">
        <w:t xml:space="preserve"> wnioskodawcą w niniejs</w:t>
      </w:r>
      <w:r>
        <w:t xml:space="preserve">zej sprawie, nie była uprawniona do złożenia wniosku </w:t>
      </w:r>
      <w:r w:rsidRPr="002844CF">
        <w:t xml:space="preserve">o jego </w:t>
      </w:r>
      <w:r>
        <w:t xml:space="preserve">(fakultatywne) </w:t>
      </w:r>
      <w:r w:rsidRPr="002844CF">
        <w:t xml:space="preserve">umorzenie na podstawie </w:t>
      </w:r>
      <w:r>
        <w:br/>
      </w:r>
      <w:r w:rsidRPr="002844CF">
        <w:t>art. 105 § 2 kpa</w:t>
      </w:r>
      <w:r>
        <w:t xml:space="preserve">. W związku z powyższym Prezes UKE nie mógł uwzględnić </w:t>
      </w:r>
      <w:r>
        <w:br/>
      </w:r>
      <w:r w:rsidR="005C5CAC">
        <w:t>żądania</w:t>
      </w:r>
      <w:r>
        <w:t xml:space="preserve"> Netii (jako podmiotu niebędącego legitymowanym do wnoszenia </w:t>
      </w:r>
      <w:r>
        <w:br/>
        <w:t>o fakultatywne umorzenie postępowania) o fakultatywne umorzenie postępowania.</w:t>
      </w:r>
    </w:p>
    <w:p w:rsidR="00815506" w:rsidRPr="0058371F" w:rsidRDefault="00815506" w:rsidP="002E700E">
      <w:pPr>
        <w:spacing w:before="160"/>
        <w:jc w:val="both"/>
      </w:pPr>
      <w:r w:rsidRPr="0058371F">
        <w:t>Biorąc powyższe pod uwagę, Prezes UKE, orzekł jak w sentencji.</w:t>
      </w:r>
    </w:p>
    <w:p w:rsidR="00815506" w:rsidRDefault="00815506" w:rsidP="002E700E">
      <w:pPr>
        <w:autoSpaceDE w:val="0"/>
        <w:spacing w:before="160"/>
        <w:jc w:val="both"/>
      </w:pPr>
      <w:r w:rsidRPr="0058371F">
        <w:t xml:space="preserve">Na podstawie art. 206 ust. 2a w związku z art. 206 ust. 2 </w:t>
      </w:r>
      <w:proofErr w:type="spellStart"/>
      <w:r w:rsidRPr="0058371F">
        <w:t>pkt</w:t>
      </w:r>
      <w:proofErr w:type="spellEnd"/>
      <w:r w:rsidRPr="0058371F">
        <w:t xml:space="preserve"> 5 Pt niniejsza decyzja</w:t>
      </w:r>
      <w:r>
        <w:t xml:space="preserve"> </w:t>
      </w:r>
      <w:r w:rsidRPr="0058371F">
        <w:t>podlega natychmiastowemu wykonaniu.</w:t>
      </w:r>
    </w:p>
    <w:p w:rsidR="00815506" w:rsidRDefault="00815506" w:rsidP="0039503D">
      <w:pPr>
        <w:pStyle w:val="Tekstpodstawowy"/>
        <w:spacing w:before="120" w:line="240" w:lineRule="auto"/>
        <w:rPr>
          <w:rFonts w:ascii="Times New Roman" w:hAnsi="Times New Roman" w:cs="Times New Roman"/>
          <w:b/>
          <w:sz w:val="24"/>
        </w:rPr>
      </w:pPr>
    </w:p>
    <w:p w:rsidR="00815506" w:rsidRDefault="00815506" w:rsidP="00576408">
      <w:pPr>
        <w:pStyle w:val="Tekstpodstawowy"/>
        <w:spacing w:before="120" w:line="240" w:lineRule="auto"/>
        <w:rPr>
          <w:rFonts w:ascii="Times New Roman" w:hAnsi="Times New Roman" w:cs="Times New Roman"/>
          <w:b/>
          <w:sz w:val="24"/>
        </w:rPr>
      </w:pPr>
    </w:p>
    <w:p w:rsidR="000D7B92" w:rsidRDefault="000D7B92" w:rsidP="00F91986">
      <w:pPr>
        <w:pStyle w:val="Tekstpodstawowy"/>
        <w:spacing w:before="120" w:line="240" w:lineRule="auto"/>
        <w:jc w:val="center"/>
        <w:rPr>
          <w:rFonts w:ascii="Times New Roman" w:hAnsi="Times New Roman" w:cs="Times New Roman"/>
          <w:b/>
          <w:sz w:val="24"/>
        </w:rPr>
      </w:pPr>
    </w:p>
    <w:p w:rsidR="000D7B92" w:rsidRDefault="000D7B92" w:rsidP="00F91986">
      <w:pPr>
        <w:pStyle w:val="Tekstpodstawowy"/>
        <w:spacing w:before="120" w:line="240" w:lineRule="auto"/>
        <w:jc w:val="center"/>
        <w:rPr>
          <w:rFonts w:ascii="Times New Roman" w:hAnsi="Times New Roman" w:cs="Times New Roman"/>
          <w:b/>
          <w:sz w:val="24"/>
        </w:rPr>
      </w:pPr>
    </w:p>
    <w:p w:rsidR="00815506" w:rsidRPr="0058371F" w:rsidRDefault="00815506" w:rsidP="00F91986">
      <w:pPr>
        <w:pStyle w:val="Tekstpodstawowy"/>
        <w:spacing w:before="120" w:line="240" w:lineRule="auto"/>
        <w:jc w:val="center"/>
        <w:rPr>
          <w:rFonts w:ascii="Times New Roman" w:hAnsi="Times New Roman" w:cs="Times New Roman"/>
          <w:b/>
          <w:sz w:val="24"/>
        </w:rPr>
      </w:pPr>
      <w:r w:rsidRPr="0058371F">
        <w:rPr>
          <w:rFonts w:ascii="Times New Roman" w:hAnsi="Times New Roman" w:cs="Times New Roman"/>
          <w:b/>
          <w:sz w:val="24"/>
        </w:rPr>
        <w:t>POUCZENIE</w:t>
      </w:r>
    </w:p>
    <w:p w:rsidR="00815506" w:rsidRDefault="00815506" w:rsidP="00F91986">
      <w:pPr>
        <w:pStyle w:val="Tekstpodstawowy"/>
        <w:spacing w:before="120" w:after="120" w:line="240" w:lineRule="auto"/>
        <w:rPr>
          <w:rFonts w:ascii="Times New Roman" w:hAnsi="Times New Roman" w:cs="Times New Roman"/>
          <w:sz w:val="24"/>
        </w:rPr>
      </w:pPr>
      <w:r w:rsidRPr="0058371F">
        <w:rPr>
          <w:rFonts w:ascii="Times New Roman" w:hAnsi="Times New Roman" w:cs="Times New Roman"/>
          <w:sz w:val="24"/>
        </w:rPr>
        <w:t xml:space="preserve">Na podstawie art. 206 ust. 2 </w:t>
      </w:r>
      <w:proofErr w:type="spellStart"/>
      <w:r w:rsidRPr="0058371F">
        <w:rPr>
          <w:rFonts w:ascii="Times New Roman" w:hAnsi="Times New Roman" w:cs="Times New Roman"/>
          <w:sz w:val="24"/>
        </w:rPr>
        <w:t>pkt</w:t>
      </w:r>
      <w:proofErr w:type="spellEnd"/>
      <w:r w:rsidRPr="0058371F">
        <w:rPr>
          <w:rFonts w:ascii="Times New Roman" w:hAnsi="Times New Roman" w:cs="Times New Roman"/>
          <w:sz w:val="24"/>
        </w:rPr>
        <w:t xml:space="preserve"> 5 Pt od niniejszej decyzji Prezesa UKE przysługuje stronom odwołanie do Sądu Okręgowego w Warszawie – Sądu Ochrony Konkurencji i Konsumentów. Zgodnie z art. 479</w:t>
      </w:r>
      <w:r w:rsidRPr="00E22E37">
        <w:rPr>
          <w:rFonts w:ascii="Times New Roman" w:hAnsi="Times New Roman" w:cs="Times New Roman"/>
          <w:sz w:val="24"/>
          <w:vertAlign w:val="superscript"/>
        </w:rPr>
        <w:t>58</w:t>
      </w:r>
      <w:r w:rsidRPr="0058371F">
        <w:rPr>
          <w:rFonts w:ascii="Times New Roman" w:hAnsi="Times New Roman" w:cs="Times New Roman"/>
          <w:sz w:val="24"/>
        </w:rPr>
        <w:t xml:space="preserve"> § 1 ustawy z dnia 17 listopada 1964 r. Kodeks postępowania cywilnego </w:t>
      </w:r>
      <w:r w:rsidRPr="00E22E37">
        <w:rPr>
          <w:rFonts w:ascii="Times New Roman" w:hAnsi="Times New Roman" w:cs="Times New Roman"/>
          <w:sz w:val="24"/>
        </w:rPr>
        <w:t xml:space="preserve">(tekst jednolity: Dz. U. z 2014 r., poz. 101, ze zm.) </w:t>
      </w:r>
      <w:r w:rsidRPr="0058371F">
        <w:rPr>
          <w:rFonts w:ascii="Times New Roman" w:hAnsi="Times New Roman" w:cs="Times New Roman"/>
          <w:sz w:val="24"/>
        </w:rPr>
        <w:t>odwołanie wnosi się za pośrednictwem Prezesa UKE w terminie dwutygodniowym od dnia doręczenia niniejszej decyzji.</w:t>
      </w:r>
    </w:p>
    <w:p w:rsidR="00815506" w:rsidRPr="00697248" w:rsidRDefault="00815506" w:rsidP="000B19C4">
      <w:pPr>
        <w:pStyle w:val="Tekstpodstawowy"/>
        <w:spacing w:line="240" w:lineRule="auto"/>
        <w:rPr>
          <w:rFonts w:ascii="Times New Roman" w:hAnsi="Times New Roman" w:cs="Times New Roman"/>
          <w:sz w:val="16"/>
          <w:szCs w:val="16"/>
          <w:u w:val="single"/>
        </w:rPr>
      </w:pPr>
      <w:r w:rsidRPr="00697248">
        <w:rPr>
          <w:rFonts w:ascii="Times New Roman" w:hAnsi="Times New Roman" w:cs="Times New Roman"/>
          <w:sz w:val="16"/>
          <w:szCs w:val="16"/>
          <w:u w:val="single"/>
        </w:rPr>
        <w:t xml:space="preserve">Otrzymuje: </w:t>
      </w:r>
    </w:p>
    <w:p w:rsidR="00815506" w:rsidRPr="00697248" w:rsidRDefault="00815506" w:rsidP="009D6CA7">
      <w:pPr>
        <w:pStyle w:val="Tekstpodstawowy"/>
        <w:numPr>
          <w:ilvl w:val="0"/>
          <w:numId w:val="27"/>
        </w:numPr>
        <w:tabs>
          <w:tab w:val="clear" w:pos="900"/>
          <w:tab w:val="num" w:pos="180"/>
        </w:tabs>
        <w:spacing w:line="240" w:lineRule="auto"/>
        <w:ind w:hanging="900"/>
        <w:rPr>
          <w:rFonts w:ascii="Times New Roman" w:hAnsi="Times New Roman" w:cs="Times New Roman"/>
          <w:bCs/>
          <w:sz w:val="16"/>
          <w:szCs w:val="16"/>
        </w:rPr>
      </w:pPr>
      <w:r w:rsidRPr="00697248">
        <w:rPr>
          <w:rFonts w:ascii="Times New Roman" w:hAnsi="Times New Roman" w:cs="Times New Roman"/>
          <w:bCs/>
          <w:sz w:val="16"/>
          <w:szCs w:val="16"/>
        </w:rPr>
        <w:t>Rafał Zieliński</w:t>
      </w:r>
    </w:p>
    <w:p w:rsidR="00815506" w:rsidRPr="00697248" w:rsidRDefault="00815506" w:rsidP="009D6CA7">
      <w:pPr>
        <w:pStyle w:val="Tekstpodstawowy"/>
        <w:spacing w:line="240" w:lineRule="auto"/>
        <w:ind w:left="180"/>
        <w:rPr>
          <w:rFonts w:ascii="Times New Roman" w:hAnsi="Times New Roman" w:cs="Times New Roman"/>
          <w:bCs/>
          <w:sz w:val="16"/>
          <w:szCs w:val="16"/>
        </w:rPr>
      </w:pPr>
      <w:r w:rsidRPr="00697248">
        <w:rPr>
          <w:rFonts w:ascii="Times New Roman" w:hAnsi="Times New Roman" w:cs="Times New Roman"/>
          <w:bCs/>
          <w:sz w:val="16"/>
          <w:szCs w:val="16"/>
        </w:rPr>
        <w:t>Pełnomocnik Netii</w:t>
      </w:r>
    </w:p>
    <w:p w:rsidR="00815506" w:rsidRPr="00697248" w:rsidRDefault="00815506" w:rsidP="009D6CA7">
      <w:pPr>
        <w:pStyle w:val="Tekstpodstawowy"/>
        <w:spacing w:line="240" w:lineRule="auto"/>
        <w:ind w:left="180"/>
        <w:rPr>
          <w:rFonts w:ascii="Times New Roman" w:hAnsi="Times New Roman" w:cs="Times New Roman"/>
          <w:bCs/>
          <w:sz w:val="16"/>
          <w:szCs w:val="16"/>
        </w:rPr>
      </w:pPr>
      <w:r w:rsidRPr="00697248">
        <w:rPr>
          <w:rFonts w:ascii="Times New Roman" w:hAnsi="Times New Roman" w:cs="Times New Roman"/>
          <w:bCs/>
          <w:sz w:val="16"/>
          <w:szCs w:val="16"/>
        </w:rPr>
        <w:t>ul. Taśmowa 7a</w:t>
      </w:r>
    </w:p>
    <w:p w:rsidR="00815506" w:rsidRPr="00697248" w:rsidRDefault="00815506" w:rsidP="009D6CA7">
      <w:pPr>
        <w:pStyle w:val="Tekstpodstawowy"/>
        <w:spacing w:line="240" w:lineRule="auto"/>
        <w:ind w:left="180"/>
        <w:rPr>
          <w:rFonts w:ascii="Times New Roman" w:hAnsi="Times New Roman" w:cs="Times New Roman"/>
          <w:bCs/>
          <w:sz w:val="16"/>
          <w:szCs w:val="16"/>
        </w:rPr>
      </w:pPr>
      <w:r w:rsidRPr="00697248">
        <w:rPr>
          <w:rFonts w:ascii="Times New Roman" w:hAnsi="Times New Roman" w:cs="Times New Roman"/>
          <w:bCs/>
          <w:sz w:val="16"/>
          <w:szCs w:val="16"/>
        </w:rPr>
        <w:t>02-677 Warszawa</w:t>
      </w:r>
    </w:p>
    <w:p w:rsidR="00815506" w:rsidRPr="00697248" w:rsidRDefault="00815506" w:rsidP="000B19C4">
      <w:pPr>
        <w:pStyle w:val="Tekstpodstawowy"/>
        <w:numPr>
          <w:ilvl w:val="0"/>
          <w:numId w:val="27"/>
        </w:numPr>
        <w:tabs>
          <w:tab w:val="clear" w:pos="900"/>
          <w:tab w:val="num" w:pos="180"/>
        </w:tabs>
        <w:spacing w:line="240" w:lineRule="auto"/>
        <w:ind w:hanging="900"/>
        <w:rPr>
          <w:rFonts w:ascii="Times New Roman" w:hAnsi="Times New Roman" w:cs="Times New Roman"/>
          <w:bCs/>
          <w:sz w:val="16"/>
          <w:szCs w:val="16"/>
        </w:rPr>
      </w:pPr>
      <w:r w:rsidRPr="00697248">
        <w:rPr>
          <w:rFonts w:ascii="Times New Roman" w:hAnsi="Times New Roman" w:cs="Times New Roman"/>
          <w:bCs/>
          <w:sz w:val="16"/>
          <w:szCs w:val="16"/>
        </w:rPr>
        <w:t xml:space="preserve">Wioletta </w:t>
      </w:r>
      <w:proofErr w:type="spellStart"/>
      <w:r w:rsidRPr="00697248">
        <w:rPr>
          <w:rFonts w:ascii="Times New Roman" w:hAnsi="Times New Roman" w:cs="Times New Roman"/>
          <w:bCs/>
          <w:sz w:val="16"/>
          <w:szCs w:val="16"/>
        </w:rPr>
        <w:t>Pacler</w:t>
      </w:r>
      <w:proofErr w:type="spellEnd"/>
    </w:p>
    <w:p w:rsidR="00815506" w:rsidRPr="00697248" w:rsidRDefault="00815506" w:rsidP="000B19C4">
      <w:pPr>
        <w:pStyle w:val="Tekstpodstawowy"/>
        <w:tabs>
          <w:tab w:val="num" w:pos="180"/>
        </w:tabs>
        <w:spacing w:line="240" w:lineRule="auto"/>
        <w:ind w:left="180" w:hanging="900"/>
        <w:rPr>
          <w:rFonts w:ascii="Times New Roman" w:hAnsi="Times New Roman" w:cs="Times New Roman"/>
          <w:bCs/>
          <w:sz w:val="16"/>
          <w:szCs w:val="16"/>
        </w:rPr>
      </w:pPr>
      <w:r w:rsidRPr="00697248">
        <w:rPr>
          <w:rFonts w:ascii="Times New Roman" w:hAnsi="Times New Roman" w:cs="Times New Roman"/>
          <w:bCs/>
          <w:sz w:val="16"/>
          <w:szCs w:val="16"/>
        </w:rPr>
        <w:tab/>
        <w:t>Pełnomocnik OPL</w:t>
      </w:r>
    </w:p>
    <w:p w:rsidR="00815506" w:rsidRPr="00697248" w:rsidRDefault="00815506" w:rsidP="000B19C4">
      <w:pPr>
        <w:pStyle w:val="Tekstpodstawowy"/>
        <w:tabs>
          <w:tab w:val="num" w:pos="180"/>
        </w:tabs>
        <w:spacing w:line="240" w:lineRule="auto"/>
        <w:ind w:left="180" w:hanging="900"/>
        <w:rPr>
          <w:rFonts w:ascii="Times New Roman" w:hAnsi="Times New Roman" w:cs="Times New Roman"/>
          <w:bCs/>
          <w:sz w:val="16"/>
          <w:szCs w:val="16"/>
        </w:rPr>
      </w:pPr>
      <w:r w:rsidRPr="00697248">
        <w:rPr>
          <w:rFonts w:ascii="Times New Roman" w:hAnsi="Times New Roman" w:cs="Times New Roman"/>
          <w:bCs/>
          <w:sz w:val="16"/>
          <w:szCs w:val="16"/>
        </w:rPr>
        <w:tab/>
        <w:t>Al. Jerozolimskie 160</w:t>
      </w:r>
    </w:p>
    <w:p w:rsidR="00815506" w:rsidRPr="00230029" w:rsidRDefault="00815506" w:rsidP="00230029">
      <w:pPr>
        <w:tabs>
          <w:tab w:val="num" w:pos="180"/>
        </w:tabs>
        <w:ind w:left="180" w:hanging="900"/>
        <w:rPr>
          <w:bCs/>
          <w:sz w:val="18"/>
          <w:szCs w:val="18"/>
        </w:rPr>
      </w:pPr>
      <w:r w:rsidRPr="00697248">
        <w:rPr>
          <w:bCs/>
          <w:sz w:val="16"/>
          <w:szCs w:val="16"/>
        </w:rPr>
        <w:tab/>
        <w:t>02-326 Warszawa</w:t>
      </w:r>
    </w:p>
    <w:sectPr w:rsidR="00815506" w:rsidRPr="00230029" w:rsidSect="00E37580">
      <w:footerReference w:type="even" r:id="rId8"/>
      <w:footerReference w:type="default" r:id="rId9"/>
      <w:footerReference w:type="first" r:id="rId10"/>
      <w:pgSz w:w="11906" w:h="16838" w:code="9"/>
      <w:pgMar w:top="1418" w:right="1418" w:bottom="1418" w:left="226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4B85" w:rsidRDefault="00914B85">
      <w:r>
        <w:separator/>
      </w:r>
    </w:p>
  </w:endnote>
  <w:endnote w:type="continuationSeparator" w:id="0">
    <w:p w:rsidR="00914B85" w:rsidRDefault="00914B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Bookman Old Style">
    <w:panose1 w:val="02050604050505020204"/>
    <w:charset w:val="EE"/>
    <w:family w:val="roman"/>
    <w:pitch w:val="variable"/>
    <w:sig w:usb0="00000287" w:usb1="00000000" w:usb2="00000000" w:usb3="00000000" w:csb0="0000009F" w:csb1="00000000"/>
  </w:font>
  <w:font w:name="EUAlbertina">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4B85" w:rsidRDefault="006B6DE0" w:rsidP="00E37580">
    <w:pPr>
      <w:pStyle w:val="Stopka"/>
      <w:framePr w:wrap="around" w:vAnchor="text" w:hAnchor="margin" w:xAlign="right" w:y="1"/>
      <w:rPr>
        <w:rStyle w:val="Numerstrony"/>
      </w:rPr>
    </w:pPr>
    <w:r>
      <w:rPr>
        <w:rStyle w:val="Numerstrony"/>
      </w:rPr>
      <w:fldChar w:fldCharType="begin"/>
    </w:r>
    <w:r w:rsidR="00914B85">
      <w:rPr>
        <w:rStyle w:val="Numerstrony"/>
      </w:rPr>
      <w:instrText xml:space="preserve">PAGE  </w:instrText>
    </w:r>
    <w:r>
      <w:rPr>
        <w:rStyle w:val="Numerstrony"/>
      </w:rPr>
      <w:fldChar w:fldCharType="end"/>
    </w:r>
  </w:p>
  <w:p w:rsidR="00914B85" w:rsidRDefault="00914B85">
    <w:pPr>
      <w:pStyle w:val="Stopk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4B85" w:rsidRDefault="006B6DE0" w:rsidP="00E37580">
    <w:pPr>
      <w:pStyle w:val="Stopka"/>
      <w:framePr w:wrap="around" w:vAnchor="text" w:hAnchor="margin" w:xAlign="right" w:y="1"/>
      <w:jc w:val="right"/>
      <w:rPr>
        <w:rStyle w:val="Numerstrony"/>
      </w:rPr>
    </w:pPr>
    <w:r>
      <w:rPr>
        <w:rStyle w:val="Numerstrony"/>
      </w:rPr>
      <w:fldChar w:fldCharType="begin"/>
    </w:r>
    <w:r w:rsidR="00914B85">
      <w:rPr>
        <w:rStyle w:val="Numerstrony"/>
      </w:rPr>
      <w:instrText xml:space="preserve">PAGE  </w:instrText>
    </w:r>
    <w:r>
      <w:rPr>
        <w:rStyle w:val="Numerstrony"/>
      </w:rPr>
      <w:fldChar w:fldCharType="separate"/>
    </w:r>
    <w:r w:rsidR="00961A7E">
      <w:rPr>
        <w:rStyle w:val="Numerstrony"/>
        <w:noProof/>
      </w:rPr>
      <w:t>20</w:t>
    </w:r>
    <w:r>
      <w:rPr>
        <w:rStyle w:val="Numerstrony"/>
      </w:rPr>
      <w:fldChar w:fldCharType="end"/>
    </w:r>
  </w:p>
  <w:p w:rsidR="00914B85" w:rsidRDefault="00914B85" w:rsidP="00E37580">
    <w:pPr>
      <w:pStyle w:val="Stopka"/>
      <w:framePr w:wrap="around" w:vAnchor="text" w:hAnchor="margin" w:xAlign="right" w:y="1"/>
      <w:ind w:right="360"/>
      <w:rPr>
        <w:rStyle w:val="Numerstrony"/>
      </w:rPr>
    </w:pPr>
  </w:p>
  <w:p w:rsidR="00914B85" w:rsidRDefault="00914B85">
    <w:pPr>
      <w:pStyle w:val="Stopka"/>
      <w:ind w:right="360"/>
      <w:jc w:val="center"/>
      <w:rPr>
        <w:sz w:val="16"/>
      </w:rPr>
    </w:pPr>
    <w:r>
      <w:rPr>
        <w:sz w:val="16"/>
      </w:rPr>
      <w:t>Urząd Komunikacji Elektronicznej</w:t>
    </w:r>
  </w:p>
  <w:p w:rsidR="00914B85" w:rsidRDefault="00914B85">
    <w:pPr>
      <w:pStyle w:val="Stopka"/>
      <w:ind w:right="360"/>
      <w:jc w:val="center"/>
      <w:rPr>
        <w:sz w:val="16"/>
      </w:rPr>
    </w:pPr>
    <w:r>
      <w:rPr>
        <w:sz w:val="16"/>
      </w:rPr>
      <w:t>Departament Hurtowego Rynku Telekomunikacyjnego</w:t>
    </w:r>
  </w:p>
  <w:p w:rsidR="00914B85" w:rsidRDefault="00914B85">
    <w:pPr>
      <w:pStyle w:val="Stopka"/>
      <w:jc w:val="center"/>
    </w:pPr>
    <w:r>
      <w:rPr>
        <w:sz w:val="16"/>
      </w:rPr>
      <w:t xml:space="preserve">Warszawa, ul. Kasprzaka 18/20, tel. 22 53 49 440, </w:t>
    </w:r>
    <w:proofErr w:type="spellStart"/>
    <w:r>
      <w:rPr>
        <w:sz w:val="16"/>
      </w:rPr>
      <w:t>fax</w:t>
    </w:r>
    <w:proofErr w:type="spellEnd"/>
    <w:r>
      <w:rPr>
        <w:sz w:val="16"/>
      </w:rPr>
      <w:t xml:space="preserve"> 22 53 49 306</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4B85" w:rsidRDefault="00914B85" w:rsidP="00E37580">
    <w:pPr>
      <w:pStyle w:val="Stopka"/>
      <w:ind w:right="360"/>
      <w:jc w:val="center"/>
      <w:rPr>
        <w:sz w:val="16"/>
      </w:rPr>
    </w:pPr>
    <w:r>
      <w:rPr>
        <w:sz w:val="16"/>
      </w:rPr>
      <w:t>Urząd Komunikacji Elektronicznej</w:t>
    </w:r>
  </w:p>
  <w:p w:rsidR="00914B85" w:rsidRDefault="00914B85" w:rsidP="00E37580">
    <w:pPr>
      <w:pStyle w:val="Stopka"/>
      <w:ind w:right="360"/>
      <w:jc w:val="center"/>
      <w:rPr>
        <w:sz w:val="16"/>
      </w:rPr>
    </w:pPr>
    <w:r>
      <w:rPr>
        <w:sz w:val="16"/>
      </w:rPr>
      <w:t>Departament Hurtowego Rynku Telekomunikacyjnego</w:t>
    </w:r>
  </w:p>
  <w:p w:rsidR="00914B85" w:rsidRDefault="00914B85" w:rsidP="00E37580">
    <w:pPr>
      <w:pStyle w:val="Stopka"/>
      <w:jc w:val="center"/>
    </w:pPr>
    <w:r>
      <w:rPr>
        <w:sz w:val="16"/>
      </w:rPr>
      <w:t xml:space="preserve">Warszawa, ul. Kasprzaka 18/20, tel. 22 53 49 440, </w:t>
    </w:r>
    <w:proofErr w:type="spellStart"/>
    <w:r>
      <w:rPr>
        <w:sz w:val="16"/>
      </w:rPr>
      <w:t>fax</w:t>
    </w:r>
    <w:proofErr w:type="spellEnd"/>
    <w:r>
      <w:rPr>
        <w:sz w:val="16"/>
      </w:rPr>
      <w:t xml:space="preserve"> 22 53 49 306</w:t>
    </w:r>
  </w:p>
  <w:p w:rsidR="00914B85" w:rsidRDefault="00914B85">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4B85" w:rsidRDefault="00914B85">
      <w:r>
        <w:separator/>
      </w:r>
    </w:p>
  </w:footnote>
  <w:footnote w:type="continuationSeparator" w:id="0">
    <w:p w:rsidR="00914B85" w:rsidRDefault="00914B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E5C10"/>
    <w:multiLevelType w:val="multilevel"/>
    <w:tmpl w:val="3FBA3E5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nsid w:val="09331965"/>
    <w:multiLevelType w:val="hybridMultilevel"/>
    <w:tmpl w:val="BAAA7FCA"/>
    <w:lvl w:ilvl="0" w:tplc="4A68F986">
      <w:start w:val="1"/>
      <w:numFmt w:val="lowerLetter"/>
      <w:lvlText w:val="%1)"/>
      <w:lvlJc w:val="left"/>
      <w:pPr>
        <w:tabs>
          <w:tab w:val="num" w:pos="1080"/>
        </w:tabs>
        <w:ind w:left="108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
    <w:nsid w:val="0D244B4D"/>
    <w:multiLevelType w:val="hybridMultilevel"/>
    <w:tmpl w:val="2F345DCC"/>
    <w:lvl w:ilvl="0" w:tplc="0415000F">
      <w:start w:val="1"/>
      <w:numFmt w:val="decimal"/>
      <w:lvlText w:val="%1."/>
      <w:lvlJc w:val="left"/>
      <w:pPr>
        <w:tabs>
          <w:tab w:val="num" w:pos="1428"/>
        </w:tabs>
        <w:ind w:left="1428" w:hanging="360"/>
      </w:pPr>
      <w:rPr>
        <w:rFonts w:cs="Times New Roman"/>
      </w:rPr>
    </w:lvl>
    <w:lvl w:ilvl="1" w:tplc="04150019" w:tentative="1">
      <w:start w:val="1"/>
      <w:numFmt w:val="lowerLetter"/>
      <w:lvlText w:val="%2."/>
      <w:lvlJc w:val="left"/>
      <w:pPr>
        <w:tabs>
          <w:tab w:val="num" w:pos="2148"/>
        </w:tabs>
        <w:ind w:left="2148" w:hanging="360"/>
      </w:pPr>
      <w:rPr>
        <w:rFonts w:cs="Times New Roman"/>
      </w:rPr>
    </w:lvl>
    <w:lvl w:ilvl="2" w:tplc="0415001B" w:tentative="1">
      <w:start w:val="1"/>
      <w:numFmt w:val="lowerRoman"/>
      <w:lvlText w:val="%3."/>
      <w:lvlJc w:val="right"/>
      <w:pPr>
        <w:tabs>
          <w:tab w:val="num" w:pos="2868"/>
        </w:tabs>
        <w:ind w:left="2868" w:hanging="180"/>
      </w:pPr>
      <w:rPr>
        <w:rFonts w:cs="Times New Roman"/>
      </w:rPr>
    </w:lvl>
    <w:lvl w:ilvl="3" w:tplc="0415000F" w:tentative="1">
      <w:start w:val="1"/>
      <w:numFmt w:val="decimal"/>
      <w:lvlText w:val="%4."/>
      <w:lvlJc w:val="left"/>
      <w:pPr>
        <w:tabs>
          <w:tab w:val="num" w:pos="3588"/>
        </w:tabs>
        <w:ind w:left="3588" w:hanging="360"/>
      </w:pPr>
      <w:rPr>
        <w:rFonts w:cs="Times New Roman"/>
      </w:rPr>
    </w:lvl>
    <w:lvl w:ilvl="4" w:tplc="04150019" w:tentative="1">
      <w:start w:val="1"/>
      <w:numFmt w:val="lowerLetter"/>
      <w:lvlText w:val="%5."/>
      <w:lvlJc w:val="left"/>
      <w:pPr>
        <w:tabs>
          <w:tab w:val="num" w:pos="4308"/>
        </w:tabs>
        <w:ind w:left="4308" w:hanging="360"/>
      </w:pPr>
      <w:rPr>
        <w:rFonts w:cs="Times New Roman"/>
      </w:rPr>
    </w:lvl>
    <w:lvl w:ilvl="5" w:tplc="0415001B" w:tentative="1">
      <w:start w:val="1"/>
      <w:numFmt w:val="lowerRoman"/>
      <w:lvlText w:val="%6."/>
      <w:lvlJc w:val="right"/>
      <w:pPr>
        <w:tabs>
          <w:tab w:val="num" w:pos="5028"/>
        </w:tabs>
        <w:ind w:left="5028" w:hanging="180"/>
      </w:pPr>
      <w:rPr>
        <w:rFonts w:cs="Times New Roman"/>
      </w:rPr>
    </w:lvl>
    <w:lvl w:ilvl="6" w:tplc="0415000F" w:tentative="1">
      <w:start w:val="1"/>
      <w:numFmt w:val="decimal"/>
      <w:lvlText w:val="%7."/>
      <w:lvlJc w:val="left"/>
      <w:pPr>
        <w:tabs>
          <w:tab w:val="num" w:pos="5748"/>
        </w:tabs>
        <w:ind w:left="5748" w:hanging="360"/>
      </w:pPr>
      <w:rPr>
        <w:rFonts w:cs="Times New Roman"/>
      </w:rPr>
    </w:lvl>
    <w:lvl w:ilvl="7" w:tplc="04150019" w:tentative="1">
      <w:start w:val="1"/>
      <w:numFmt w:val="lowerLetter"/>
      <w:lvlText w:val="%8."/>
      <w:lvlJc w:val="left"/>
      <w:pPr>
        <w:tabs>
          <w:tab w:val="num" w:pos="6468"/>
        </w:tabs>
        <w:ind w:left="6468" w:hanging="360"/>
      </w:pPr>
      <w:rPr>
        <w:rFonts w:cs="Times New Roman"/>
      </w:rPr>
    </w:lvl>
    <w:lvl w:ilvl="8" w:tplc="0415001B" w:tentative="1">
      <w:start w:val="1"/>
      <w:numFmt w:val="lowerRoman"/>
      <w:lvlText w:val="%9."/>
      <w:lvlJc w:val="right"/>
      <w:pPr>
        <w:tabs>
          <w:tab w:val="num" w:pos="7188"/>
        </w:tabs>
        <w:ind w:left="7188" w:hanging="180"/>
      </w:pPr>
      <w:rPr>
        <w:rFonts w:cs="Times New Roman"/>
      </w:rPr>
    </w:lvl>
  </w:abstractNum>
  <w:abstractNum w:abstractNumId="3">
    <w:nsid w:val="139733C3"/>
    <w:multiLevelType w:val="hybridMultilevel"/>
    <w:tmpl w:val="D4E4CEC2"/>
    <w:lvl w:ilvl="0" w:tplc="04150017">
      <w:start w:val="1"/>
      <w:numFmt w:val="lowerLetter"/>
      <w:lvlText w:val="%1)"/>
      <w:lvlJc w:val="left"/>
      <w:pPr>
        <w:tabs>
          <w:tab w:val="num" w:pos="720"/>
        </w:tabs>
        <w:ind w:left="720" w:hanging="360"/>
      </w:pPr>
      <w:rPr>
        <w:rFonts w:cs="Times New Roman"/>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
    <w:nsid w:val="16A03C9D"/>
    <w:multiLevelType w:val="hybridMultilevel"/>
    <w:tmpl w:val="411890F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
    <w:nsid w:val="1CBC0BE9"/>
    <w:multiLevelType w:val="hybridMultilevel"/>
    <w:tmpl w:val="0DDC07EA"/>
    <w:lvl w:ilvl="0" w:tplc="0415000F">
      <w:start w:val="1"/>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6">
    <w:nsid w:val="202D0A92"/>
    <w:multiLevelType w:val="hybridMultilevel"/>
    <w:tmpl w:val="656A1CD4"/>
    <w:lvl w:ilvl="0" w:tplc="05D8A4DE">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
    <w:nsid w:val="24546BF4"/>
    <w:multiLevelType w:val="hybridMultilevel"/>
    <w:tmpl w:val="807A2C46"/>
    <w:lvl w:ilvl="0" w:tplc="0415000F">
      <w:start w:val="1"/>
      <w:numFmt w:val="decimal"/>
      <w:lvlText w:val="%1."/>
      <w:lvlJc w:val="left"/>
      <w:pPr>
        <w:tabs>
          <w:tab w:val="num" w:pos="1260"/>
        </w:tabs>
        <w:ind w:left="1260" w:hanging="360"/>
      </w:pPr>
      <w:rPr>
        <w:rFonts w:cs="Times New Roman"/>
      </w:rPr>
    </w:lvl>
    <w:lvl w:ilvl="1" w:tplc="04150019" w:tentative="1">
      <w:start w:val="1"/>
      <w:numFmt w:val="lowerLetter"/>
      <w:lvlText w:val="%2."/>
      <w:lvlJc w:val="left"/>
      <w:pPr>
        <w:tabs>
          <w:tab w:val="num" w:pos="1980"/>
        </w:tabs>
        <w:ind w:left="1980" w:hanging="360"/>
      </w:pPr>
      <w:rPr>
        <w:rFonts w:cs="Times New Roman"/>
      </w:rPr>
    </w:lvl>
    <w:lvl w:ilvl="2" w:tplc="0415001B" w:tentative="1">
      <w:start w:val="1"/>
      <w:numFmt w:val="lowerRoman"/>
      <w:lvlText w:val="%3."/>
      <w:lvlJc w:val="right"/>
      <w:pPr>
        <w:tabs>
          <w:tab w:val="num" w:pos="2700"/>
        </w:tabs>
        <w:ind w:left="2700" w:hanging="180"/>
      </w:pPr>
      <w:rPr>
        <w:rFonts w:cs="Times New Roman"/>
      </w:rPr>
    </w:lvl>
    <w:lvl w:ilvl="3" w:tplc="0415000F" w:tentative="1">
      <w:start w:val="1"/>
      <w:numFmt w:val="decimal"/>
      <w:lvlText w:val="%4."/>
      <w:lvlJc w:val="left"/>
      <w:pPr>
        <w:tabs>
          <w:tab w:val="num" w:pos="3420"/>
        </w:tabs>
        <w:ind w:left="3420" w:hanging="360"/>
      </w:pPr>
      <w:rPr>
        <w:rFonts w:cs="Times New Roman"/>
      </w:rPr>
    </w:lvl>
    <w:lvl w:ilvl="4" w:tplc="04150019" w:tentative="1">
      <w:start w:val="1"/>
      <w:numFmt w:val="lowerLetter"/>
      <w:lvlText w:val="%5."/>
      <w:lvlJc w:val="left"/>
      <w:pPr>
        <w:tabs>
          <w:tab w:val="num" w:pos="4140"/>
        </w:tabs>
        <w:ind w:left="4140" w:hanging="360"/>
      </w:pPr>
      <w:rPr>
        <w:rFonts w:cs="Times New Roman"/>
      </w:rPr>
    </w:lvl>
    <w:lvl w:ilvl="5" w:tplc="0415001B" w:tentative="1">
      <w:start w:val="1"/>
      <w:numFmt w:val="lowerRoman"/>
      <w:lvlText w:val="%6."/>
      <w:lvlJc w:val="right"/>
      <w:pPr>
        <w:tabs>
          <w:tab w:val="num" w:pos="4860"/>
        </w:tabs>
        <w:ind w:left="4860" w:hanging="180"/>
      </w:pPr>
      <w:rPr>
        <w:rFonts w:cs="Times New Roman"/>
      </w:rPr>
    </w:lvl>
    <w:lvl w:ilvl="6" w:tplc="0415000F" w:tentative="1">
      <w:start w:val="1"/>
      <w:numFmt w:val="decimal"/>
      <w:lvlText w:val="%7."/>
      <w:lvlJc w:val="left"/>
      <w:pPr>
        <w:tabs>
          <w:tab w:val="num" w:pos="5580"/>
        </w:tabs>
        <w:ind w:left="5580" w:hanging="360"/>
      </w:pPr>
      <w:rPr>
        <w:rFonts w:cs="Times New Roman"/>
      </w:rPr>
    </w:lvl>
    <w:lvl w:ilvl="7" w:tplc="04150019" w:tentative="1">
      <w:start w:val="1"/>
      <w:numFmt w:val="lowerLetter"/>
      <w:lvlText w:val="%8."/>
      <w:lvlJc w:val="left"/>
      <w:pPr>
        <w:tabs>
          <w:tab w:val="num" w:pos="6300"/>
        </w:tabs>
        <w:ind w:left="6300" w:hanging="360"/>
      </w:pPr>
      <w:rPr>
        <w:rFonts w:cs="Times New Roman"/>
      </w:rPr>
    </w:lvl>
    <w:lvl w:ilvl="8" w:tplc="0415001B" w:tentative="1">
      <w:start w:val="1"/>
      <w:numFmt w:val="lowerRoman"/>
      <w:lvlText w:val="%9."/>
      <w:lvlJc w:val="right"/>
      <w:pPr>
        <w:tabs>
          <w:tab w:val="num" w:pos="7020"/>
        </w:tabs>
        <w:ind w:left="7020" w:hanging="180"/>
      </w:pPr>
      <w:rPr>
        <w:rFonts w:cs="Times New Roman"/>
      </w:rPr>
    </w:lvl>
  </w:abstractNum>
  <w:abstractNum w:abstractNumId="8">
    <w:nsid w:val="246C0933"/>
    <w:multiLevelType w:val="hybridMultilevel"/>
    <w:tmpl w:val="1452DCFC"/>
    <w:lvl w:ilvl="0" w:tplc="05D8A4DE">
      <w:start w:val="1"/>
      <w:numFmt w:val="bullet"/>
      <w:lvlText w:val=""/>
      <w:lvlJc w:val="left"/>
      <w:pPr>
        <w:tabs>
          <w:tab w:val="num" w:pos="720"/>
        </w:tabs>
        <w:ind w:left="720" w:hanging="360"/>
      </w:pPr>
      <w:rPr>
        <w:rFonts w:ascii="Symbol" w:hAnsi="Symbol"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9">
    <w:nsid w:val="255E417B"/>
    <w:multiLevelType w:val="hybridMultilevel"/>
    <w:tmpl w:val="20F81AB2"/>
    <w:lvl w:ilvl="0" w:tplc="8A16F680">
      <w:start w:val="1"/>
      <w:numFmt w:val="bullet"/>
      <w:lvlText w:val=""/>
      <w:lvlJc w:val="left"/>
      <w:pPr>
        <w:tabs>
          <w:tab w:val="num" w:pos="780"/>
        </w:tabs>
        <w:ind w:left="78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0">
    <w:nsid w:val="274E2371"/>
    <w:multiLevelType w:val="hybridMultilevel"/>
    <w:tmpl w:val="C48A561A"/>
    <w:lvl w:ilvl="0" w:tplc="314ECD02">
      <w:start w:val="1"/>
      <w:numFmt w:val="decimal"/>
      <w:lvlText w:val="%1)"/>
      <w:lvlJc w:val="left"/>
      <w:pPr>
        <w:tabs>
          <w:tab w:val="num" w:pos="720"/>
        </w:tabs>
        <w:ind w:left="720" w:hanging="360"/>
      </w:pPr>
      <w:rPr>
        <w:rFonts w:cs="Times New Roman" w:hint="default"/>
        <w:b w:val="0"/>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1">
    <w:nsid w:val="2AAE0992"/>
    <w:multiLevelType w:val="hybridMultilevel"/>
    <w:tmpl w:val="CF78B35C"/>
    <w:lvl w:ilvl="0" w:tplc="6B8EA962">
      <w:start w:val="1"/>
      <w:numFmt w:val="decimal"/>
      <w:lvlText w:val="%1)"/>
      <w:lvlJc w:val="right"/>
      <w:pPr>
        <w:tabs>
          <w:tab w:val="num" w:pos="1003"/>
        </w:tabs>
        <w:ind w:left="1003"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2">
    <w:nsid w:val="332A0FA7"/>
    <w:multiLevelType w:val="hybridMultilevel"/>
    <w:tmpl w:val="405C757A"/>
    <w:lvl w:ilvl="0" w:tplc="6B40F45A">
      <w:start w:val="1"/>
      <w:numFmt w:val="lowerRoman"/>
      <w:lvlText w:val="%1)"/>
      <w:lvlJc w:val="left"/>
      <w:pPr>
        <w:tabs>
          <w:tab w:val="num" w:pos="1440"/>
        </w:tabs>
        <w:ind w:left="1440" w:hanging="360"/>
      </w:pPr>
      <w:rPr>
        <w:rFonts w:cs="Times New Roman" w:hint="default"/>
        <w:b w:val="0"/>
      </w:rPr>
    </w:lvl>
    <w:lvl w:ilvl="1" w:tplc="04150019" w:tentative="1">
      <w:start w:val="1"/>
      <w:numFmt w:val="lowerLetter"/>
      <w:lvlText w:val="%2."/>
      <w:lvlJc w:val="left"/>
      <w:pPr>
        <w:tabs>
          <w:tab w:val="num" w:pos="2160"/>
        </w:tabs>
        <w:ind w:left="2160" w:hanging="360"/>
      </w:pPr>
      <w:rPr>
        <w:rFonts w:cs="Times New Roman"/>
      </w:rPr>
    </w:lvl>
    <w:lvl w:ilvl="2" w:tplc="0415001B" w:tentative="1">
      <w:start w:val="1"/>
      <w:numFmt w:val="lowerRoman"/>
      <w:lvlText w:val="%3."/>
      <w:lvlJc w:val="right"/>
      <w:pPr>
        <w:tabs>
          <w:tab w:val="num" w:pos="2880"/>
        </w:tabs>
        <w:ind w:left="2880" w:hanging="180"/>
      </w:pPr>
      <w:rPr>
        <w:rFonts w:cs="Times New Roman"/>
      </w:rPr>
    </w:lvl>
    <w:lvl w:ilvl="3" w:tplc="0415000F" w:tentative="1">
      <w:start w:val="1"/>
      <w:numFmt w:val="decimal"/>
      <w:lvlText w:val="%4."/>
      <w:lvlJc w:val="left"/>
      <w:pPr>
        <w:tabs>
          <w:tab w:val="num" w:pos="3600"/>
        </w:tabs>
        <w:ind w:left="3600" w:hanging="360"/>
      </w:pPr>
      <w:rPr>
        <w:rFonts w:cs="Times New Roman"/>
      </w:rPr>
    </w:lvl>
    <w:lvl w:ilvl="4" w:tplc="04150019" w:tentative="1">
      <w:start w:val="1"/>
      <w:numFmt w:val="lowerLetter"/>
      <w:lvlText w:val="%5."/>
      <w:lvlJc w:val="left"/>
      <w:pPr>
        <w:tabs>
          <w:tab w:val="num" w:pos="4320"/>
        </w:tabs>
        <w:ind w:left="4320" w:hanging="360"/>
      </w:pPr>
      <w:rPr>
        <w:rFonts w:cs="Times New Roman"/>
      </w:rPr>
    </w:lvl>
    <w:lvl w:ilvl="5" w:tplc="0415001B" w:tentative="1">
      <w:start w:val="1"/>
      <w:numFmt w:val="lowerRoman"/>
      <w:lvlText w:val="%6."/>
      <w:lvlJc w:val="right"/>
      <w:pPr>
        <w:tabs>
          <w:tab w:val="num" w:pos="5040"/>
        </w:tabs>
        <w:ind w:left="5040" w:hanging="180"/>
      </w:pPr>
      <w:rPr>
        <w:rFonts w:cs="Times New Roman"/>
      </w:rPr>
    </w:lvl>
    <w:lvl w:ilvl="6" w:tplc="0415000F" w:tentative="1">
      <w:start w:val="1"/>
      <w:numFmt w:val="decimal"/>
      <w:lvlText w:val="%7."/>
      <w:lvlJc w:val="left"/>
      <w:pPr>
        <w:tabs>
          <w:tab w:val="num" w:pos="5760"/>
        </w:tabs>
        <w:ind w:left="5760" w:hanging="360"/>
      </w:pPr>
      <w:rPr>
        <w:rFonts w:cs="Times New Roman"/>
      </w:rPr>
    </w:lvl>
    <w:lvl w:ilvl="7" w:tplc="04150019" w:tentative="1">
      <w:start w:val="1"/>
      <w:numFmt w:val="lowerLetter"/>
      <w:lvlText w:val="%8."/>
      <w:lvlJc w:val="left"/>
      <w:pPr>
        <w:tabs>
          <w:tab w:val="num" w:pos="6480"/>
        </w:tabs>
        <w:ind w:left="6480" w:hanging="360"/>
      </w:pPr>
      <w:rPr>
        <w:rFonts w:cs="Times New Roman"/>
      </w:rPr>
    </w:lvl>
    <w:lvl w:ilvl="8" w:tplc="0415001B" w:tentative="1">
      <w:start w:val="1"/>
      <w:numFmt w:val="lowerRoman"/>
      <w:lvlText w:val="%9."/>
      <w:lvlJc w:val="right"/>
      <w:pPr>
        <w:tabs>
          <w:tab w:val="num" w:pos="7200"/>
        </w:tabs>
        <w:ind w:left="7200" w:hanging="180"/>
      </w:pPr>
      <w:rPr>
        <w:rFonts w:cs="Times New Roman"/>
      </w:rPr>
    </w:lvl>
  </w:abstractNum>
  <w:abstractNum w:abstractNumId="13">
    <w:nsid w:val="34B240BE"/>
    <w:multiLevelType w:val="hybridMultilevel"/>
    <w:tmpl w:val="5BD43854"/>
    <w:lvl w:ilvl="0" w:tplc="0415000F">
      <w:start w:val="1"/>
      <w:numFmt w:val="decimal"/>
      <w:lvlText w:val="%1."/>
      <w:lvlJc w:val="left"/>
      <w:pPr>
        <w:tabs>
          <w:tab w:val="num" w:pos="720"/>
        </w:tabs>
        <w:ind w:left="720" w:hanging="360"/>
      </w:pPr>
      <w:rPr>
        <w:rFonts w:cs="Times New Roman" w:hint="default"/>
        <w:i w:val="0"/>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4">
    <w:nsid w:val="3668630B"/>
    <w:multiLevelType w:val="hybridMultilevel"/>
    <w:tmpl w:val="33FE0390"/>
    <w:lvl w:ilvl="0" w:tplc="D0828BDE">
      <w:start w:val="1"/>
      <w:numFmt w:val="decimal"/>
      <w:lvlText w:val="%1."/>
      <w:lvlJc w:val="left"/>
      <w:pPr>
        <w:tabs>
          <w:tab w:val="num" w:pos="1080"/>
        </w:tabs>
        <w:ind w:left="1080" w:hanging="360"/>
      </w:pPr>
      <w:rPr>
        <w:rFonts w:cs="Times New Roman" w:hint="default"/>
      </w:rPr>
    </w:lvl>
    <w:lvl w:ilvl="1" w:tplc="04150019" w:tentative="1">
      <w:start w:val="1"/>
      <w:numFmt w:val="lowerLetter"/>
      <w:lvlText w:val="%2."/>
      <w:lvlJc w:val="left"/>
      <w:pPr>
        <w:tabs>
          <w:tab w:val="num" w:pos="1800"/>
        </w:tabs>
        <w:ind w:left="1800" w:hanging="360"/>
      </w:pPr>
      <w:rPr>
        <w:rFonts w:cs="Times New Roman"/>
      </w:rPr>
    </w:lvl>
    <w:lvl w:ilvl="2" w:tplc="0415001B" w:tentative="1">
      <w:start w:val="1"/>
      <w:numFmt w:val="lowerRoman"/>
      <w:lvlText w:val="%3."/>
      <w:lvlJc w:val="right"/>
      <w:pPr>
        <w:tabs>
          <w:tab w:val="num" w:pos="2520"/>
        </w:tabs>
        <w:ind w:left="2520" w:hanging="180"/>
      </w:pPr>
      <w:rPr>
        <w:rFonts w:cs="Times New Roman"/>
      </w:rPr>
    </w:lvl>
    <w:lvl w:ilvl="3" w:tplc="0415000F" w:tentative="1">
      <w:start w:val="1"/>
      <w:numFmt w:val="decimal"/>
      <w:lvlText w:val="%4."/>
      <w:lvlJc w:val="left"/>
      <w:pPr>
        <w:tabs>
          <w:tab w:val="num" w:pos="3240"/>
        </w:tabs>
        <w:ind w:left="3240" w:hanging="360"/>
      </w:pPr>
      <w:rPr>
        <w:rFonts w:cs="Times New Roman"/>
      </w:rPr>
    </w:lvl>
    <w:lvl w:ilvl="4" w:tplc="04150019" w:tentative="1">
      <w:start w:val="1"/>
      <w:numFmt w:val="lowerLetter"/>
      <w:lvlText w:val="%5."/>
      <w:lvlJc w:val="left"/>
      <w:pPr>
        <w:tabs>
          <w:tab w:val="num" w:pos="3960"/>
        </w:tabs>
        <w:ind w:left="3960" w:hanging="360"/>
      </w:pPr>
      <w:rPr>
        <w:rFonts w:cs="Times New Roman"/>
      </w:rPr>
    </w:lvl>
    <w:lvl w:ilvl="5" w:tplc="0415001B" w:tentative="1">
      <w:start w:val="1"/>
      <w:numFmt w:val="lowerRoman"/>
      <w:lvlText w:val="%6."/>
      <w:lvlJc w:val="right"/>
      <w:pPr>
        <w:tabs>
          <w:tab w:val="num" w:pos="4680"/>
        </w:tabs>
        <w:ind w:left="4680" w:hanging="180"/>
      </w:pPr>
      <w:rPr>
        <w:rFonts w:cs="Times New Roman"/>
      </w:rPr>
    </w:lvl>
    <w:lvl w:ilvl="6" w:tplc="0415000F" w:tentative="1">
      <w:start w:val="1"/>
      <w:numFmt w:val="decimal"/>
      <w:lvlText w:val="%7."/>
      <w:lvlJc w:val="left"/>
      <w:pPr>
        <w:tabs>
          <w:tab w:val="num" w:pos="5400"/>
        </w:tabs>
        <w:ind w:left="5400" w:hanging="360"/>
      </w:pPr>
      <w:rPr>
        <w:rFonts w:cs="Times New Roman"/>
      </w:rPr>
    </w:lvl>
    <w:lvl w:ilvl="7" w:tplc="04150019" w:tentative="1">
      <w:start w:val="1"/>
      <w:numFmt w:val="lowerLetter"/>
      <w:lvlText w:val="%8."/>
      <w:lvlJc w:val="left"/>
      <w:pPr>
        <w:tabs>
          <w:tab w:val="num" w:pos="6120"/>
        </w:tabs>
        <w:ind w:left="6120" w:hanging="360"/>
      </w:pPr>
      <w:rPr>
        <w:rFonts w:cs="Times New Roman"/>
      </w:rPr>
    </w:lvl>
    <w:lvl w:ilvl="8" w:tplc="0415001B" w:tentative="1">
      <w:start w:val="1"/>
      <w:numFmt w:val="lowerRoman"/>
      <w:lvlText w:val="%9."/>
      <w:lvlJc w:val="right"/>
      <w:pPr>
        <w:tabs>
          <w:tab w:val="num" w:pos="6840"/>
        </w:tabs>
        <w:ind w:left="6840" w:hanging="180"/>
      </w:pPr>
      <w:rPr>
        <w:rFonts w:cs="Times New Roman"/>
      </w:rPr>
    </w:lvl>
  </w:abstractNum>
  <w:abstractNum w:abstractNumId="15">
    <w:nsid w:val="371737AC"/>
    <w:multiLevelType w:val="hybridMultilevel"/>
    <w:tmpl w:val="E60E24BA"/>
    <w:lvl w:ilvl="0" w:tplc="05D8A4DE">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6">
    <w:nsid w:val="4BB062AF"/>
    <w:multiLevelType w:val="hybridMultilevel"/>
    <w:tmpl w:val="1CB6F628"/>
    <w:lvl w:ilvl="0" w:tplc="EFAA0678">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7">
    <w:nsid w:val="55531DBA"/>
    <w:multiLevelType w:val="hybridMultilevel"/>
    <w:tmpl w:val="3320DBBA"/>
    <w:lvl w:ilvl="0" w:tplc="591E37B0">
      <w:start w:val="4"/>
      <w:numFmt w:val="decimal"/>
      <w:lvlText w:val="%1)"/>
      <w:lvlJc w:val="left"/>
      <w:pPr>
        <w:tabs>
          <w:tab w:val="num" w:pos="1080"/>
        </w:tabs>
        <w:ind w:left="108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8">
    <w:nsid w:val="59723CBD"/>
    <w:multiLevelType w:val="hybridMultilevel"/>
    <w:tmpl w:val="B04A8C5E"/>
    <w:lvl w:ilvl="0" w:tplc="05D8A4DE">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9">
    <w:nsid w:val="5BD1219F"/>
    <w:multiLevelType w:val="hybridMultilevel"/>
    <w:tmpl w:val="1CFEA320"/>
    <w:lvl w:ilvl="0" w:tplc="0415000F">
      <w:start w:val="1"/>
      <w:numFmt w:val="lowerLetter"/>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0">
    <w:nsid w:val="5D491324"/>
    <w:multiLevelType w:val="hybridMultilevel"/>
    <w:tmpl w:val="FA0C2B84"/>
    <w:lvl w:ilvl="0" w:tplc="38A8DEFA">
      <w:start w:val="1"/>
      <w:numFmt w:val="decimal"/>
      <w:lvlText w:val="%1)"/>
      <w:lvlJc w:val="left"/>
      <w:pPr>
        <w:tabs>
          <w:tab w:val="num" w:pos="1260"/>
        </w:tabs>
        <w:ind w:left="1260" w:hanging="360"/>
      </w:pPr>
      <w:rPr>
        <w:rFonts w:ascii="Times New Roman" w:hAnsi="Times New Roman" w:cs="Times New Roman" w:hint="default"/>
        <w:b w:val="0"/>
        <w:bCs w:val="0"/>
        <w:i w:val="0"/>
        <w:iCs w:val="0"/>
        <w:sz w:val="24"/>
        <w:szCs w:val="24"/>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1">
    <w:nsid w:val="642C42A5"/>
    <w:multiLevelType w:val="hybridMultilevel"/>
    <w:tmpl w:val="EE667112"/>
    <w:lvl w:ilvl="0" w:tplc="8A16F680">
      <w:start w:val="1"/>
      <w:numFmt w:val="bullet"/>
      <w:lvlText w:val=""/>
      <w:lvlJc w:val="left"/>
      <w:pPr>
        <w:tabs>
          <w:tab w:val="num" w:pos="780"/>
        </w:tabs>
        <w:ind w:left="780" w:hanging="360"/>
      </w:pPr>
      <w:rPr>
        <w:rFonts w:ascii="Symbol" w:hAnsi="Symbol" w:hint="default"/>
      </w:rPr>
    </w:lvl>
    <w:lvl w:ilvl="1" w:tplc="04150003" w:tentative="1">
      <w:start w:val="1"/>
      <w:numFmt w:val="bullet"/>
      <w:lvlText w:val="o"/>
      <w:lvlJc w:val="left"/>
      <w:pPr>
        <w:tabs>
          <w:tab w:val="num" w:pos="1500"/>
        </w:tabs>
        <w:ind w:left="1500" w:hanging="360"/>
      </w:pPr>
      <w:rPr>
        <w:rFonts w:ascii="Courier New" w:hAnsi="Courier New" w:hint="default"/>
      </w:rPr>
    </w:lvl>
    <w:lvl w:ilvl="2" w:tplc="04150005" w:tentative="1">
      <w:start w:val="1"/>
      <w:numFmt w:val="bullet"/>
      <w:lvlText w:val=""/>
      <w:lvlJc w:val="left"/>
      <w:pPr>
        <w:tabs>
          <w:tab w:val="num" w:pos="2220"/>
        </w:tabs>
        <w:ind w:left="2220" w:hanging="360"/>
      </w:pPr>
      <w:rPr>
        <w:rFonts w:ascii="Wingdings" w:hAnsi="Wingdings" w:hint="default"/>
      </w:rPr>
    </w:lvl>
    <w:lvl w:ilvl="3" w:tplc="04150001" w:tentative="1">
      <w:start w:val="1"/>
      <w:numFmt w:val="bullet"/>
      <w:lvlText w:val=""/>
      <w:lvlJc w:val="left"/>
      <w:pPr>
        <w:tabs>
          <w:tab w:val="num" w:pos="2940"/>
        </w:tabs>
        <w:ind w:left="2940" w:hanging="360"/>
      </w:pPr>
      <w:rPr>
        <w:rFonts w:ascii="Symbol" w:hAnsi="Symbol" w:hint="default"/>
      </w:rPr>
    </w:lvl>
    <w:lvl w:ilvl="4" w:tplc="04150003" w:tentative="1">
      <w:start w:val="1"/>
      <w:numFmt w:val="bullet"/>
      <w:lvlText w:val="o"/>
      <w:lvlJc w:val="left"/>
      <w:pPr>
        <w:tabs>
          <w:tab w:val="num" w:pos="3660"/>
        </w:tabs>
        <w:ind w:left="3660" w:hanging="360"/>
      </w:pPr>
      <w:rPr>
        <w:rFonts w:ascii="Courier New" w:hAnsi="Courier New" w:hint="default"/>
      </w:rPr>
    </w:lvl>
    <w:lvl w:ilvl="5" w:tplc="04150005" w:tentative="1">
      <w:start w:val="1"/>
      <w:numFmt w:val="bullet"/>
      <w:lvlText w:val=""/>
      <w:lvlJc w:val="left"/>
      <w:pPr>
        <w:tabs>
          <w:tab w:val="num" w:pos="4380"/>
        </w:tabs>
        <w:ind w:left="4380" w:hanging="360"/>
      </w:pPr>
      <w:rPr>
        <w:rFonts w:ascii="Wingdings" w:hAnsi="Wingdings" w:hint="default"/>
      </w:rPr>
    </w:lvl>
    <w:lvl w:ilvl="6" w:tplc="04150001" w:tentative="1">
      <w:start w:val="1"/>
      <w:numFmt w:val="bullet"/>
      <w:lvlText w:val=""/>
      <w:lvlJc w:val="left"/>
      <w:pPr>
        <w:tabs>
          <w:tab w:val="num" w:pos="5100"/>
        </w:tabs>
        <w:ind w:left="5100" w:hanging="360"/>
      </w:pPr>
      <w:rPr>
        <w:rFonts w:ascii="Symbol" w:hAnsi="Symbol" w:hint="default"/>
      </w:rPr>
    </w:lvl>
    <w:lvl w:ilvl="7" w:tplc="04150003" w:tentative="1">
      <w:start w:val="1"/>
      <w:numFmt w:val="bullet"/>
      <w:lvlText w:val="o"/>
      <w:lvlJc w:val="left"/>
      <w:pPr>
        <w:tabs>
          <w:tab w:val="num" w:pos="5820"/>
        </w:tabs>
        <w:ind w:left="5820" w:hanging="360"/>
      </w:pPr>
      <w:rPr>
        <w:rFonts w:ascii="Courier New" w:hAnsi="Courier New" w:hint="default"/>
      </w:rPr>
    </w:lvl>
    <w:lvl w:ilvl="8" w:tplc="04150005" w:tentative="1">
      <w:start w:val="1"/>
      <w:numFmt w:val="bullet"/>
      <w:lvlText w:val=""/>
      <w:lvlJc w:val="left"/>
      <w:pPr>
        <w:tabs>
          <w:tab w:val="num" w:pos="6540"/>
        </w:tabs>
        <w:ind w:left="6540" w:hanging="360"/>
      </w:pPr>
      <w:rPr>
        <w:rFonts w:ascii="Wingdings" w:hAnsi="Wingdings" w:hint="default"/>
      </w:rPr>
    </w:lvl>
  </w:abstractNum>
  <w:abstractNum w:abstractNumId="22">
    <w:nsid w:val="64D624E1"/>
    <w:multiLevelType w:val="hybridMultilevel"/>
    <w:tmpl w:val="211C74EA"/>
    <w:lvl w:ilvl="0" w:tplc="05D8A4DE">
      <w:start w:val="1"/>
      <w:numFmt w:val="bullet"/>
      <w:lvlText w:val=""/>
      <w:lvlJc w:val="left"/>
      <w:pPr>
        <w:tabs>
          <w:tab w:val="num" w:pos="780"/>
        </w:tabs>
        <w:ind w:left="780" w:hanging="360"/>
      </w:pPr>
      <w:rPr>
        <w:rFonts w:ascii="Symbol" w:hAnsi="Symbol" w:hint="default"/>
      </w:rPr>
    </w:lvl>
    <w:lvl w:ilvl="1" w:tplc="04150003" w:tentative="1">
      <w:start w:val="1"/>
      <w:numFmt w:val="bullet"/>
      <w:lvlText w:val="o"/>
      <w:lvlJc w:val="left"/>
      <w:pPr>
        <w:tabs>
          <w:tab w:val="num" w:pos="1500"/>
        </w:tabs>
        <w:ind w:left="1500" w:hanging="360"/>
      </w:pPr>
      <w:rPr>
        <w:rFonts w:ascii="Courier New" w:hAnsi="Courier New" w:hint="default"/>
      </w:rPr>
    </w:lvl>
    <w:lvl w:ilvl="2" w:tplc="04150005" w:tentative="1">
      <w:start w:val="1"/>
      <w:numFmt w:val="bullet"/>
      <w:lvlText w:val=""/>
      <w:lvlJc w:val="left"/>
      <w:pPr>
        <w:tabs>
          <w:tab w:val="num" w:pos="2220"/>
        </w:tabs>
        <w:ind w:left="2220" w:hanging="360"/>
      </w:pPr>
      <w:rPr>
        <w:rFonts w:ascii="Wingdings" w:hAnsi="Wingdings" w:hint="default"/>
      </w:rPr>
    </w:lvl>
    <w:lvl w:ilvl="3" w:tplc="04150001" w:tentative="1">
      <w:start w:val="1"/>
      <w:numFmt w:val="bullet"/>
      <w:lvlText w:val=""/>
      <w:lvlJc w:val="left"/>
      <w:pPr>
        <w:tabs>
          <w:tab w:val="num" w:pos="2940"/>
        </w:tabs>
        <w:ind w:left="2940" w:hanging="360"/>
      </w:pPr>
      <w:rPr>
        <w:rFonts w:ascii="Symbol" w:hAnsi="Symbol" w:hint="default"/>
      </w:rPr>
    </w:lvl>
    <w:lvl w:ilvl="4" w:tplc="04150003" w:tentative="1">
      <w:start w:val="1"/>
      <w:numFmt w:val="bullet"/>
      <w:lvlText w:val="o"/>
      <w:lvlJc w:val="left"/>
      <w:pPr>
        <w:tabs>
          <w:tab w:val="num" w:pos="3660"/>
        </w:tabs>
        <w:ind w:left="3660" w:hanging="360"/>
      </w:pPr>
      <w:rPr>
        <w:rFonts w:ascii="Courier New" w:hAnsi="Courier New" w:hint="default"/>
      </w:rPr>
    </w:lvl>
    <w:lvl w:ilvl="5" w:tplc="04150005" w:tentative="1">
      <w:start w:val="1"/>
      <w:numFmt w:val="bullet"/>
      <w:lvlText w:val=""/>
      <w:lvlJc w:val="left"/>
      <w:pPr>
        <w:tabs>
          <w:tab w:val="num" w:pos="4380"/>
        </w:tabs>
        <w:ind w:left="4380" w:hanging="360"/>
      </w:pPr>
      <w:rPr>
        <w:rFonts w:ascii="Wingdings" w:hAnsi="Wingdings" w:hint="default"/>
      </w:rPr>
    </w:lvl>
    <w:lvl w:ilvl="6" w:tplc="04150001" w:tentative="1">
      <w:start w:val="1"/>
      <w:numFmt w:val="bullet"/>
      <w:lvlText w:val=""/>
      <w:lvlJc w:val="left"/>
      <w:pPr>
        <w:tabs>
          <w:tab w:val="num" w:pos="5100"/>
        </w:tabs>
        <w:ind w:left="5100" w:hanging="360"/>
      </w:pPr>
      <w:rPr>
        <w:rFonts w:ascii="Symbol" w:hAnsi="Symbol" w:hint="default"/>
      </w:rPr>
    </w:lvl>
    <w:lvl w:ilvl="7" w:tplc="04150003" w:tentative="1">
      <w:start w:val="1"/>
      <w:numFmt w:val="bullet"/>
      <w:lvlText w:val="o"/>
      <w:lvlJc w:val="left"/>
      <w:pPr>
        <w:tabs>
          <w:tab w:val="num" w:pos="5820"/>
        </w:tabs>
        <w:ind w:left="5820" w:hanging="360"/>
      </w:pPr>
      <w:rPr>
        <w:rFonts w:ascii="Courier New" w:hAnsi="Courier New" w:hint="default"/>
      </w:rPr>
    </w:lvl>
    <w:lvl w:ilvl="8" w:tplc="04150005" w:tentative="1">
      <w:start w:val="1"/>
      <w:numFmt w:val="bullet"/>
      <w:lvlText w:val=""/>
      <w:lvlJc w:val="left"/>
      <w:pPr>
        <w:tabs>
          <w:tab w:val="num" w:pos="6540"/>
        </w:tabs>
        <w:ind w:left="6540" w:hanging="360"/>
      </w:pPr>
      <w:rPr>
        <w:rFonts w:ascii="Wingdings" w:hAnsi="Wingdings" w:hint="default"/>
      </w:rPr>
    </w:lvl>
  </w:abstractNum>
  <w:abstractNum w:abstractNumId="23">
    <w:nsid w:val="675148B9"/>
    <w:multiLevelType w:val="hybridMultilevel"/>
    <w:tmpl w:val="7C6E08E8"/>
    <w:lvl w:ilvl="0" w:tplc="253E0058">
      <w:start w:val="1"/>
      <w:numFmt w:val="decimal"/>
      <w:lvlText w:val="%1)"/>
      <w:lvlJc w:val="left"/>
      <w:pPr>
        <w:tabs>
          <w:tab w:val="num" w:pos="1080"/>
        </w:tabs>
        <w:ind w:left="108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4">
    <w:nsid w:val="695D5365"/>
    <w:multiLevelType w:val="multilevel"/>
    <w:tmpl w:val="62527A58"/>
    <w:lvl w:ilvl="0">
      <w:start w:val="1"/>
      <w:numFmt w:val="decimal"/>
      <w:lvlText w:val="%1)"/>
      <w:lvlJc w:val="left"/>
      <w:pPr>
        <w:tabs>
          <w:tab w:val="num" w:pos="1440"/>
        </w:tabs>
        <w:ind w:left="1440" w:hanging="360"/>
      </w:pPr>
      <w:rPr>
        <w:rFonts w:cs="Times New Roman" w:hint="default"/>
        <w:b w:val="0"/>
      </w:rPr>
    </w:lvl>
    <w:lvl w:ilvl="1">
      <w:start w:val="1"/>
      <w:numFmt w:val="lowerLetter"/>
      <w:lvlText w:val="%2."/>
      <w:lvlJc w:val="left"/>
      <w:pPr>
        <w:tabs>
          <w:tab w:val="num" w:pos="2160"/>
        </w:tabs>
        <w:ind w:left="2160" w:hanging="360"/>
      </w:pPr>
      <w:rPr>
        <w:rFonts w:cs="Times New Roman"/>
      </w:rPr>
    </w:lvl>
    <w:lvl w:ilvl="2">
      <w:start w:val="1"/>
      <w:numFmt w:val="lowerRoman"/>
      <w:lvlText w:val="%3."/>
      <w:lvlJc w:val="right"/>
      <w:pPr>
        <w:tabs>
          <w:tab w:val="num" w:pos="2880"/>
        </w:tabs>
        <w:ind w:left="2880" w:hanging="180"/>
      </w:pPr>
      <w:rPr>
        <w:rFonts w:cs="Times New Roman"/>
      </w:rPr>
    </w:lvl>
    <w:lvl w:ilvl="3">
      <w:start w:val="1"/>
      <w:numFmt w:val="decimal"/>
      <w:lvlText w:val="%4."/>
      <w:lvlJc w:val="left"/>
      <w:pPr>
        <w:tabs>
          <w:tab w:val="num" w:pos="3600"/>
        </w:tabs>
        <w:ind w:left="3600" w:hanging="360"/>
      </w:pPr>
      <w:rPr>
        <w:rFonts w:cs="Times New Roman"/>
      </w:rPr>
    </w:lvl>
    <w:lvl w:ilvl="4">
      <w:start w:val="1"/>
      <w:numFmt w:val="lowerLetter"/>
      <w:lvlText w:val="%5."/>
      <w:lvlJc w:val="left"/>
      <w:pPr>
        <w:tabs>
          <w:tab w:val="num" w:pos="4320"/>
        </w:tabs>
        <w:ind w:left="4320" w:hanging="360"/>
      </w:pPr>
      <w:rPr>
        <w:rFonts w:cs="Times New Roman"/>
      </w:rPr>
    </w:lvl>
    <w:lvl w:ilvl="5">
      <w:start w:val="1"/>
      <w:numFmt w:val="lowerRoman"/>
      <w:lvlText w:val="%6."/>
      <w:lvlJc w:val="right"/>
      <w:pPr>
        <w:tabs>
          <w:tab w:val="num" w:pos="5040"/>
        </w:tabs>
        <w:ind w:left="5040" w:hanging="180"/>
      </w:pPr>
      <w:rPr>
        <w:rFonts w:cs="Times New Roman"/>
      </w:rPr>
    </w:lvl>
    <w:lvl w:ilvl="6">
      <w:start w:val="1"/>
      <w:numFmt w:val="decimal"/>
      <w:lvlText w:val="%7."/>
      <w:lvlJc w:val="left"/>
      <w:pPr>
        <w:tabs>
          <w:tab w:val="num" w:pos="5760"/>
        </w:tabs>
        <w:ind w:left="5760" w:hanging="360"/>
      </w:pPr>
      <w:rPr>
        <w:rFonts w:cs="Times New Roman"/>
      </w:rPr>
    </w:lvl>
    <w:lvl w:ilvl="7">
      <w:start w:val="1"/>
      <w:numFmt w:val="lowerLetter"/>
      <w:lvlText w:val="%8."/>
      <w:lvlJc w:val="left"/>
      <w:pPr>
        <w:tabs>
          <w:tab w:val="num" w:pos="6480"/>
        </w:tabs>
        <w:ind w:left="6480" w:hanging="360"/>
      </w:pPr>
      <w:rPr>
        <w:rFonts w:cs="Times New Roman"/>
      </w:rPr>
    </w:lvl>
    <w:lvl w:ilvl="8">
      <w:start w:val="1"/>
      <w:numFmt w:val="lowerRoman"/>
      <w:lvlText w:val="%9."/>
      <w:lvlJc w:val="right"/>
      <w:pPr>
        <w:tabs>
          <w:tab w:val="num" w:pos="7200"/>
        </w:tabs>
        <w:ind w:left="7200" w:hanging="180"/>
      </w:pPr>
      <w:rPr>
        <w:rFonts w:cs="Times New Roman"/>
      </w:rPr>
    </w:lvl>
  </w:abstractNum>
  <w:abstractNum w:abstractNumId="25">
    <w:nsid w:val="6B847346"/>
    <w:multiLevelType w:val="hybridMultilevel"/>
    <w:tmpl w:val="C53296EA"/>
    <w:lvl w:ilvl="0" w:tplc="FFFFFFFF">
      <w:start w:val="1"/>
      <w:numFmt w:val="decimal"/>
      <w:lvlText w:val="%1)"/>
      <w:lvlJc w:val="left"/>
      <w:pPr>
        <w:tabs>
          <w:tab w:val="num" w:pos="360"/>
        </w:tabs>
        <w:ind w:left="360" w:hanging="360"/>
      </w:pPr>
      <w:rPr>
        <w:rFonts w:cs="Times New Roman"/>
      </w:rPr>
    </w:lvl>
    <w:lvl w:ilvl="1" w:tplc="04150011">
      <w:start w:val="1"/>
      <w:numFmt w:val="decimal"/>
      <w:lvlText w:val="%2)"/>
      <w:lvlJc w:val="left"/>
      <w:pPr>
        <w:tabs>
          <w:tab w:val="num" w:pos="1440"/>
        </w:tabs>
        <w:ind w:left="1440" w:hanging="360"/>
      </w:pPr>
      <w:rPr>
        <w:rFonts w:cs="Times New Roman"/>
      </w:rPr>
    </w:lvl>
    <w:lvl w:ilvl="2" w:tplc="1916B352">
      <w:start w:val="1"/>
      <w:numFmt w:val="lowerLetter"/>
      <w:lvlText w:val="%3)"/>
      <w:lvlJc w:val="left"/>
      <w:pPr>
        <w:tabs>
          <w:tab w:val="num" w:pos="2340"/>
        </w:tabs>
        <w:ind w:left="2263" w:hanging="283"/>
      </w:pPr>
      <w:rPr>
        <w:rFonts w:cs="Times New Roman" w:hint="default"/>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6">
    <w:nsid w:val="6C164C62"/>
    <w:multiLevelType w:val="hybridMultilevel"/>
    <w:tmpl w:val="FBEAD2E6"/>
    <w:lvl w:ilvl="0" w:tplc="0415000F">
      <w:start w:val="1"/>
      <w:numFmt w:val="decimal"/>
      <w:lvlText w:val="%1."/>
      <w:lvlJc w:val="left"/>
      <w:pPr>
        <w:tabs>
          <w:tab w:val="num" w:pos="900"/>
        </w:tabs>
        <w:ind w:left="900" w:hanging="360"/>
      </w:pPr>
      <w:rPr>
        <w:rFonts w:cs="Times New Roman"/>
      </w:rPr>
    </w:lvl>
    <w:lvl w:ilvl="1" w:tplc="04150019" w:tentative="1">
      <w:start w:val="1"/>
      <w:numFmt w:val="lowerLetter"/>
      <w:lvlText w:val="%2."/>
      <w:lvlJc w:val="left"/>
      <w:pPr>
        <w:tabs>
          <w:tab w:val="num" w:pos="1620"/>
        </w:tabs>
        <w:ind w:left="1620" w:hanging="360"/>
      </w:pPr>
      <w:rPr>
        <w:rFonts w:cs="Times New Roman"/>
      </w:rPr>
    </w:lvl>
    <w:lvl w:ilvl="2" w:tplc="0415001B" w:tentative="1">
      <w:start w:val="1"/>
      <w:numFmt w:val="lowerRoman"/>
      <w:lvlText w:val="%3."/>
      <w:lvlJc w:val="right"/>
      <w:pPr>
        <w:tabs>
          <w:tab w:val="num" w:pos="2340"/>
        </w:tabs>
        <w:ind w:left="2340" w:hanging="180"/>
      </w:pPr>
      <w:rPr>
        <w:rFonts w:cs="Times New Roman"/>
      </w:rPr>
    </w:lvl>
    <w:lvl w:ilvl="3" w:tplc="0415000F" w:tentative="1">
      <w:start w:val="1"/>
      <w:numFmt w:val="decimal"/>
      <w:lvlText w:val="%4."/>
      <w:lvlJc w:val="left"/>
      <w:pPr>
        <w:tabs>
          <w:tab w:val="num" w:pos="3060"/>
        </w:tabs>
        <w:ind w:left="3060" w:hanging="360"/>
      </w:pPr>
      <w:rPr>
        <w:rFonts w:cs="Times New Roman"/>
      </w:rPr>
    </w:lvl>
    <w:lvl w:ilvl="4" w:tplc="04150019" w:tentative="1">
      <w:start w:val="1"/>
      <w:numFmt w:val="lowerLetter"/>
      <w:lvlText w:val="%5."/>
      <w:lvlJc w:val="left"/>
      <w:pPr>
        <w:tabs>
          <w:tab w:val="num" w:pos="3780"/>
        </w:tabs>
        <w:ind w:left="3780" w:hanging="360"/>
      </w:pPr>
      <w:rPr>
        <w:rFonts w:cs="Times New Roman"/>
      </w:rPr>
    </w:lvl>
    <w:lvl w:ilvl="5" w:tplc="0415001B" w:tentative="1">
      <w:start w:val="1"/>
      <w:numFmt w:val="lowerRoman"/>
      <w:lvlText w:val="%6."/>
      <w:lvlJc w:val="right"/>
      <w:pPr>
        <w:tabs>
          <w:tab w:val="num" w:pos="4500"/>
        </w:tabs>
        <w:ind w:left="4500" w:hanging="180"/>
      </w:pPr>
      <w:rPr>
        <w:rFonts w:cs="Times New Roman"/>
      </w:rPr>
    </w:lvl>
    <w:lvl w:ilvl="6" w:tplc="0415000F" w:tentative="1">
      <w:start w:val="1"/>
      <w:numFmt w:val="decimal"/>
      <w:lvlText w:val="%7."/>
      <w:lvlJc w:val="left"/>
      <w:pPr>
        <w:tabs>
          <w:tab w:val="num" w:pos="5220"/>
        </w:tabs>
        <w:ind w:left="5220" w:hanging="360"/>
      </w:pPr>
      <w:rPr>
        <w:rFonts w:cs="Times New Roman"/>
      </w:rPr>
    </w:lvl>
    <w:lvl w:ilvl="7" w:tplc="04150019" w:tentative="1">
      <w:start w:val="1"/>
      <w:numFmt w:val="lowerLetter"/>
      <w:lvlText w:val="%8."/>
      <w:lvlJc w:val="left"/>
      <w:pPr>
        <w:tabs>
          <w:tab w:val="num" w:pos="5940"/>
        </w:tabs>
        <w:ind w:left="5940" w:hanging="360"/>
      </w:pPr>
      <w:rPr>
        <w:rFonts w:cs="Times New Roman"/>
      </w:rPr>
    </w:lvl>
    <w:lvl w:ilvl="8" w:tplc="0415001B" w:tentative="1">
      <w:start w:val="1"/>
      <w:numFmt w:val="lowerRoman"/>
      <w:lvlText w:val="%9."/>
      <w:lvlJc w:val="right"/>
      <w:pPr>
        <w:tabs>
          <w:tab w:val="num" w:pos="6660"/>
        </w:tabs>
        <w:ind w:left="6660" w:hanging="180"/>
      </w:pPr>
      <w:rPr>
        <w:rFonts w:cs="Times New Roman"/>
      </w:rPr>
    </w:lvl>
  </w:abstractNum>
  <w:abstractNum w:abstractNumId="27">
    <w:nsid w:val="6F0B4EAC"/>
    <w:multiLevelType w:val="hybridMultilevel"/>
    <w:tmpl w:val="BE820138"/>
    <w:lvl w:ilvl="0" w:tplc="F068621A">
      <w:start w:val="2"/>
      <w:numFmt w:val="lowerLetter"/>
      <w:lvlText w:val="%1)"/>
      <w:lvlJc w:val="left"/>
      <w:pPr>
        <w:tabs>
          <w:tab w:val="num" w:pos="1080"/>
        </w:tabs>
        <w:ind w:left="108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8">
    <w:nsid w:val="70E2658E"/>
    <w:multiLevelType w:val="hybridMultilevel"/>
    <w:tmpl w:val="1F08E10E"/>
    <w:lvl w:ilvl="0" w:tplc="9EE2E3B2">
      <w:start w:val="1"/>
      <w:numFmt w:val="decimal"/>
      <w:lvlText w:val="%1)"/>
      <w:lvlJc w:val="left"/>
      <w:pPr>
        <w:tabs>
          <w:tab w:val="num" w:pos="765"/>
        </w:tabs>
        <w:ind w:left="765" w:hanging="405"/>
      </w:pPr>
      <w:rPr>
        <w:rFonts w:cs="Times New Roman" w:hint="default"/>
      </w:rPr>
    </w:lvl>
    <w:lvl w:ilvl="1" w:tplc="91502222">
      <w:start w:val="1"/>
      <w:numFmt w:val="lowerLetter"/>
      <w:lvlText w:val="%2)"/>
      <w:lvlJc w:val="left"/>
      <w:pPr>
        <w:tabs>
          <w:tab w:val="num" w:pos="1440"/>
        </w:tabs>
        <w:ind w:left="1440" w:hanging="360"/>
      </w:pPr>
      <w:rPr>
        <w:rFonts w:cs="Times New Roman" w:hint="default"/>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9">
    <w:nsid w:val="723F3357"/>
    <w:multiLevelType w:val="hybridMultilevel"/>
    <w:tmpl w:val="7E167D6C"/>
    <w:lvl w:ilvl="0" w:tplc="05D8A4DE">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0">
    <w:nsid w:val="79F86BC2"/>
    <w:multiLevelType w:val="hybridMultilevel"/>
    <w:tmpl w:val="9BC20568"/>
    <w:lvl w:ilvl="0" w:tplc="05D8A4DE">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1">
    <w:nsid w:val="7C5802CD"/>
    <w:multiLevelType w:val="hybridMultilevel"/>
    <w:tmpl w:val="4FC0C972"/>
    <w:lvl w:ilvl="0" w:tplc="1F905B4C">
      <w:start w:val="1"/>
      <w:numFmt w:val="lowerLetter"/>
      <w:lvlText w:val="%1)"/>
      <w:lvlJc w:val="left"/>
      <w:pPr>
        <w:tabs>
          <w:tab w:val="num" w:pos="700"/>
        </w:tabs>
        <w:ind w:left="757" w:hanging="397"/>
      </w:pPr>
      <w:rPr>
        <w:rFonts w:cs="Times New Roman" w:hint="default"/>
        <w:b w:val="0"/>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2">
    <w:nsid w:val="7D9469B4"/>
    <w:multiLevelType w:val="hybridMultilevel"/>
    <w:tmpl w:val="D9727FB6"/>
    <w:lvl w:ilvl="0" w:tplc="05D8A4DE">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3">
    <w:nsid w:val="7E9A2E7E"/>
    <w:multiLevelType w:val="hybridMultilevel"/>
    <w:tmpl w:val="67C801AA"/>
    <w:lvl w:ilvl="0" w:tplc="0415000F">
      <w:start w:val="1"/>
      <w:numFmt w:val="decimal"/>
      <w:lvlText w:val="%1."/>
      <w:lvlJc w:val="left"/>
      <w:pPr>
        <w:tabs>
          <w:tab w:val="num" w:pos="1259"/>
        </w:tabs>
        <w:ind w:left="1259" w:hanging="360"/>
      </w:pPr>
      <w:rPr>
        <w:rFonts w:cs="Times New Roman"/>
      </w:rPr>
    </w:lvl>
    <w:lvl w:ilvl="1" w:tplc="04150019" w:tentative="1">
      <w:start w:val="1"/>
      <w:numFmt w:val="lowerLetter"/>
      <w:lvlText w:val="%2."/>
      <w:lvlJc w:val="left"/>
      <w:pPr>
        <w:tabs>
          <w:tab w:val="num" w:pos="1979"/>
        </w:tabs>
        <w:ind w:left="1979" w:hanging="360"/>
      </w:pPr>
      <w:rPr>
        <w:rFonts w:cs="Times New Roman"/>
      </w:rPr>
    </w:lvl>
    <w:lvl w:ilvl="2" w:tplc="0415001B" w:tentative="1">
      <w:start w:val="1"/>
      <w:numFmt w:val="lowerRoman"/>
      <w:lvlText w:val="%3."/>
      <w:lvlJc w:val="right"/>
      <w:pPr>
        <w:tabs>
          <w:tab w:val="num" w:pos="2699"/>
        </w:tabs>
        <w:ind w:left="2699" w:hanging="180"/>
      </w:pPr>
      <w:rPr>
        <w:rFonts w:cs="Times New Roman"/>
      </w:rPr>
    </w:lvl>
    <w:lvl w:ilvl="3" w:tplc="0415000F" w:tentative="1">
      <w:start w:val="1"/>
      <w:numFmt w:val="decimal"/>
      <w:lvlText w:val="%4."/>
      <w:lvlJc w:val="left"/>
      <w:pPr>
        <w:tabs>
          <w:tab w:val="num" w:pos="3419"/>
        </w:tabs>
        <w:ind w:left="3419" w:hanging="360"/>
      </w:pPr>
      <w:rPr>
        <w:rFonts w:cs="Times New Roman"/>
      </w:rPr>
    </w:lvl>
    <w:lvl w:ilvl="4" w:tplc="04150019" w:tentative="1">
      <w:start w:val="1"/>
      <w:numFmt w:val="lowerLetter"/>
      <w:lvlText w:val="%5."/>
      <w:lvlJc w:val="left"/>
      <w:pPr>
        <w:tabs>
          <w:tab w:val="num" w:pos="4139"/>
        </w:tabs>
        <w:ind w:left="4139" w:hanging="360"/>
      </w:pPr>
      <w:rPr>
        <w:rFonts w:cs="Times New Roman"/>
      </w:rPr>
    </w:lvl>
    <w:lvl w:ilvl="5" w:tplc="0415001B" w:tentative="1">
      <w:start w:val="1"/>
      <w:numFmt w:val="lowerRoman"/>
      <w:lvlText w:val="%6."/>
      <w:lvlJc w:val="right"/>
      <w:pPr>
        <w:tabs>
          <w:tab w:val="num" w:pos="4859"/>
        </w:tabs>
        <w:ind w:left="4859" w:hanging="180"/>
      </w:pPr>
      <w:rPr>
        <w:rFonts w:cs="Times New Roman"/>
      </w:rPr>
    </w:lvl>
    <w:lvl w:ilvl="6" w:tplc="0415000F" w:tentative="1">
      <w:start w:val="1"/>
      <w:numFmt w:val="decimal"/>
      <w:lvlText w:val="%7."/>
      <w:lvlJc w:val="left"/>
      <w:pPr>
        <w:tabs>
          <w:tab w:val="num" w:pos="5579"/>
        </w:tabs>
        <w:ind w:left="5579" w:hanging="360"/>
      </w:pPr>
      <w:rPr>
        <w:rFonts w:cs="Times New Roman"/>
      </w:rPr>
    </w:lvl>
    <w:lvl w:ilvl="7" w:tplc="04150019" w:tentative="1">
      <w:start w:val="1"/>
      <w:numFmt w:val="lowerLetter"/>
      <w:lvlText w:val="%8."/>
      <w:lvlJc w:val="left"/>
      <w:pPr>
        <w:tabs>
          <w:tab w:val="num" w:pos="6299"/>
        </w:tabs>
        <w:ind w:left="6299" w:hanging="360"/>
      </w:pPr>
      <w:rPr>
        <w:rFonts w:cs="Times New Roman"/>
      </w:rPr>
    </w:lvl>
    <w:lvl w:ilvl="8" w:tplc="0415001B" w:tentative="1">
      <w:start w:val="1"/>
      <w:numFmt w:val="lowerRoman"/>
      <w:lvlText w:val="%9."/>
      <w:lvlJc w:val="right"/>
      <w:pPr>
        <w:tabs>
          <w:tab w:val="num" w:pos="7019"/>
        </w:tabs>
        <w:ind w:left="7019" w:hanging="180"/>
      </w:pPr>
      <w:rPr>
        <w:rFonts w:cs="Times New Roman"/>
      </w:rPr>
    </w:lvl>
  </w:abstractNum>
  <w:abstractNum w:abstractNumId="34">
    <w:nsid w:val="7F4546D8"/>
    <w:multiLevelType w:val="hybridMultilevel"/>
    <w:tmpl w:val="3FBA3E50"/>
    <w:lvl w:ilvl="0" w:tplc="0415000F">
      <w:start w:val="1"/>
      <w:numFmt w:val="decimal"/>
      <w:lvlText w:val="%1."/>
      <w:lvlJc w:val="left"/>
      <w:pPr>
        <w:tabs>
          <w:tab w:val="num" w:pos="720"/>
        </w:tabs>
        <w:ind w:left="720" w:hanging="360"/>
      </w:pPr>
      <w:rPr>
        <w:rFonts w:cs="Times New Roman"/>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5">
    <w:nsid w:val="7FA11022"/>
    <w:multiLevelType w:val="hybridMultilevel"/>
    <w:tmpl w:val="F6C800E6"/>
    <w:lvl w:ilvl="0" w:tplc="04150011">
      <w:start w:val="1"/>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num w:numId="1">
    <w:abstractNumId w:val="35"/>
  </w:num>
  <w:num w:numId="2">
    <w:abstractNumId w:val="5"/>
  </w:num>
  <w:num w:numId="3">
    <w:abstractNumId w:val="16"/>
  </w:num>
  <w:num w:numId="4">
    <w:abstractNumId w:val="11"/>
  </w:num>
  <w:num w:numId="5">
    <w:abstractNumId w:val="3"/>
  </w:num>
  <w:num w:numId="6">
    <w:abstractNumId w:val="10"/>
  </w:num>
  <w:num w:numId="7">
    <w:abstractNumId w:val="31"/>
  </w:num>
  <w:num w:numId="8">
    <w:abstractNumId w:val="28"/>
  </w:num>
  <w:num w:numId="9">
    <w:abstractNumId w:val="12"/>
  </w:num>
  <w:num w:numId="10">
    <w:abstractNumId w:val="24"/>
  </w:num>
  <w:num w:numId="11">
    <w:abstractNumId w:val="4"/>
  </w:num>
  <w:num w:numId="12">
    <w:abstractNumId w:val="6"/>
  </w:num>
  <w:num w:numId="13">
    <w:abstractNumId w:val="29"/>
  </w:num>
  <w:num w:numId="14">
    <w:abstractNumId w:val="32"/>
  </w:num>
  <w:num w:numId="15">
    <w:abstractNumId w:val="15"/>
  </w:num>
  <w:num w:numId="16">
    <w:abstractNumId w:val="18"/>
  </w:num>
  <w:num w:numId="17">
    <w:abstractNumId w:val="30"/>
  </w:num>
  <w:num w:numId="18">
    <w:abstractNumId w:val="7"/>
  </w:num>
  <w:num w:numId="19">
    <w:abstractNumId w:val="33"/>
  </w:num>
  <w:num w:numId="20">
    <w:abstractNumId w:val="14"/>
  </w:num>
  <w:num w:numId="21">
    <w:abstractNumId w:val="2"/>
  </w:num>
  <w:num w:numId="22">
    <w:abstractNumId w:val="34"/>
  </w:num>
  <w:num w:numId="23">
    <w:abstractNumId w:val="0"/>
  </w:num>
  <w:num w:numId="24">
    <w:abstractNumId w:val="8"/>
  </w:num>
  <w:num w:numId="25">
    <w:abstractNumId w:val="21"/>
  </w:num>
  <w:num w:numId="26">
    <w:abstractNumId w:val="22"/>
  </w:num>
  <w:num w:numId="27">
    <w:abstractNumId w:val="26"/>
  </w:num>
  <w:num w:numId="28">
    <w:abstractNumId w:val="9"/>
  </w:num>
  <w:num w:numId="29">
    <w:abstractNumId w:val="23"/>
  </w:num>
  <w:num w:numId="30">
    <w:abstractNumId w:val="19"/>
  </w:num>
  <w:num w:numId="31">
    <w:abstractNumId w:val="27"/>
  </w:num>
  <w:num w:numId="32">
    <w:abstractNumId w:val="17"/>
  </w:num>
  <w:num w:numId="33">
    <w:abstractNumId w:val="1"/>
  </w:num>
  <w:num w:numId="34">
    <w:abstractNumId w:val="25"/>
  </w:num>
  <w:num w:numId="35">
    <w:abstractNumId w:val="20"/>
  </w:num>
  <w:num w:numId="3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stylePaneFormatFilter w:val="3F01"/>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B697B"/>
    <w:rsid w:val="00000C84"/>
    <w:rsid w:val="000026D4"/>
    <w:rsid w:val="00003A3A"/>
    <w:rsid w:val="0000433F"/>
    <w:rsid w:val="00004AF4"/>
    <w:rsid w:val="00007ADB"/>
    <w:rsid w:val="0001119B"/>
    <w:rsid w:val="0001217A"/>
    <w:rsid w:val="00012C7E"/>
    <w:rsid w:val="000134D6"/>
    <w:rsid w:val="00013CF4"/>
    <w:rsid w:val="000156B2"/>
    <w:rsid w:val="00016083"/>
    <w:rsid w:val="0002017A"/>
    <w:rsid w:val="00020BAD"/>
    <w:rsid w:val="00021FA4"/>
    <w:rsid w:val="00023673"/>
    <w:rsid w:val="00024598"/>
    <w:rsid w:val="00026483"/>
    <w:rsid w:val="00026518"/>
    <w:rsid w:val="0003266C"/>
    <w:rsid w:val="00034C28"/>
    <w:rsid w:val="00037DAD"/>
    <w:rsid w:val="00037F61"/>
    <w:rsid w:val="0004019F"/>
    <w:rsid w:val="00041118"/>
    <w:rsid w:val="0004149B"/>
    <w:rsid w:val="00042C97"/>
    <w:rsid w:val="00045119"/>
    <w:rsid w:val="00045499"/>
    <w:rsid w:val="0004611B"/>
    <w:rsid w:val="000470B8"/>
    <w:rsid w:val="0004767A"/>
    <w:rsid w:val="00050B48"/>
    <w:rsid w:val="00051147"/>
    <w:rsid w:val="00051FB5"/>
    <w:rsid w:val="000546CB"/>
    <w:rsid w:val="00055BF1"/>
    <w:rsid w:val="00057BC1"/>
    <w:rsid w:val="00062337"/>
    <w:rsid w:val="00063564"/>
    <w:rsid w:val="00066FAF"/>
    <w:rsid w:val="000719EC"/>
    <w:rsid w:val="00072757"/>
    <w:rsid w:val="00073537"/>
    <w:rsid w:val="00074FF7"/>
    <w:rsid w:val="000753C8"/>
    <w:rsid w:val="00081A78"/>
    <w:rsid w:val="00082785"/>
    <w:rsid w:val="00082882"/>
    <w:rsid w:val="00083EBC"/>
    <w:rsid w:val="0008404A"/>
    <w:rsid w:val="0008432B"/>
    <w:rsid w:val="00084574"/>
    <w:rsid w:val="00085A59"/>
    <w:rsid w:val="0008618B"/>
    <w:rsid w:val="000869DF"/>
    <w:rsid w:val="00086E95"/>
    <w:rsid w:val="00087094"/>
    <w:rsid w:val="0008715F"/>
    <w:rsid w:val="0008716B"/>
    <w:rsid w:val="000929AF"/>
    <w:rsid w:val="000936CB"/>
    <w:rsid w:val="00095FF7"/>
    <w:rsid w:val="000965A2"/>
    <w:rsid w:val="00096DCD"/>
    <w:rsid w:val="00096F37"/>
    <w:rsid w:val="00097A2D"/>
    <w:rsid w:val="000A04D4"/>
    <w:rsid w:val="000A085E"/>
    <w:rsid w:val="000A0B2B"/>
    <w:rsid w:val="000A0CB1"/>
    <w:rsid w:val="000A1104"/>
    <w:rsid w:val="000A4D9F"/>
    <w:rsid w:val="000A4EA0"/>
    <w:rsid w:val="000A7BD6"/>
    <w:rsid w:val="000B0C4F"/>
    <w:rsid w:val="000B19C4"/>
    <w:rsid w:val="000B1A6D"/>
    <w:rsid w:val="000B303F"/>
    <w:rsid w:val="000B42B1"/>
    <w:rsid w:val="000B697B"/>
    <w:rsid w:val="000B6E09"/>
    <w:rsid w:val="000B6EE9"/>
    <w:rsid w:val="000C1FAC"/>
    <w:rsid w:val="000C391B"/>
    <w:rsid w:val="000C47BA"/>
    <w:rsid w:val="000C64B1"/>
    <w:rsid w:val="000C6C0B"/>
    <w:rsid w:val="000D2755"/>
    <w:rsid w:val="000D33C1"/>
    <w:rsid w:val="000D62D1"/>
    <w:rsid w:val="000D6A18"/>
    <w:rsid w:val="000D7751"/>
    <w:rsid w:val="000D7B92"/>
    <w:rsid w:val="000E07DF"/>
    <w:rsid w:val="000E33E6"/>
    <w:rsid w:val="000E37F8"/>
    <w:rsid w:val="000E38AC"/>
    <w:rsid w:val="000E69E9"/>
    <w:rsid w:val="000F1396"/>
    <w:rsid w:val="000F34D1"/>
    <w:rsid w:val="000F5403"/>
    <w:rsid w:val="000F566D"/>
    <w:rsid w:val="000F7111"/>
    <w:rsid w:val="001018B2"/>
    <w:rsid w:val="00102388"/>
    <w:rsid w:val="00103244"/>
    <w:rsid w:val="0010347C"/>
    <w:rsid w:val="0010369F"/>
    <w:rsid w:val="00103C76"/>
    <w:rsid w:val="00104829"/>
    <w:rsid w:val="00104938"/>
    <w:rsid w:val="00106196"/>
    <w:rsid w:val="00106B08"/>
    <w:rsid w:val="00107ABB"/>
    <w:rsid w:val="00110E9A"/>
    <w:rsid w:val="0011522E"/>
    <w:rsid w:val="00115D95"/>
    <w:rsid w:val="001165DD"/>
    <w:rsid w:val="0011684C"/>
    <w:rsid w:val="001219AF"/>
    <w:rsid w:val="00121E6C"/>
    <w:rsid w:val="001232ED"/>
    <w:rsid w:val="00124EA3"/>
    <w:rsid w:val="00131738"/>
    <w:rsid w:val="001367C1"/>
    <w:rsid w:val="00137C9A"/>
    <w:rsid w:val="00141CB4"/>
    <w:rsid w:val="0014216B"/>
    <w:rsid w:val="001424E2"/>
    <w:rsid w:val="00146488"/>
    <w:rsid w:val="0015007C"/>
    <w:rsid w:val="001625DF"/>
    <w:rsid w:val="00162CB5"/>
    <w:rsid w:val="00164C9D"/>
    <w:rsid w:val="00166E75"/>
    <w:rsid w:val="00172313"/>
    <w:rsid w:val="00174410"/>
    <w:rsid w:val="00174937"/>
    <w:rsid w:val="0017526D"/>
    <w:rsid w:val="00180AE1"/>
    <w:rsid w:val="00181D86"/>
    <w:rsid w:val="00182686"/>
    <w:rsid w:val="00182BE8"/>
    <w:rsid w:val="001839A0"/>
    <w:rsid w:val="00190E98"/>
    <w:rsid w:val="00191A23"/>
    <w:rsid w:val="00192562"/>
    <w:rsid w:val="001935EA"/>
    <w:rsid w:val="00196CDA"/>
    <w:rsid w:val="001A5DE1"/>
    <w:rsid w:val="001A66D3"/>
    <w:rsid w:val="001B0294"/>
    <w:rsid w:val="001B0431"/>
    <w:rsid w:val="001B062E"/>
    <w:rsid w:val="001B0970"/>
    <w:rsid w:val="001B3BAC"/>
    <w:rsid w:val="001B5CD1"/>
    <w:rsid w:val="001B6B60"/>
    <w:rsid w:val="001B6C73"/>
    <w:rsid w:val="001C0740"/>
    <w:rsid w:val="001C0D93"/>
    <w:rsid w:val="001C26EE"/>
    <w:rsid w:val="001C33B5"/>
    <w:rsid w:val="001C34ED"/>
    <w:rsid w:val="001C35C5"/>
    <w:rsid w:val="001C36C7"/>
    <w:rsid w:val="001C6D03"/>
    <w:rsid w:val="001C7BA5"/>
    <w:rsid w:val="001D3085"/>
    <w:rsid w:val="001D37F9"/>
    <w:rsid w:val="001D4E5C"/>
    <w:rsid w:val="001D5A36"/>
    <w:rsid w:val="001D6BC2"/>
    <w:rsid w:val="001D705F"/>
    <w:rsid w:val="001D79F8"/>
    <w:rsid w:val="001E4C1F"/>
    <w:rsid w:val="001E72A6"/>
    <w:rsid w:val="001E7A8E"/>
    <w:rsid w:val="001F11BF"/>
    <w:rsid w:val="001F31AA"/>
    <w:rsid w:val="001F321F"/>
    <w:rsid w:val="001F356A"/>
    <w:rsid w:val="001F3BB7"/>
    <w:rsid w:val="001F3CAB"/>
    <w:rsid w:val="001F3E50"/>
    <w:rsid w:val="001F4242"/>
    <w:rsid w:val="001F5FEC"/>
    <w:rsid w:val="001F77F4"/>
    <w:rsid w:val="001F7CBB"/>
    <w:rsid w:val="002001BF"/>
    <w:rsid w:val="00200654"/>
    <w:rsid w:val="0020087A"/>
    <w:rsid w:val="00201048"/>
    <w:rsid w:val="00202B11"/>
    <w:rsid w:val="0020383A"/>
    <w:rsid w:val="00204154"/>
    <w:rsid w:val="00207DD4"/>
    <w:rsid w:val="00210816"/>
    <w:rsid w:val="00211EA5"/>
    <w:rsid w:val="00211FA2"/>
    <w:rsid w:val="00213AE3"/>
    <w:rsid w:val="002177D7"/>
    <w:rsid w:val="00217A97"/>
    <w:rsid w:val="00217E04"/>
    <w:rsid w:val="00220EF6"/>
    <w:rsid w:val="00221407"/>
    <w:rsid w:val="00221DCA"/>
    <w:rsid w:val="00222822"/>
    <w:rsid w:val="00222F3F"/>
    <w:rsid w:val="00223D05"/>
    <w:rsid w:val="002262AA"/>
    <w:rsid w:val="00230029"/>
    <w:rsid w:val="00230515"/>
    <w:rsid w:val="00230749"/>
    <w:rsid w:val="002330D6"/>
    <w:rsid w:val="00236E56"/>
    <w:rsid w:val="00236F07"/>
    <w:rsid w:val="0023752C"/>
    <w:rsid w:val="0024222C"/>
    <w:rsid w:val="00243EDB"/>
    <w:rsid w:val="00252EE1"/>
    <w:rsid w:val="002530DD"/>
    <w:rsid w:val="002533BB"/>
    <w:rsid w:val="002545EE"/>
    <w:rsid w:val="002552F8"/>
    <w:rsid w:val="00255A93"/>
    <w:rsid w:val="00257A9A"/>
    <w:rsid w:val="00260840"/>
    <w:rsid w:val="00260E96"/>
    <w:rsid w:val="00261559"/>
    <w:rsid w:val="0026327B"/>
    <w:rsid w:val="002636CC"/>
    <w:rsid w:val="00263900"/>
    <w:rsid w:val="00264218"/>
    <w:rsid w:val="002647C4"/>
    <w:rsid w:val="00265DC7"/>
    <w:rsid w:val="00266F11"/>
    <w:rsid w:val="00266FFE"/>
    <w:rsid w:val="00270B61"/>
    <w:rsid w:val="00270DD7"/>
    <w:rsid w:val="002717C6"/>
    <w:rsid w:val="002736C0"/>
    <w:rsid w:val="002748D8"/>
    <w:rsid w:val="002749C9"/>
    <w:rsid w:val="0027550D"/>
    <w:rsid w:val="00276481"/>
    <w:rsid w:val="002764E9"/>
    <w:rsid w:val="00277827"/>
    <w:rsid w:val="002826C6"/>
    <w:rsid w:val="0028294A"/>
    <w:rsid w:val="002844CF"/>
    <w:rsid w:val="00285EC8"/>
    <w:rsid w:val="002861E4"/>
    <w:rsid w:val="00287594"/>
    <w:rsid w:val="002877D2"/>
    <w:rsid w:val="002917AF"/>
    <w:rsid w:val="00296CE5"/>
    <w:rsid w:val="002A0368"/>
    <w:rsid w:val="002A03EA"/>
    <w:rsid w:val="002A14F5"/>
    <w:rsid w:val="002A3C33"/>
    <w:rsid w:val="002A4C39"/>
    <w:rsid w:val="002A58B8"/>
    <w:rsid w:val="002A5D52"/>
    <w:rsid w:val="002A78E6"/>
    <w:rsid w:val="002A7EBE"/>
    <w:rsid w:val="002B1390"/>
    <w:rsid w:val="002B1E6F"/>
    <w:rsid w:val="002B4A55"/>
    <w:rsid w:val="002B4C00"/>
    <w:rsid w:val="002B4D53"/>
    <w:rsid w:val="002B5C0C"/>
    <w:rsid w:val="002B7445"/>
    <w:rsid w:val="002C13EE"/>
    <w:rsid w:val="002C1E1F"/>
    <w:rsid w:val="002C23C7"/>
    <w:rsid w:val="002C3233"/>
    <w:rsid w:val="002C325C"/>
    <w:rsid w:val="002C4129"/>
    <w:rsid w:val="002D03FC"/>
    <w:rsid w:val="002D2849"/>
    <w:rsid w:val="002D3067"/>
    <w:rsid w:val="002D4AD6"/>
    <w:rsid w:val="002D6DAC"/>
    <w:rsid w:val="002E052C"/>
    <w:rsid w:val="002E1216"/>
    <w:rsid w:val="002E2E10"/>
    <w:rsid w:val="002E37C5"/>
    <w:rsid w:val="002E600B"/>
    <w:rsid w:val="002E6742"/>
    <w:rsid w:val="002E6C31"/>
    <w:rsid w:val="002E700E"/>
    <w:rsid w:val="002F0E31"/>
    <w:rsid w:val="002F1585"/>
    <w:rsid w:val="002F423F"/>
    <w:rsid w:val="002F4AD7"/>
    <w:rsid w:val="002F5744"/>
    <w:rsid w:val="002F6CE6"/>
    <w:rsid w:val="002F753D"/>
    <w:rsid w:val="00300899"/>
    <w:rsid w:val="00302009"/>
    <w:rsid w:val="003022AE"/>
    <w:rsid w:val="003049C6"/>
    <w:rsid w:val="0030514C"/>
    <w:rsid w:val="00305638"/>
    <w:rsid w:val="003076DF"/>
    <w:rsid w:val="00307866"/>
    <w:rsid w:val="00310C45"/>
    <w:rsid w:val="003125DB"/>
    <w:rsid w:val="003138FE"/>
    <w:rsid w:val="003144CB"/>
    <w:rsid w:val="0031567E"/>
    <w:rsid w:val="00316F9E"/>
    <w:rsid w:val="003177CA"/>
    <w:rsid w:val="00320C29"/>
    <w:rsid w:val="00321326"/>
    <w:rsid w:val="003213D5"/>
    <w:rsid w:val="00321FE9"/>
    <w:rsid w:val="00322501"/>
    <w:rsid w:val="00323B4D"/>
    <w:rsid w:val="003254FA"/>
    <w:rsid w:val="00325B0C"/>
    <w:rsid w:val="00326610"/>
    <w:rsid w:val="003306B8"/>
    <w:rsid w:val="00335993"/>
    <w:rsid w:val="00335B69"/>
    <w:rsid w:val="00337F95"/>
    <w:rsid w:val="003406F9"/>
    <w:rsid w:val="00341515"/>
    <w:rsid w:val="00341FB5"/>
    <w:rsid w:val="00344539"/>
    <w:rsid w:val="003449E6"/>
    <w:rsid w:val="00344D01"/>
    <w:rsid w:val="00345C24"/>
    <w:rsid w:val="00354539"/>
    <w:rsid w:val="003574A2"/>
    <w:rsid w:val="003577AB"/>
    <w:rsid w:val="00357A76"/>
    <w:rsid w:val="003603FC"/>
    <w:rsid w:val="00360654"/>
    <w:rsid w:val="00361400"/>
    <w:rsid w:val="00361ACD"/>
    <w:rsid w:val="00362BE5"/>
    <w:rsid w:val="003642CB"/>
    <w:rsid w:val="00364397"/>
    <w:rsid w:val="00365238"/>
    <w:rsid w:val="00367D1C"/>
    <w:rsid w:val="00367FAE"/>
    <w:rsid w:val="00370168"/>
    <w:rsid w:val="00371B6B"/>
    <w:rsid w:val="00371D0E"/>
    <w:rsid w:val="00372991"/>
    <w:rsid w:val="00372FFB"/>
    <w:rsid w:val="00373DE6"/>
    <w:rsid w:val="0037461F"/>
    <w:rsid w:val="00374793"/>
    <w:rsid w:val="00374DC2"/>
    <w:rsid w:val="00374F0F"/>
    <w:rsid w:val="00375BA3"/>
    <w:rsid w:val="00376A54"/>
    <w:rsid w:val="003778B2"/>
    <w:rsid w:val="00380636"/>
    <w:rsid w:val="00380CC3"/>
    <w:rsid w:val="00384DF8"/>
    <w:rsid w:val="003853B3"/>
    <w:rsid w:val="00387E60"/>
    <w:rsid w:val="003901C5"/>
    <w:rsid w:val="003909BB"/>
    <w:rsid w:val="003912AC"/>
    <w:rsid w:val="00391437"/>
    <w:rsid w:val="00391F77"/>
    <w:rsid w:val="00392E41"/>
    <w:rsid w:val="0039302E"/>
    <w:rsid w:val="00393465"/>
    <w:rsid w:val="0039374B"/>
    <w:rsid w:val="0039503D"/>
    <w:rsid w:val="00395250"/>
    <w:rsid w:val="003A5C25"/>
    <w:rsid w:val="003A67F8"/>
    <w:rsid w:val="003A6EDF"/>
    <w:rsid w:val="003A7816"/>
    <w:rsid w:val="003B10B2"/>
    <w:rsid w:val="003B3E37"/>
    <w:rsid w:val="003B5F2A"/>
    <w:rsid w:val="003B6289"/>
    <w:rsid w:val="003B7C58"/>
    <w:rsid w:val="003C02BB"/>
    <w:rsid w:val="003C052A"/>
    <w:rsid w:val="003C1019"/>
    <w:rsid w:val="003C101C"/>
    <w:rsid w:val="003C1CC1"/>
    <w:rsid w:val="003C1F4A"/>
    <w:rsid w:val="003C2018"/>
    <w:rsid w:val="003C321A"/>
    <w:rsid w:val="003C326E"/>
    <w:rsid w:val="003C4F61"/>
    <w:rsid w:val="003C5079"/>
    <w:rsid w:val="003C5B97"/>
    <w:rsid w:val="003C5CB4"/>
    <w:rsid w:val="003C5EEB"/>
    <w:rsid w:val="003C6350"/>
    <w:rsid w:val="003C68A6"/>
    <w:rsid w:val="003C7DE9"/>
    <w:rsid w:val="003D1959"/>
    <w:rsid w:val="003D1CC0"/>
    <w:rsid w:val="003D3148"/>
    <w:rsid w:val="003D461F"/>
    <w:rsid w:val="003D4C52"/>
    <w:rsid w:val="003D4E42"/>
    <w:rsid w:val="003D6A36"/>
    <w:rsid w:val="003D7DF9"/>
    <w:rsid w:val="003D7EBA"/>
    <w:rsid w:val="003E1558"/>
    <w:rsid w:val="003E20E3"/>
    <w:rsid w:val="003E3043"/>
    <w:rsid w:val="003E3FD9"/>
    <w:rsid w:val="003E5568"/>
    <w:rsid w:val="003F0FCD"/>
    <w:rsid w:val="003F1AAE"/>
    <w:rsid w:val="003F1BB0"/>
    <w:rsid w:val="003F412D"/>
    <w:rsid w:val="003F65A8"/>
    <w:rsid w:val="00400149"/>
    <w:rsid w:val="00401DB7"/>
    <w:rsid w:val="00401E82"/>
    <w:rsid w:val="0040202D"/>
    <w:rsid w:val="00402B6C"/>
    <w:rsid w:val="0040327E"/>
    <w:rsid w:val="004051D9"/>
    <w:rsid w:val="0040623E"/>
    <w:rsid w:val="0040696C"/>
    <w:rsid w:val="004134B0"/>
    <w:rsid w:val="00413903"/>
    <w:rsid w:val="00413C98"/>
    <w:rsid w:val="00413CB8"/>
    <w:rsid w:val="00414826"/>
    <w:rsid w:val="00414F9F"/>
    <w:rsid w:val="00416548"/>
    <w:rsid w:val="0042119F"/>
    <w:rsid w:val="00421A01"/>
    <w:rsid w:val="00422AEC"/>
    <w:rsid w:val="00422F37"/>
    <w:rsid w:val="00423DC6"/>
    <w:rsid w:val="00424507"/>
    <w:rsid w:val="00424FB9"/>
    <w:rsid w:val="00425EBC"/>
    <w:rsid w:val="00426466"/>
    <w:rsid w:val="00426E4C"/>
    <w:rsid w:val="00430B91"/>
    <w:rsid w:val="004310EB"/>
    <w:rsid w:val="004328DC"/>
    <w:rsid w:val="004358E4"/>
    <w:rsid w:val="004361D1"/>
    <w:rsid w:val="00437073"/>
    <w:rsid w:val="00437E55"/>
    <w:rsid w:val="004411B4"/>
    <w:rsid w:val="004420E9"/>
    <w:rsid w:val="004445B7"/>
    <w:rsid w:val="0044512D"/>
    <w:rsid w:val="0044535A"/>
    <w:rsid w:val="00446677"/>
    <w:rsid w:val="00446A5C"/>
    <w:rsid w:val="00447C5F"/>
    <w:rsid w:val="00450D9A"/>
    <w:rsid w:val="00451283"/>
    <w:rsid w:val="0045190E"/>
    <w:rsid w:val="00452A6A"/>
    <w:rsid w:val="00456F14"/>
    <w:rsid w:val="0046118D"/>
    <w:rsid w:val="004616A2"/>
    <w:rsid w:val="00462642"/>
    <w:rsid w:val="00463477"/>
    <w:rsid w:val="00466032"/>
    <w:rsid w:val="00466A9D"/>
    <w:rsid w:val="004677ED"/>
    <w:rsid w:val="0047092B"/>
    <w:rsid w:val="00475B52"/>
    <w:rsid w:val="0048082E"/>
    <w:rsid w:val="00480AA9"/>
    <w:rsid w:val="00480BCC"/>
    <w:rsid w:val="004810C5"/>
    <w:rsid w:val="00481AB2"/>
    <w:rsid w:val="004821AB"/>
    <w:rsid w:val="00482A54"/>
    <w:rsid w:val="00483C60"/>
    <w:rsid w:val="0048457E"/>
    <w:rsid w:val="004852DA"/>
    <w:rsid w:val="0048566D"/>
    <w:rsid w:val="004858BD"/>
    <w:rsid w:val="00486388"/>
    <w:rsid w:val="004866B3"/>
    <w:rsid w:val="00490F46"/>
    <w:rsid w:val="004915A8"/>
    <w:rsid w:val="00491CCB"/>
    <w:rsid w:val="00495B93"/>
    <w:rsid w:val="00497860"/>
    <w:rsid w:val="004A0D59"/>
    <w:rsid w:val="004A1017"/>
    <w:rsid w:val="004A194B"/>
    <w:rsid w:val="004A3A0C"/>
    <w:rsid w:val="004A5EB2"/>
    <w:rsid w:val="004B2AA2"/>
    <w:rsid w:val="004B3CC9"/>
    <w:rsid w:val="004B5BCA"/>
    <w:rsid w:val="004C061C"/>
    <w:rsid w:val="004C3087"/>
    <w:rsid w:val="004C4B30"/>
    <w:rsid w:val="004C5052"/>
    <w:rsid w:val="004C6237"/>
    <w:rsid w:val="004C686E"/>
    <w:rsid w:val="004C6933"/>
    <w:rsid w:val="004C7D5C"/>
    <w:rsid w:val="004D09A9"/>
    <w:rsid w:val="004D0A20"/>
    <w:rsid w:val="004D39CD"/>
    <w:rsid w:val="004D4B6B"/>
    <w:rsid w:val="004D56FB"/>
    <w:rsid w:val="004D6E3E"/>
    <w:rsid w:val="004D6EB7"/>
    <w:rsid w:val="004D7C3A"/>
    <w:rsid w:val="004E0543"/>
    <w:rsid w:val="004E3DA4"/>
    <w:rsid w:val="004E51D2"/>
    <w:rsid w:val="004E6283"/>
    <w:rsid w:val="004E6D82"/>
    <w:rsid w:val="004E76A6"/>
    <w:rsid w:val="004F0561"/>
    <w:rsid w:val="004F08E0"/>
    <w:rsid w:val="004F0CD1"/>
    <w:rsid w:val="004F0F58"/>
    <w:rsid w:val="004F20B0"/>
    <w:rsid w:val="004F2328"/>
    <w:rsid w:val="004F2F05"/>
    <w:rsid w:val="004F4152"/>
    <w:rsid w:val="004F60AA"/>
    <w:rsid w:val="004F7538"/>
    <w:rsid w:val="004F7955"/>
    <w:rsid w:val="00502927"/>
    <w:rsid w:val="00504AA3"/>
    <w:rsid w:val="005055F9"/>
    <w:rsid w:val="00505CDC"/>
    <w:rsid w:val="005064B2"/>
    <w:rsid w:val="0050782D"/>
    <w:rsid w:val="00510A06"/>
    <w:rsid w:val="00512481"/>
    <w:rsid w:val="005124F7"/>
    <w:rsid w:val="00513E14"/>
    <w:rsid w:val="00514EB1"/>
    <w:rsid w:val="0051602E"/>
    <w:rsid w:val="00516522"/>
    <w:rsid w:val="00520B00"/>
    <w:rsid w:val="00521550"/>
    <w:rsid w:val="00521AEB"/>
    <w:rsid w:val="005236E3"/>
    <w:rsid w:val="00524A0D"/>
    <w:rsid w:val="00524ADA"/>
    <w:rsid w:val="0052643F"/>
    <w:rsid w:val="00526F32"/>
    <w:rsid w:val="00526F33"/>
    <w:rsid w:val="005279AB"/>
    <w:rsid w:val="00532F77"/>
    <w:rsid w:val="00534FB8"/>
    <w:rsid w:val="005353C9"/>
    <w:rsid w:val="00540675"/>
    <w:rsid w:val="0054111F"/>
    <w:rsid w:val="00541A44"/>
    <w:rsid w:val="00542540"/>
    <w:rsid w:val="00542E6B"/>
    <w:rsid w:val="005433B2"/>
    <w:rsid w:val="00544F96"/>
    <w:rsid w:val="00545B19"/>
    <w:rsid w:val="005472F3"/>
    <w:rsid w:val="00547CAC"/>
    <w:rsid w:val="00547F5D"/>
    <w:rsid w:val="00550183"/>
    <w:rsid w:val="00550C7E"/>
    <w:rsid w:val="00551BCF"/>
    <w:rsid w:val="0055271E"/>
    <w:rsid w:val="005543F0"/>
    <w:rsid w:val="0055465C"/>
    <w:rsid w:val="00557A6F"/>
    <w:rsid w:val="0056095C"/>
    <w:rsid w:val="0056386E"/>
    <w:rsid w:val="00564401"/>
    <w:rsid w:val="005645A8"/>
    <w:rsid w:val="0056502A"/>
    <w:rsid w:val="0056529B"/>
    <w:rsid w:val="005657E2"/>
    <w:rsid w:val="00565D07"/>
    <w:rsid w:val="00565F68"/>
    <w:rsid w:val="00567CE7"/>
    <w:rsid w:val="0057391D"/>
    <w:rsid w:val="00573F1D"/>
    <w:rsid w:val="00574217"/>
    <w:rsid w:val="00574F2F"/>
    <w:rsid w:val="00576408"/>
    <w:rsid w:val="005773A8"/>
    <w:rsid w:val="00582425"/>
    <w:rsid w:val="00582B0A"/>
    <w:rsid w:val="0058371F"/>
    <w:rsid w:val="00586F8C"/>
    <w:rsid w:val="005875BB"/>
    <w:rsid w:val="00594A64"/>
    <w:rsid w:val="00597523"/>
    <w:rsid w:val="00597E12"/>
    <w:rsid w:val="005A1428"/>
    <w:rsid w:val="005A3EAF"/>
    <w:rsid w:val="005A45AE"/>
    <w:rsid w:val="005A78EF"/>
    <w:rsid w:val="005B0438"/>
    <w:rsid w:val="005B04D0"/>
    <w:rsid w:val="005B38FF"/>
    <w:rsid w:val="005B4B89"/>
    <w:rsid w:val="005B7920"/>
    <w:rsid w:val="005C1872"/>
    <w:rsid w:val="005C37BF"/>
    <w:rsid w:val="005C575A"/>
    <w:rsid w:val="005C58AB"/>
    <w:rsid w:val="005C5CAC"/>
    <w:rsid w:val="005C661B"/>
    <w:rsid w:val="005D1910"/>
    <w:rsid w:val="005D1CCE"/>
    <w:rsid w:val="005D2350"/>
    <w:rsid w:val="005D2716"/>
    <w:rsid w:val="005D5C96"/>
    <w:rsid w:val="005D613B"/>
    <w:rsid w:val="005D7933"/>
    <w:rsid w:val="005E49B6"/>
    <w:rsid w:val="005E594D"/>
    <w:rsid w:val="005E624B"/>
    <w:rsid w:val="005E6762"/>
    <w:rsid w:val="005E6DEA"/>
    <w:rsid w:val="005E6EA6"/>
    <w:rsid w:val="005F1238"/>
    <w:rsid w:val="005F16F3"/>
    <w:rsid w:val="005F1C92"/>
    <w:rsid w:val="005F224F"/>
    <w:rsid w:val="005F53D1"/>
    <w:rsid w:val="005F7289"/>
    <w:rsid w:val="005F784C"/>
    <w:rsid w:val="006014DC"/>
    <w:rsid w:val="00602344"/>
    <w:rsid w:val="00602C82"/>
    <w:rsid w:val="00602F54"/>
    <w:rsid w:val="00604E51"/>
    <w:rsid w:val="00604FB5"/>
    <w:rsid w:val="0060676B"/>
    <w:rsid w:val="00606FFF"/>
    <w:rsid w:val="00610D08"/>
    <w:rsid w:val="0061184D"/>
    <w:rsid w:val="006119E0"/>
    <w:rsid w:val="00611AED"/>
    <w:rsid w:val="006135B4"/>
    <w:rsid w:val="00614792"/>
    <w:rsid w:val="00614AA4"/>
    <w:rsid w:val="00615260"/>
    <w:rsid w:val="00616067"/>
    <w:rsid w:val="00616E98"/>
    <w:rsid w:val="006217A1"/>
    <w:rsid w:val="00624D22"/>
    <w:rsid w:val="0062507F"/>
    <w:rsid w:val="00625101"/>
    <w:rsid w:val="00625AB1"/>
    <w:rsid w:val="00627043"/>
    <w:rsid w:val="006275FA"/>
    <w:rsid w:val="0063005B"/>
    <w:rsid w:val="006305D4"/>
    <w:rsid w:val="00631BB9"/>
    <w:rsid w:val="00632C6D"/>
    <w:rsid w:val="0063413B"/>
    <w:rsid w:val="00635B1C"/>
    <w:rsid w:val="0063659D"/>
    <w:rsid w:val="0063676C"/>
    <w:rsid w:val="00636A4B"/>
    <w:rsid w:val="00637EA7"/>
    <w:rsid w:val="00641D71"/>
    <w:rsid w:val="00641DDD"/>
    <w:rsid w:val="00644EC5"/>
    <w:rsid w:val="00647191"/>
    <w:rsid w:val="00652221"/>
    <w:rsid w:val="006529A1"/>
    <w:rsid w:val="00653984"/>
    <w:rsid w:val="00653F70"/>
    <w:rsid w:val="00655274"/>
    <w:rsid w:val="006557AD"/>
    <w:rsid w:val="006573C0"/>
    <w:rsid w:val="006576A5"/>
    <w:rsid w:val="006602CD"/>
    <w:rsid w:val="006620BB"/>
    <w:rsid w:val="00662716"/>
    <w:rsid w:val="006646F8"/>
    <w:rsid w:val="00664B57"/>
    <w:rsid w:val="00666560"/>
    <w:rsid w:val="0067260A"/>
    <w:rsid w:val="00673A55"/>
    <w:rsid w:val="0067406B"/>
    <w:rsid w:val="00675E36"/>
    <w:rsid w:val="00676A19"/>
    <w:rsid w:val="00680B76"/>
    <w:rsid w:val="00680C80"/>
    <w:rsid w:val="006810CD"/>
    <w:rsid w:val="00681266"/>
    <w:rsid w:val="006819E6"/>
    <w:rsid w:val="006840A3"/>
    <w:rsid w:val="00684B6F"/>
    <w:rsid w:val="00685C44"/>
    <w:rsid w:val="00686512"/>
    <w:rsid w:val="00692DD4"/>
    <w:rsid w:val="00693206"/>
    <w:rsid w:val="006947DD"/>
    <w:rsid w:val="00694ABB"/>
    <w:rsid w:val="00694FEA"/>
    <w:rsid w:val="006950CC"/>
    <w:rsid w:val="0069621F"/>
    <w:rsid w:val="00697248"/>
    <w:rsid w:val="00697725"/>
    <w:rsid w:val="006A19C7"/>
    <w:rsid w:val="006A3609"/>
    <w:rsid w:val="006A3C41"/>
    <w:rsid w:val="006A3E2B"/>
    <w:rsid w:val="006A4D90"/>
    <w:rsid w:val="006B0C62"/>
    <w:rsid w:val="006B0F27"/>
    <w:rsid w:val="006B305A"/>
    <w:rsid w:val="006B3DAD"/>
    <w:rsid w:val="006B3E9B"/>
    <w:rsid w:val="006B47AD"/>
    <w:rsid w:val="006B4C62"/>
    <w:rsid w:val="006B558A"/>
    <w:rsid w:val="006B57F6"/>
    <w:rsid w:val="006B5EA3"/>
    <w:rsid w:val="006B684A"/>
    <w:rsid w:val="006B6A34"/>
    <w:rsid w:val="006B6DE0"/>
    <w:rsid w:val="006C0702"/>
    <w:rsid w:val="006C0A6E"/>
    <w:rsid w:val="006C14B5"/>
    <w:rsid w:val="006C3A6A"/>
    <w:rsid w:val="006C45E3"/>
    <w:rsid w:val="006C57A6"/>
    <w:rsid w:val="006C6ACC"/>
    <w:rsid w:val="006C775B"/>
    <w:rsid w:val="006D1182"/>
    <w:rsid w:val="006D1FDB"/>
    <w:rsid w:val="006D20D7"/>
    <w:rsid w:val="006D27DA"/>
    <w:rsid w:val="006D353B"/>
    <w:rsid w:val="006D41F9"/>
    <w:rsid w:val="006D4F9B"/>
    <w:rsid w:val="006D5797"/>
    <w:rsid w:val="006D5F7D"/>
    <w:rsid w:val="006D6C94"/>
    <w:rsid w:val="006D7FDF"/>
    <w:rsid w:val="006E1142"/>
    <w:rsid w:val="006E1F5F"/>
    <w:rsid w:val="006E2F5A"/>
    <w:rsid w:val="006E3CEB"/>
    <w:rsid w:val="006E44E2"/>
    <w:rsid w:val="006E4D33"/>
    <w:rsid w:val="006E65AD"/>
    <w:rsid w:val="006E72E5"/>
    <w:rsid w:val="006F0715"/>
    <w:rsid w:val="006F0D40"/>
    <w:rsid w:val="006F0D7B"/>
    <w:rsid w:val="006F2B6A"/>
    <w:rsid w:val="006F425D"/>
    <w:rsid w:val="006F42CD"/>
    <w:rsid w:val="007002FB"/>
    <w:rsid w:val="0070040E"/>
    <w:rsid w:val="00700AA1"/>
    <w:rsid w:val="00701149"/>
    <w:rsid w:val="00701458"/>
    <w:rsid w:val="007027AA"/>
    <w:rsid w:val="007030C0"/>
    <w:rsid w:val="007055DD"/>
    <w:rsid w:val="00706709"/>
    <w:rsid w:val="007102B3"/>
    <w:rsid w:val="007105CA"/>
    <w:rsid w:val="0071195F"/>
    <w:rsid w:val="00712122"/>
    <w:rsid w:val="007121E9"/>
    <w:rsid w:val="00712624"/>
    <w:rsid w:val="00712B9D"/>
    <w:rsid w:val="00712C44"/>
    <w:rsid w:val="0071563C"/>
    <w:rsid w:val="007201A5"/>
    <w:rsid w:val="00725547"/>
    <w:rsid w:val="007273D8"/>
    <w:rsid w:val="00727558"/>
    <w:rsid w:val="00727809"/>
    <w:rsid w:val="007279E5"/>
    <w:rsid w:val="0073245C"/>
    <w:rsid w:val="00733789"/>
    <w:rsid w:val="00735792"/>
    <w:rsid w:val="00735909"/>
    <w:rsid w:val="00736113"/>
    <w:rsid w:val="00736E9C"/>
    <w:rsid w:val="00737174"/>
    <w:rsid w:val="0073722B"/>
    <w:rsid w:val="0074306F"/>
    <w:rsid w:val="0074373D"/>
    <w:rsid w:val="007437DD"/>
    <w:rsid w:val="00745E25"/>
    <w:rsid w:val="00750315"/>
    <w:rsid w:val="0075161D"/>
    <w:rsid w:val="00752372"/>
    <w:rsid w:val="00752BCA"/>
    <w:rsid w:val="00753529"/>
    <w:rsid w:val="007554A0"/>
    <w:rsid w:val="007556CC"/>
    <w:rsid w:val="0075573B"/>
    <w:rsid w:val="00756365"/>
    <w:rsid w:val="00756500"/>
    <w:rsid w:val="00756E18"/>
    <w:rsid w:val="00763714"/>
    <w:rsid w:val="00763AC4"/>
    <w:rsid w:val="007645C2"/>
    <w:rsid w:val="007669B1"/>
    <w:rsid w:val="00772271"/>
    <w:rsid w:val="00772C99"/>
    <w:rsid w:val="00773245"/>
    <w:rsid w:val="0077533C"/>
    <w:rsid w:val="007759DC"/>
    <w:rsid w:val="007775EA"/>
    <w:rsid w:val="00777D8A"/>
    <w:rsid w:val="00787593"/>
    <w:rsid w:val="00790979"/>
    <w:rsid w:val="00790A1D"/>
    <w:rsid w:val="00791F96"/>
    <w:rsid w:val="00792AA9"/>
    <w:rsid w:val="007932AB"/>
    <w:rsid w:val="00796E96"/>
    <w:rsid w:val="00797925"/>
    <w:rsid w:val="007A1160"/>
    <w:rsid w:val="007A4751"/>
    <w:rsid w:val="007A5349"/>
    <w:rsid w:val="007A6013"/>
    <w:rsid w:val="007A6DB6"/>
    <w:rsid w:val="007A7B8B"/>
    <w:rsid w:val="007B1714"/>
    <w:rsid w:val="007B1B3A"/>
    <w:rsid w:val="007B2962"/>
    <w:rsid w:val="007B3258"/>
    <w:rsid w:val="007B3C0F"/>
    <w:rsid w:val="007B3D3F"/>
    <w:rsid w:val="007B5B9F"/>
    <w:rsid w:val="007C031D"/>
    <w:rsid w:val="007C1CAA"/>
    <w:rsid w:val="007C2F1C"/>
    <w:rsid w:val="007C3437"/>
    <w:rsid w:val="007C37B9"/>
    <w:rsid w:val="007C51BC"/>
    <w:rsid w:val="007C65E0"/>
    <w:rsid w:val="007C6A1F"/>
    <w:rsid w:val="007C721F"/>
    <w:rsid w:val="007C78D2"/>
    <w:rsid w:val="007D292C"/>
    <w:rsid w:val="007D3140"/>
    <w:rsid w:val="007D4E65"/>
    <w:rsid w:val="007D5881"/>
    <w:rsid w:val="007D6FEC"/>
    <w:rsid w:val="007D7385"/>
    <w:rsid w:val="007E0F4B"/>
    <w:rsid w:val="007E13B7"/>
    <w:rsid w:val="007E14EF"/>
    <w:rsid w:val="007E2699"/>
    <w:rsid w:val="007E4053"/>
    <w:rsid w:val="007E527E"/>
    <w:rsid w:val="007E6B5A"/>
    <w:rsid w:val="007E784C"/>
    <w:rsid w:val="007F1AE3"/>
    <w:rsid w:val="007F26E4"/>
    <w:rsid w:val="007F284D"/>
    <w:rsid w:val="007F3558"/>
    <w:rsid w:val="007F52C7"/>
    <w:rsid w:val="007F5485"/>
    <w:rsid w:val="007F6F34"/>
    <w:rsid w:val="007F7404"/>
    <w:rsid w:val="00803057"/>
    <w:rsid w:val="0080315A"/>
    <w:rsid w:val="00806823"/>
    <w:rsid w:val="00806F90"/>
    <w:rsid w:val="0081200E"/>
    <w:rsid w:val="00815506"/>
    <w:rsid w:val="00816B38"/>
    <w:rsid w:val="008171D6"/>
    <w:rsid w:val="008179CB"/>
    <w:rsid w:val="00820530"/>
    <w:rsid w:val="00822502"/>
    <w:rsid w:val="00823A38"/>
    <w:rsid w:val="0082491F"/>
    <w:rsid w:val="008265D3"/>
    <w:rsid w:val="00827E49"/>
    <w:rsid w:val="00831494"/>
    <w:rsid w:val="00832AFA"/>
    <w:rsid w:val="00834508"/>
    <w:rsid w:val="00834773"/>
    <w:rsid w:val="00842771"/>
    <w:rsid w:val="00842D0A"/>
    <w:rsid w:val="008435BF"/>
    <w:rsid w:val="008441C5"/>
    <w:rsid w:val="00844D68"/>
    <w:rsid w:val="00844EE3"/>
    <w:rsid w:val="008455AD"/>
    <w:rsid w:val="00851DB2"/>
    <w:rsid w:val="0085596D"/>
    <w:rsid w:val="00857EFF"/>
    <w:rsid w:val="00860461"/>
    <w:rsid w:val="00861F24"/>
    <w:rsid w:val="0086480A"/>
    <w:rsid w:val="0086480D"/>
    <w:rsid w:val="0086487D"/>
    <w:rsid w:val="008662D0"/>
    <w:rsid w:val="0086771D"/>
    <w:rsid w:val="008710EC"/>
    <w:rsid w:val="008717DA"/>
    <w:rsid w:val="008726E7"/>
    <w:rsid w:val="00872833"/>
    <w:rsid w:val="008735AA"/>
    <w:rsid w:val="00874163"/>
    <w:rsid w:val="00874C11"/>
    <w:rsid w:val="008755B9"/>
    <w:rsid w:val="008760D7"/>
    <w:rsid w:val="008773FD"/>
    <w:rsid w:val="00877F68"/>
    <w:rsid w:val="0088048B"/>
    <w:rsid w:val="008805A0"/>
    <w:rsid w:val="008811D5"/>
    <w:rsid w:val="0088196C"/>
    <w:rsid w:val="008843CD"/>
    <w:rsid w:val="00884AF2"/>
    <w:rsid w:val="00885743"/>
    <w:rsid w:val="00885B6C"/>
    <w:rsid w:val="00886519"/>
    <w:rsid w:val="0088716F"/>
    <w:rsid w:val="00887800"/>
    <w:rsid w:val="00887C9B"/>
    <w:rsid w:val="00887CBA"/>
    <w:rsid w:val="00891104"/>
    <w:rsid w:val="0089212F"/>
    <w:rsid w:val="00893269"/>
    <w:rsid w:val="00893E4F"/>
    <w:rsid w:val="0089482B"/>
    <w:rsid w:val="00894B31"/>
    <w:rsid w:val="00897797"/>
    <w:rsid w:val="008A1CE8"/>
    <w:rsid w:val="008A2634"/>
    <w:rsid w:val="008A3189"/>
    <w:rsid w:val="008A4ED5"/>
    <w:rsid w:val="008A5297"/>
    <w:rsid w:val="008A6B48"/>
    <w:rsid w:val="008A735B"/>
    <w:rsid w:val="008B2176"/>
    <w:rsid w:val="008B2413"/>
    <w:rsid w:val="008B5A2B"/>
    <w:rsid w:val="008B605D"/>
    <w:rsid w:val="008B6067"/>
    <w:rsid w:val="008B668F"/>
    <w:rsid w:val="008B7C25"/>
    <w:rsid w:val="008C330A"/>
    <w:rsid w:val="008C3806"/>
    <w:rsid w:val="008C40D9"/>
    <w:rsid w:val="008C4FD1"/>
    <w:rsid w:val="008C5856"/>
    <w:rsid w:val="008C5CD9"/>
    <w:rsid w:val="008C6576"/>
    <w:rsid w:val="008C6B1E"/>
    <w:rsid w:val="008D2592"/>
    <w:rsid w:val="008D6223"/>
    <w:rsid w:val="008D644B"/>
    <w:rsid w:val="008D66F5"/>
    <w:rsid w:val="008E02C2"/>
    <w:rsid w:val="008E190A"/>
    <w:rsid w:val="008E3772"/>
    <w:rsid w:val="008E3C4B"/>
    <w:rsid w:val="008E6BFC"/>
    <w:rsid w:val="008F0534"/>
    <w:rsid w:val="008F0FF5"/>
    <w:rsid w:val="008F1DA2"/>
    <w:rsid w:val="008F24DC"/>
    <w:rsid w:val="008F2532"/>
    <w:rsid w:val="008F4004"/>
    <w:rsid w:val="008F5DC9"/>
    <w:rsid w:val="008F6A24"/>
    <w:rsid w:val="009002F9"/>
    <w:rsid w:val="00901180"/>
    <w:rsid w:val="00901872"/>
    <w:rsid w:val="00903A62"/>
    <w:rsid w:val="00904648"/>
    <w:rsid w:val="00906BE9"/>
    <w:rsid w:val="0091299D"/>
    <w:rsid w:val="0091310C"/>
    <w:rsid w:val="00914B5B"/>
    <w:rsid w:val="00914B85"/>
    <w:rsid w:val="009155B1"/>
    <w:rsid w:val="009175FD"/>
    <w:rsid w:val="009219BE"/>
    <w:rsid w:val="00922F66"/>
    <w:rsid w:val="00924A60"/>
    <w:rsid w:val="0092577A"/>
    <w:rsid w:val="009257AF"/>
    <w:rsid w:val="00925E5C"/>
    <w:rsid w:val="0092638E"/>
    <w:rsid w:val="00930AFF"/>
    <w:rsid w:val="00930F1B"/>
    <w:rsid w:val="0093237C"/>
    <w:rsid w:val="009335F0"/>
    <w:rsid w:val="00933E4E"/>
    <w:rsid w:val="009358E3"/>
    <w:rsid w:val="0094173E"/>
    <w:rsid w:val="00942299"/>
    <w:rsid w:val="009424D7"/>
    <w:rsid w:val="00942848"/>
    <w:rsid w:val="00942CDC"/>
    <w:rsid w:val="00942D2F"/>
    <w:rsid w:val="00944089"/>
    <w:rsid w:val="00945073"/>
    <w:rsid w:val="0094581D"/>
    <w:rsid w:val="00945854"/>
    <w:rsid w:val="0094750C"/>
    <w:rsid w:val="009508BA"/>
    <w:rsid w:val="009519D0"/>
    <w:rsid w:val="00952F3C"/>
    <w:rsid w:val="00955C52"/>
    <w:rsid w:val="009566FE"/>
    <w:rsid w:val="00956792"/>
    <w:rsid w:val="00956E22"/>
    <w:rsid w:val="00957AD9"/>
    <w:rsid w:val="0096004E"/>
    <w:rsid w:val="009603BF"/>
    <w:rsid w:val="0096187D"/>
    <w:rsid w:val="00961A7E"/>
    <w:rsid w:val="00962210"/>
    <w:rsid w:val="00962735"/>
    <w:rsid w:val="00963553"/>
    <w:rsid w:val="00963BD8"/>
    <w:rsid w:val="00965B62"/>
    <w:rsid w:val="00965FB0"/>
    <w:rsid w:val="00967BA8"/>
    <w:rsid w:val="00971C2B"/>
    <w:rsid w:val="0097703A"/>
    <w:rsid w:val="0098133B"/>
    <w:rsid w:val="00984755"/>
    <w:rsid w:val="00984844"/>
    <w:rsid w:val="00987745"/>
    <w:rsid w:val="00987DCC"/>
    <w:rsid w:val="00991F27"/>
    <w:rsid w:val="00991FA2"/>
    <w:rsid w:val="00992F59"/>
    <w:rsid w:val="0099491A"/>
    <w:rsid w:val="0099559C"/>
    <w:rsid w:val="0099599B"/>
    <w:rsid w:val="00995E11"/>
    <w:rsid w:val="00996C07"/>
    <w:rsid w:val="009A2F60"/>
    <w:rsid w:val="009A344B"/>
    <w:rsid w:val="009A4957"/>
    <w:rsid w:val="009A5204"/>
    <w:rsid w:val="009A5D44"/>
    <w:rsid w:val="009A5EC5"/>
    <w:rsid w:val="009A682C"/>
    <w:rsid w:val="009A6CC6"/>
    <w:rsid w:val="009B225A"/>
    <w:rsid w:val="009B2808"/>
    <w:rsid w:val="009B458C"/>
    <w:rsid w:val="009B4E21"/>
    <w:rsid w:val="009B58F1"/>
    <w:rsid w:val="009B5C6E"/>
    <w:rsid w:val="009B6E53"/>
    <w:rsid w:val="009C017B"/>
    <w:rsid w:val="009C0A0F"/>
    <w:rsid w:val="009C172A"/>
    <w:rsid w:val="009C5EE8"/>
    <w:rsid w:val="009C6CCD"/>
    <w:rsid w:val="009C7834"/>
    <w:rsid w:val="009D11B9"/>
    <w:rsid w:val="009D1C8E"/>
    <w:rsid w:val="009D24DE"/>
    <w:rsid w:val="009D2D46"/>
    <w:rsid w:val="009D3E82"/>
    <w:rsid w:val="009D4F24"/>
    <w:rsid w:val="009D52D4"/>
    <w:rsid w:val="009D62DF"/>
    <w:rsid w:val="009D6CA7"/>
    <w:rsid w:val="009E1DD9"/>
    <w:rsid w:val="009E235E"/>
    <w:rsid w:val="009E43A0"/>
    <w:rsid w:val="009E4824"/>
    <w:rsid w:val="009E4FAD"/>
    <w:rsid w:val="009E6D80"/>
    <w:rsid w:val="009F05B1"/>
    <w:rsid w:val="009F0BB9"/>
    <w:rsid w:val="009F0E63"/>
    <w:rsid w:val="009F24EC"/>
    <w:rsid w:val="009F2A11"/>
    <w:rsid w:val="009F6618"/>
    <w:rsid w:val="009F692D"/>
    <w:rsid w:val="009F7157"/>
    <w:rsid w:val="00A004A7"/>
    <w:rsid w:val="00A00F39"/>
    <w:rsid w:val="00A03227"/>
    <w:rsid w:val="00A03965"/>
    <w:rsid w:val="00A0485D"/>
    <w:rsid w:val="00A05866"/>
    <w:rsid w:val="00A06162"/>
    <w:rsid w:val="00A06C29"/>
    <w:rsid w:val="00A07755"/>
    <w:rsid w:val="00A1153F"/>
    <w:rsid w:val="00A12341"/>
    <w:rsid w:val="00A123F6"/>
    <w:rsid w:val="00A12451"/>
    <w:rsid w:val="00A126C8"/>
    <w:rsid w:val="00A131F9"/>
    <w:rsid w:val="00A13542"/>
    <w:rsid w:val="00A13736"/>
    <w:rsid w:val="00A1395A"/>
    <w:rsid w:val="00A13FF2"/>
    <w:rsid w:val="00A15DA2"/>
    <w:rsid w:val="00A1639C"/>
    <w:rsid w:val="00A17F35"/>
    <w:rsid w:val="00A200C0"/>
    <w:rsid w:val="00A21801"/>
    <w:rsid w:val="00A2313E"/>
    <w:rsid w:val="00A23FDB"/>
    <w:rsid w:val="00A2473A"/>
    <w:rsid w:val="00A258C8"/>
    <w:rsid w:val="00A260D4"/>
    <w:rsid w:val="00A2709A"/>
    <w:rsid w:val="00A276F8"/>
    <w:rsid w:val="00A27837"/>
    <w:rsid w:val="00A30838"/>
    <w:rsid w:val="00A314D1"/>
    <w:rsid w:val="00A36845"/>
    <w:rsid w:val="00A37E13"/>
    <w:rsid w:val="00A40A42"/>
    <w:rsid w:val="00A42A04"/>
    <w:rsid w:val="00A44549"/>
    <w:rsid w:val="00A44731"/>
    <w:rsid w:val="00A45208"/>
    <w:rsid w:val="00A45AA4"/>
    <w:rsid w:val="00A46C4C"/>
    <w:rsid w:val="00A47F9B"/>
    <w:rsid w:val="00A51503"/>
    <w:rsid w:val="00A52CDA"/>
    <w:rsid w:val="00A52E07"/>
    <w:rsid w:val="00A545D9"/>
    <w:rsid w:val="00A568A3"/>
    <w:rsid w:val="00A57646"/>
    <w:rsid w:val="00A6098B"/>
    <w:rsid w:val="00A64843"/>
    <w:rsid w:val="00A67DD3"/>
    <w:rsid w:val="00A67EC1"/>
    <w:rsid w:val="00A70313"/>
    <w:rsid w:val="00A707D4"/>
    <w:rsid w:val="00A70A2C"/>
    <w:rsid w:val="00A70A4C"/>
    <w:rsid w:val="00A74183"/>
    <w:rsid w:val="00A75DA8"/>
    <w:rsid w:val="00A76747"/>
    <w:rsid w:val="00A76AB5"/>
    <w:rsid w:val="00A76C49"/>
    <w:rsid w:val="00A7710D"/>
    <w:rsid w:val="00A77250"/>
    <w:rsid w:val="00A77AB1"/>
    <w:rsid w:val="00A81C19"/>
    <w:rsid w:val="00A81E71"/>
    <w:rsid w:val="00A8371B"/>
    <w:rsid w:val="00A83906"/>
    <w:rsid w:val="00A846D7"/>
    <w:rsid w:val="00A849F0"/>
    <w:rsid w:val="00A8552E"/>
    <w:rsid w:val="00A85B65"/>
    <w:rsid w:val="00A864CD"/>
    <w:rsid w:val="00A8777C"/>
    <w:rsid w:val="00A91117"/>
    <w:rsid w:val="00A913EC"/>
    <w:rsid w:val="00A91B8F"/>
    <w:rsid w:val="00A93801"/>
    <w:rsid w:val="00A944B2"/>
    <w:rsid w:val="00AA03E0"/>
    <w:rsid w:val="00AA4739"/>
    <w:rsid w:val="00AA4866"/>
    <w:rsid w:val="00AA505B"/>
    <w:rsid w:val="00AA5FB2"/>
    <w:rsid w:val="00AA650F"/>
    <w:rsid w:val="00AA65A5"/>
    <w:rsid w:val="00AA77D3"/>
    <w:rsid w:val="00AB0FF1"/>
    <w:rsid w:val="00AB12EF"/>
    <w:rsid w:val="00AB1C4E"/>
    <w:rsid w:val="00AB24DF"/>
    <w:rsid w:val="00AB49BD"/>
    <w:rsid w:val="00AB5667"/>
    <w:rsid w:val="00AB7411"/>
    <w:rsid w:val="00AC18CF"/>
    <w:rsid w:val="00AC301F"/>
    <w:rsid w:val="00AC5B93"/>
    <w:rsid w:val="00AC648C"/>
    <w:rsid w:val="00AC6992"/>
    <w:rsid w:val="00AC786B"/>
    <w:rsid w:val="00AC7AF2"/>
    <w:rsid w:val="00AD1A4A"/>
    <w:rsid w:val="00AD20C6"/>
    <w:rsid w:val="00AD24EC"/>
    <w:rsid w:val="00AD3E7C"/>
    <w:rsid w:val="00AD4E2C"/>
    <w:rsid w:val="00AD5246"/>
    <w:rsid w:val="00AD5B9D"/>
    <w:rsid w:val="00AD5C16"/>
    <w:rsid w:val="00AE3CF9"/>
    <w:rsid w:val="00AE5073"/>
    <w:rsid w:val="00AE793F"/>
    <w:rsid w:val="00AE7E79"/>
    <w:rsid w:val="00AF17E7"/>
    <w:rsid w:val="00AF1BD8"/>
    <w:rsid w:val="00AF2542"/>
    <w:rsid w:val="00AF2C14"/>
    <w:rsid w:val="00AF573F"/>
    <w:rsid w:val="00AF725C"/>
    <w:rsid w:val="00B04B73"/>
    <w:rsid w:val="00B0512E"/>
    <w:rsid w:val="00B073DB"/>
    <w:rsid w:val="00B1109D"/>
    <w:rsid w:val="00B12A48"/>
    <w:rsid w:val="00B132CD"/>
    <w:rsid w:val="00B144E4"/>
    <w:rsid w:val="00B151FE"/>
    <w:rsid w:val="00B17FB8"/>
    <w:rsid w:val="00B17FDA"/>
    <w:rsid w:val="00B21D0D"/>
    <w:rsid w:val="00B22965"/>
    <w:rsid w:val="00B275E6"/>
    <w:rsid w:val="00B30CC3"/>
    <w:rsid w:val="00B31B63"/>
    <w:rsid w:val="00B31FF7"/>
    <w:rsid w:val="00B36184"/>
    <w:rsid w:val="00B364AD"/>
    <w:rsid w:val="00B36EB2"/>
    <w:rsid w:val="00B36F0F"/>
    <w:rsid w:val="00B3790D"/>
    <w:rsid w:val="00B4127F"/>
    <w:rsid w:val="00B41304"/>
    <w:rsid w:val="00B43169"/>
    <w:rsid w:val="00B4766D"/>
    <w:rsid w:val="00B507B3"/>
    <w:rsid w:val="00B539D7"/>
    <w:rsid w:val="00B54021"/>
    <w:rsid w:val="00B540DB"/>
    <w:rsid w:val="00B54E1C"/>
    <w:rsid w:val="00B55AA4"/>
    <w:rsid w:val="00B55BE3"/>
    <w:rsid w:val="00B56430"/>
    <w:rsid w:val="00B56692"/>
    <w:rsid w:val="00B60EAB"/>
    <w:rsid w:val="00B61AA3"/>
    <w:rsid w:val="00B643C4"/>
    <w:rsid w:val="00B653AF"/>
    <w:rsid w:val="00B662F7"/>
    <w:rsid w:val="00B67103"/>
    <w:rsid w:val="00B71239"/>
    <w:rsid w:val="00B72307"/>
    <w:rsid w:val="00B72982"/>
    <w:rsid w:val="00B742CC"/>
    <w:rsid w:val="00B75EAB"/>
    <w:rsid w:val="00B776C0"/>
    <w:rsid w:val="00B8131D"/>
    <w:rsid w:val="00B8212C"/>
    <w:rsid w:val="00B8477A"/>
    <w:rsid w:val="00B87CF2"/>
    <w:rsid w:val="00B90DD5"/>
    <w:rsid w:val="00B9112E"/>
    <w:rsid w:val="00B9201F"/>
    <w:rsid w:val="00B922C4"/>
    <w:rsid w:val="00B92E45"/>
    <w:rsid w:val="00B93EE4"/>
    <w:rsid w:val="00B95B0B"/>
    <w:rsid w:val="00B9662A"/>
    <w:rsid w:val="00B9681C"/>
    <w:rsid w:val="00B979E8"/>
    <w:rsid w:val="00BA07F4"/>
    <w:rsid w:val="00BA28FF"/>
    <w:rsid w:val="00BA3459"/>
    <w:rsid w:val="00BA34F2"/>
    <w:rsid w:val="00BA367F"/>
    <w:rsid w:val="00BA3ECF"/>
    <w:rsid w:val="00BA54F9"/>
    <w:rsid w:val="00BA572B"/>
    <w:rsid w:val="00BB149C"/>
    <w:rsid w:val="00BB153E"/>
    <w:rsid w:val="00BB21A7"/>
    <w:rsid w:val="00BB2D0B"/>
    <w:rsid w:val="00BB3566"/>
    <w:rsid w:val="00BB3DCF"/>
    <w:rsid w:val="00BB454D"/>
    <w:rsid w:val="00BB759F"/>
    <w:rsid w:val="00BC0BF1"/>
    <w:rsid w:val="00BC1719"/>
    <w:rsid w:val="00BC2780"/>
    <w:rsid w:val="00BC3102"/>
    <w:rsid w:val="00BC33A0"/>
    <w:rsid w:val="00BC4B3A"/>
    <w:rsid w:val="00BC505E"/>
    <w:rsid w:val="00BC55D4"/>
    <w:rsid w:val="00BD00CA"/>
    <w:rsid w:val="00BD1596"/>
    <w:rsid w:val="00BD174D"/>
    <w:rsid w:val="00BD1CA2"/>
    <w:rsid w:val="00BD325B"/>
    <w:rsid w:val="00BD42B0"/>
    <w:rsid w:val="00BD48C6"/>
    <w:rsid w:val="00BD7B70"/>
    <w:rsid w:val="00BE0728"/>
    <w:rsid w:val="00BE2C21"/>
    <w:rsid w:val="00BE427B"/>
    <w:rsid w:val="00BE458A"/>
    <w:rsid w:val="00BE4CD2"/>
    <w:rsid w:val="00BE52AB"/>
    <w:rsid w:val="00BE6369"/>
    <w:rsid w:val="00BE6501"/>
    <w:rsid w:val="00BE6972"/>
    <w:rsid w:val="00BF033F"/>
    <w:rsid w:val="00BF3EBE"/>
    <w:rsid w:val="00BF51AB"/>
    <w:rsid w:val="00BF658F"/>
    <w:rsid w:val="00BF68D5"/>
    <w:rsid w:val="00BF6D25"/>
    <w:rsid w:val="00C004AB"/>
    <w:rsid w:val="00C00819"/>
    <w:rsid w:val="00C014C4"/>
    <w:rsid w:val="00C03A2C"/>
    <w:rsid w:val="00C0485A"/>
    <w:rsid w:val="00C06682"/>
    <w:rsid w:val="00C11506"/>
    <w:rsid w:val="00C11FA0"/>
    <w:rsid w:val="00C121C4"/>
    <w:rsid w:val="00C1296F"/>
    <w:rsid w:val="00C205C9"/>
    <w:rsid w:val="00C22827"/>
    <w:rsid w:val="00C23FF1"/>
    <w:rsid w:val="00C24060"/>
    <w:rsid w:val="00C24E20"/>
    <w:rsid w:val="00C26598"/>
    <w:rsid w:val="00C27C1D"/>
    <w:rsid w:val="00C30196"/>
    <w:rsid w:val="00C3022C"/>
    <w:rsid w:val="00C30487"/>
    <w:rsid w:val="00C31D34"/>
    <w:rsid w:val="00C323EF"/>
    <w:rsid w:val="00C33001"/>
    <w:rsid w:val="00C33BC9"/>
    <w:rsid w:val="00C33D6D"/>
    <w:rsid w:val="00C33DA0"/>
    <w:rsid w:val="00C33EBF"/>
    <w:rsid w:val="00C348F4"/>
    <w:rsid w:val="00C40599"/>
    <w:rsid w:val="00C41FCB"/>
    <w:rsid w:val="00C42946"/>
    <w:rsid w:val="00C42E59"/>
    <w:rsid w:val="00C43C9F"/>
    <w:rsid w:val="00C4473D"/>
    <w:rsid w:val="00C453BF"/>
    <w:rsid w:val="00C512DC"/>
    <w:rsid w:val="00C53CA3"/>
    <w:rsid w:val="00C55604"/>
    <w:rsid w:val="00C55AB4"/>
    <w:rsid w:val="00C56CBB"/>
    <w:rsid w:val="00C56D4D"/>
    <w:rsid w:val="00C57E81"/>
    <w:rsid w:val="00C62118"/>
    <w:rsid w:val="00C63419"/>
    <w:rsid w:val="00C64EFC"/>
    <w:rsid w:val="00C661FF"/>
    <w:rsid w:val="00C669AB"/>
    <w:rsid w:val="00C7040D"/>
    <w:rsid w:val="00C70C6A"/>
    <w:rsid w:val="00C71054"/>
    <w:rsid w:val="00C71F96"/>
    <w:rsid w:val="00C7393B"/>
    <w:rsid w:val="00C7505E"/>
    <w:rsid w:val="00C81D7A"/>
    <w:rsid w:val="00C838E9"/>
    <w:rsid w:val="00C84EDB"/>
    <w:rsid w:val="00C85882"/>
    <w:rsid w:val="00C915D5"/>
    <w:rsid w:val="00C91D3F"/>
    <w:rsid w:val="00C92A8B"/>
    <w:rsid w:val="00C92C33"/>
    <w:rsid w:val="00C92E7D"/>
    <w:rsid w:val="00C95F89"/>
    <w:rsid w:val="00C979BA"/>
    <w:rsid w:val="00CA0099"/>
    <w:rsid w:val="00CA018B"/>
    <w:rsid w:val="00CA2D7E"/>
    <w:rsid w:val="00CA6DFA"/>
    <w:rsid w:val="00CA78B6"/>
    <w:rsid w:val="00CB0D1A"/>
    <w:rsid w:val="00CB20AC"/>
    <w:rsid w:val="00CB4B72"/>
    <w:rsid w:val="00CB4CD7"/>
    <w:rsid w:val="00CB6DBF"/>
    <w:rsid w:val="00CB7F69"/>
    <w:rsid w:val="00CC0F15"/>
    <w:rsid w:val="00CC6C11"/>
    <w:rsid w:val="00CC7622"/>
    <w:rsid w:val="00CC7B28"/>
    <w:rsid w:val="00CD04F8"/>
    <w:rsid w:val="00CD1CB0"/>
    <w:rsid w:val="00CD3C1E"/>
    <w:rsid w:val="00CD5228"/>
    <w:rsid w:val="00CD5F92"/>
    <w:rsid w:val="00CD64F9"/>
    <w:rsid w:val="00CE084B"/>
    <w:rsid w:val="00CE11CA"/>
    <w:rsid w:val="00CE2DEC"/>
    <w:rsid w:val="00CE3091"/>
    <w:rsid w:val="00CE30EE"/>
    <w:rsid w:val="00CE35AE"/>
    <w:rsid w:val="00CE6343"/>
    <w:rsid w:val="00CE68B0"/>
    <w:rsid w:val="00CF09AD"/>
    <w:rsid w:val="00CF0D8B"/>
    <w:rsid w:val="00CF2106"/>
    <w:rsid w:val="00CF3D94"/>
    <w:rsid w:val="00CF5B2E"/>
    <w:rsid w:val="00CF6B1C"/>
    <w:rsid w:val="00CF6EBD"/>
    <w:rsid w:val="00CF7D03"/>
    <w:rsid w:val="00D001F0"/>
    <w:rsid w:val="00D0158D"/>
    <w:rsid w:val="00D02E3D"/>
    <w:rsid w:val="00D044AC"/>
    <w:rsid w:val="00D05E32"/>
    <w:rsid w:val="00D07766"/>
    <w:rsid w:val="00D1176F"/>
    <w:rsid w:val="00D11B4B"/>
    <w:rsid w:val="00D124BA"/>
    <w:rsid w:val="00D13A3B"/>
    <w:rsid w:val="00D14EC9"/>
    <w:rsid w:val="00D15379"/>
    <w:rsid w:val="00D15D7D"/>
    <w:rsid w:val="00D16E1F"/>
    <w:rsid w:val="00D24AF4"/>
    <w:rsid w:val="00D24BAD"/>
    <w:rsid w:val="00D24C99"/>
    <w:rsid w:val="00D26F5A"/>
    <w:rsid w:val="00D30607"/>
    <w:rsid w:val="00D30AE9"/>
    <w:rsid w:val="00D31279"/>
    <w:rsid w:val="00D3127A"/>
    <w:rsid w:val="00D324A2"/>
    <w:rsid w:val="00D33EAE"/>
    <w:rsid w:val="00D368C0"/>
    <w:rsid w:val="00D36C10"/>
    <w:rsid w:val="00D37A5E"/>
    <w:rsid w:val="00D423AA"/>
    <w:rsid w:val="00D4262B"/>
    <w:rsid w:val="00D42B51"/>
    <w:rsid w:val="00D42FA9"/>
    <w:rsid w:val="00D440E8"/>
    <w:rsid w:val="00D44AC2"/>
    <w:rsid w:val="00D4595B"/>
    <w:rsid w:val="00D501ED"/>
    <w:rsid w:val="00D5142B"/>
    <w:rsid w:val="00D51C86"/>
    <w:rsid w:val="00D53634"/>
    <w:rsid w:val="00D57796"/>
    <w:rsid w:val="00D57E7C"/>
    <w:rsid w:val="00D630E8"/>
    <w:rsid w:val="00D63372"/>
    <w:rsid w:val="00D634C6"/>
    <w:rsid w:val="00D653BF"/>
    <w:rsid w:val="00D65729"/>
    <w:rsid w:val="00D65EF1"/>
    <w:rsid w:val="00D6614B"/>
    <w:rsid w:val="00D66822"/>
    <w:rsid w:val="00D66997"/>
    <w:rsid w:val="00D66A90"/>
    <w:rsid w:val="00D67765"/>
    <w:rsid w:val="00D712E3"/>
    <w:rsid w:val="00D74854"/>
    <w:rsid w:val="00D74CC3"/>
    <w:rsid w:val="00D75526"/>
    <w:rsid w:val="00D75661"/>
    <w:rsid w:val="00D756F1"/>
    <w:rsid w:val="00D757DE"/>
    <w:rsid w:val="00D772B0"/>
    <w:rsid w:val="00D77E8B"/>
    <w:rsid w:val="00D842AF"/>
    <w:rsid w:val="00D84E28"/>
    <w:rsid w:val="00D90368"/>
    <w:rsid w:val="00D912E1"/>
    <w:rsid w:val="00D93A26"/>
    <w:rsid w:val="00D957C2"/>
    <w:rsid w:val="00D95898"/>
    <w:rsid w:val="00D95E5F"/>
    <w:rsid w:val="00D97776"/>
    <w:rsid w:val="00DA0843"/>
    <w:rsid w:val="00DA327E"/>
    <w:rsid w:val="00DA4770"/>
    <w:rsid w:val="00DA47E4"/>
    <w:rsid w:val="00DA5BD1"/>
    <w:rsid w:val="00DA6466"/>
    <w:rsid w:val="00DA7D1E"/>
    <w:rsid w:val="00DB0A9E"/>
    <w:rsid w:val="00DB3BBF"/>
    <w:rsid w:val="00DB3EA7"/>
    <w:rsid w:val="00DB46B2"/>
    <w:rsid w:val="00DB4B60"/>
    <w:rsid w:val="00DB4F1A"/>
    <w:rsid w:val="00DB5A6A"/>
    <w:rsid w:val="00DC0ACF"/>
    <w:rsid w:val="00DC1322"/>
    <w:rsid w:val="00DC30B3"/>
    <w:rsid w:val="00DC3C06"/>
    <w:rsid w:val="00DC6391"/>
    <w:rsid w:val="00DC6DE9"/>
    <w:rsid w:val="00DC70AC"/>
    <w:rsid w:val="00DC7A1E"/>
    <w:rsid w:val="00DC7C38"/>
    <w:rsid w:val="00DD014E"/>
    <w:rsid w:val="00DD099D"/>
    <w:rsid w:val="00DD1649"/>
    <w:rsid w:val="00DD177D"/>
    <w:rsid w:val="00DD1972"/>
    <w:rsid w:val="00DD1C7B"/>
    <w:rsid w:val="00DD5E17"/>
    <w:rsid w:val="00DD6C83"/>
    <w:rsid w:val="00DD7250"/>
    <w:rsid w:val="00DE30C4"/>
    <w:rsid w:val="00DE41A1"/>
    <w:rsid w:val="00DE5DD2"/>
    <w:rsid w:val="00DE6136"/>
    <w:rsid w:val="00DE6447"/>
    <w:rsid w:val="00DE7ABA"/>
    <w:rsid w:val="00DF03FD"/>
    <w:rsid w:val="00DF0DAA"/>
    <w:rsid w:val="00DF2BDC"/>
    <w:rsid w:val="00DF2FDA"/>
    <w:rsid w:val="00DF3003"/>
    <w:rsid w:val="00DF48AA"/>
    <w:rsid w:val="00DF4D8C"/>
    <w:rsid w:val="00DF56B2"/>
    <w:rsid w:val="00DF654F"/>
    <w:rsid w:val="00DF6BEA"/>
    <w:rsid w:val="00DF7A6B"/>
    <w:rsid w:val="00E03CBE"/>
    <w:rsid w:val="00E052EC"/>
    <w:rsid w:val="00E05773"/>
    <w:rsid w:val="00E057CC"/>
    <w:rsid w:val="00E1096F"/>
    <w:rsid w:val="00E11D1F"/>
    <w:rsid w:val="00E13C03"/>
    <w:rsid w:val="00E14F02"/>
    <w:rsid w:val="00E1517F"/>
    <w:rsid w:val="00E15298"/>
    <w:rsid w:val="00E1583F"/>
    <w:rsid w:val="00E1751D"/>
    <w:rsid w:val="00E2090A"/>
    <w:rsid w:val="00E21971"/>
    <w:rsid w:val="00E21F5A"/>
    <w:rsid w:val="00E22E37"/>
    <w:rsid w:val="00E258E7"/>
    <w:rsid w:val="00E25B1F"/>
    <w:rsid w:val="00E27F74"/>
    <w:rsid w:val="00E32067"/>
    <w:rsid w:val="00E32DCA"/>
    <w:rsid w:val="00E33FEA"/>
    <w:rsid w:val="00E3470B"/>
    <w:rsid w:val="00E34D85"/>
    <w:rsid w:val="00E35278"/>
    <w:rsid w:val="00E37580"/>
    <w:rsid w:val="00E406AC"/>
    <w:rsid w:val="00E40778"/>
    <w:rsid w:val="00E41EB1"/>
    <w:rsid w:val="00E41F35"/>
    <w:rsid w:val="00E46A30"/>
    <w:rsid w:val="00E50F2D"/>
    <w:rsid w:val="00E52213"/>
    <w:rsid w:val="00E53DBB"/>
    <w:rsid w:val="00E5654E"/>
    <w:rsid w:val="00E60C7E"/>
    <w:rsid w:val="00E62DDC"/>
    <w:rsid w:val="00E63E13"/>
    <w:rsid w:val="00E7034C"/>
    <w:rsid w:val="00E717EB"/>
    <w:rsid w:val="00E72ACE"/>
    <w:rsid w:val="00E72CE3"/>
    <w:rsid w:val="00E73C8F"/>
    <w:rsid w:val="00E74289"/>
    <w:rsid w:val="00E77309"/>
    <w:rsid w:val="00E80022"/>
    <w:rsid w:val="00E804C7"/>
    <w:rsid w:val="00E8115C"/>
    <w:rsid w:val="00E84361"/>
    <w:rsid w:val="00E863F5"/>
    <w:rsid w:val="00E91001"/>
    <w:rsid w:val="00E91B10"/>
    <w:rsid w:val="00E9235E"/>
    <w:rsid w:val="00E9343C"/>
    <w:rsid w:val="00E9385D"/>
    <w:rsid w:val="00E9445D"/>
    <w:rsid w:val="00E94BDE"/>
    <w:rsid w:val="00E95CB4"/>
    <w:rsid w:val="00E9695A"/>
    <w:rsid w:val="00EA3EEF"/>
    <w:rsid w:val="00EA4301"/>
    <w:rsid w:val="00EA61F5"/>
    <w:rsid w:val="00EA65A6"/>
    <w:rsid w:val="00EB025E"/>
    <w:rsid w:val="00EB2C1B"/>
    <w:rsid w:val="00EB410E"/>
    <w:rsid w:val="00EB539A"/>
    <w:rsid w:val="00EB6AE8"/>
    <w:rsid w:val="00EC09BE"/>
    <w:rsid w:val="00EC2AE2"/>
    <w:rsid w:val="00EC5359"/>
    <w:rsid w:val="00EC61FB"/>
    <w:rsid w:val="00EC7BCD"/>
    <w:rsid w:val="00ED002E"/>
    <w:rsid w:val="00ED0469"/>
    <w:rsid w:val="00ED19BB"/>
    <w:rsid w:val="00ED1A68"/>
    <w:rsid w:val="00ED3C44"/>
    <w:rsid w:val="00ED4FDE"/>
    <w:rsid w:val="00EE0801"/>
    <w:rsid w:val="00EE14B6"/>
    <w:rsid w:val="00EE4768"/>
    <w:rsid w:val="00EE47C5"/>
    <w:rsid w:val="00EE5979"/>
    <w:rsid w:val="00EE625F"/>
    <w:rsid w:val="00EE68AD"/>
    <w:rsid w:val="00EE6920"/>
    <w:rsid w:val="00EE6DAD"/>
    <w:rsid w:val="00EE70A2"/>
    <w:rsid w:val="00EF3239"/>
    <w:rsid w:val="00EF3668"/>
    <w:rsid w:val="00EF6716"/>
    <w:rsid w:val="00EF7708"/>
    <w:rsid w:val="00EF7E9D"/>
    <w:rsid w:val="00F023F9"/>
    <w:rsid w:val="00F0263A"/>
    <w:rsid w:val="00F02B03"/>
    <w:rsid w:val="00F03F55"/>
    <w:rsid w:val="00F055FF"/>
    <w:rsid w:val="00F06005"/>
    <w:rsid w:val="00F07368"/>
    <w:rsid w:val="00F07AC2"/>
    <w:rsid w:val="00F14DB7"/>
    <w:rsid w:val="00F14F0F"/>
    <w:rsid w:val="00F15505"/>
    <w:rsid w:val="00F1599B"/>
    <w:rsid w:val="00F17300"/>
    <w:rsid w:val="00F17FB5"/>
    <w:rsid w:val="00F22443"/>
    <w:rsid w:val="00F225B9"/>
    <w:rsid w:val="00F24A3B"/>
    <w:rsid w:val="00F251F6"/>
    <w:rsid w:val="00F26443"/>
    <w:rsid w:val="00F30A18"/>
    <w:rsid w:val="00F32341"/>
    <w:rsid w:val="00F324CC"/>
    <w:rsid w:val="00F35BF3"/>
    <w:rsid w:val="00F35DA0"/>
    <w:rsid w:val="00F36360"/>
    <w:rsid w:val="00F3692E"/>
    <w:rsid w:val="00F36C94"/>
    <w:rsid w:val="00F41A67"/>
    <w:rsid w:val="00F42BCE"/>
    <w:rsid w:val="00F43088"/>
    <w:rsid w:val="00F449DE"/>
    <w:rsid w:val="00F45C55"/>
    <w:rsid w:val="00F4604B"/>
    <w:rsid w:val="00F463A7"/>
    <w:rsid w:val="00F475E7"/>
    <w:rsid w:val="00F47E0A"/>
    <w:rsid w:val="00F50693"/>
    <w:rsid w:val="00F50F12"/>
    <w:rsid w:val="00F53265"/>
    <w:rsid w:val="00F55BC2"/>
    <w:rsid w:val="00F55BC5"/>
    <w:rsid w:val="00F56323"/>
    <w:rsid w:val="00F5682E"/>
    <w:rsid w:val="00F657C8"/>
    <w:rsid w:val="00F666C3"/>
    <w:rsid w:val="00F70378"/>
    <w:rsid w:val="00F712C8"/>
    <w:rsid w:val="00F720E1"/>
    <w:rsid w:val="00F72178"/>
    <w:rsid w:val="00F73AF9"/>
    <w:rsid w:val="00F73F07"/>
    <w:rsid w:val="00F7407E"/>
    <w:rsid w:val="00F7488D"/>
    <w:rsid w:val="00F75087"/>
    <w:rsid w:val="00F75EEB"/>
    <w:rsid w:val="00F766F8"/>
    <w:rsid w:val="00F77894"/>
    <w:rsid w:val="00F803FF"/>
    <w:rsid w:val="00F80474"/>
    <w:rsid w:val="00F81ACB"/>
    <w:rsid w:val="00F81C18"/>
    <w:rsid w:val="00F81C98"/>
    <w:rsid w:val="00F90B1D"/>
    <w:rsid w:val="00F912E5"/>
    <w:rsid w:val="00F91986"/>
    <w:rsid w:val="00F94A18"/>
    <w:rsid w:val="00F9591A"/>
    <w:rsid w:val="00F96064"/>
    <w:rsid w:val="00F961AB"/>
    <w:rsid w:val="00F96B52"/>
    <w:rsid w:val="00F97D4C"/>
    <w:rsid w:val="00FA0552"/>
    <w:rsid w:val="00FA1A28"/>
    <w:rsid w:val="00FA21E3"/>
    <w:rsid w:val="00FA4210"/>
    <w:rsid w:val="00FA5E75"/>
    <w:rsid w:val="00FB27F7"/>
    <w:rsid w:val="00FB39BA"/>
    <w:rsid w:val="00FB3A27"/>
    <w:rsid w:val="00FB49F5"/>
    <w:rsid w:val="00FB691A"/>
    <w:rsid w:val="00FB7370"/>
    <w:rsid w:val="00FB7D0F"/>
    <w:rsid w:val="00FB7FCD"/>
    <w:rsid w:val="00FC401A"/>
    <w:rsid w:val="00FC40C2"/>
    <w:rsid w:val="00FC46A7"/>
    <w:rsid w:val="00FD0B31"/>
    <w:rsid w:val="00FD0C3D"/>
    <w:rsid w:val="00FD1AA4"/>
    <w:rsid w:val="00FD1FE2"/>
    <w:rsid w:val="00FD496D"/>
    <w:rsid w:val="00FE0279"/>
    <w:rsid w:val="00FE07AA"/>
    <w:rsid w:val="00FE3D1D"/>
    <w:rsid w:val="00FE55B7"/>
    <w:rsid w:val="00FE5D7F"/>
    <w:rsid w:val="00FE6AEA"/>
    <w:rsid w:val="00FE6DCB"/>
    <w:rsid w:val="00FE71AB"/>
    <w:rsid w:val="00FE7D84"/>
    <w:rsid w:val="00FE7E0E"/>
    <w:rsid w:val="00FF1675"/>
    <w:rsid w:val="00FF1AB4"/>
    <w:rsid w:val="00FF4484"/>
    <w:rsid w:val="00FF6DD1"/>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B697B"/>
    <w:rPr>
      <w:sz w:val="24"/>
      <w:szCs w:val="24"/>
    </w:rPr>
  </w:style>
  <w:style w:type="paragraph" w:styleId="Nagwek1">
    <w:name w:val="heading 1"/>
    <w:basedOn w:val="Normalny"/>
    <w:next w:val="Normalny"/>
    <w:link w:val="Nagwek1Znak"/>
    <w:uiPriority w:val="99"/>
    <w:qFormat/>
    <w:rsid w:val="000B697B"/>
    <w:pPr>
      <w:keepNext/>
      <w:tabs>
        <w:tab w:val="left" w:pos="3600"/>
      </w:tabs>
      <w:ind w:right="5472"/>
      <w:jc w:val="center"/>
      <w:outlineLvl w:val="0"/>
    </w:pPr>
    <w:rPr>
      <w:rFonts w:eastAsia="Arial Unicode MS"/>
      <w:b/>
      <w:bCs/>
    </w:rPr>
  </w:style>
  <w:style w:type="paragraph" w:styleId="Nagwek3">
    <w:name w:val="heading 3"/>
    <w:basedOn w:val="Normalny"/>
    <w:next w:val="Normalny"/>
    <w:link w:val="Nagwek3Znak"/>
    <w:uiPriority w:val="99"/>
    <w:qFormat/>
    <w:rsid w:val="009D6CA7"/>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392E41"/>
    <w:rPr>
      <w:rFonts w:ascii="Cambria" w:hAnsi="Cambria" w:cs="Times New Roman"/>
      <w:b/>
      <w:bCs/>
      <w:kern w:val="32"/>
      <w:sz w:val="32"/>
      <w:szCs w:val="32"/>
    </w:rPr>
  </w:style>
  <w:style w:type="character" w:customStyle="1" w:styleId="Nagwek3Znak">
    <w:name w:val="Nagłówek 3 Znak"/>
    <w:basedOn w:val="Domylnaczcionkaakapitu"/>
    <w:link w:val="Nagwek3"/>
    <w:uiPriority w:val="99"/>
    <w:semiHidden/>
    <w:locked/>
    <w:rsid w:val="00392E41"/>
    <w:rPr>
      <w:rFonts w:ascii="Cambria" w:hAnsi="Cambria" w:cs="Times New Roman"/>
      <w:b/>
      <w:bCs/>
      <w:sz w:val="26"/>
      <w:szCs w:val="26"/>
    </w:rPr>
  </w:style>
  <w:style w:type="paragraph" w:styleId="Tekstdymka">
    <w:name w:val="Balloon Text"/>
    <w:basedOn w:val="Normalny"/>
    <w:link w:val="TekstdymkaZnak"/>
    <w:uiPriority w:val="99"/>
    <w:semiHidden/>
    <w:rsid w:val="000B697B"/>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392E41"/>
    <w:rPr>
      <w:rFonts w:cs="Times New Roman"/>
      <w:sz w:val="2"/>
    </w:rPr>
  </w:style>
  <w:style w:type="paragraph" w:styleId="Tekstpodstawowy">
    <w:name w:val="Body Text"/>
    <w:aliases w:val="b,b1,L1 Body Text,body text,BodyText,body,text"/>
    <w:basedOn w:val="Normalny"/>
    <w:link w:val="TekstpodstawowyZnak"/>
    <w:uiPriority w:val="99"/>
    <w:rsid w:val="000B697B"/>
    <w:pPr>
      <w:spacing w:line="312" w:lineRule="auto"/>
      <w:jc w:val="both"/>
    </w:pPr>
    <w:rPr>
      <w:rFonts w:ascii="Verdana" w:hAnsi="Verdana" w:cs="Tahoma"/>
      <w:sz w:val="28"/>
    </w:rPr>
  </w:style>
  <w:style w:type="character" w:customStyle="1" w:styleId="TekstpodstawowyZnak">
    <w:name w:val="Tekst podstawowy Znak"/>
    <w:aliases w:val="b Znak,b1 Znak,L1 Body Text Znak,body text Znak,BodyText Znak,body Znak,text Znak"/>
    <w:basedOn w:val="Domylnaczcionkaakapitu"/>
    <w:link w:val="Tekstpodstawowy"/>
    <w:uiPriority w:val="99"/>
    <w:semiHidden/>
    <w:locked/>
    <w:rsid w:val="003138FE"/>
    <w:rPr>
      <w:rFonts w:ascii="Verdana" w:hAnsi="Verdana" w:cs="Tahoma"/>
      <w:sz w:val="24"/>
      <w:szCs w:val="24"/>
      <w:lang w:val="pl-PL" w:eastAsia="pl-PL" w:bidi="ar-SA"/>
    </w:rPr>
  </w:style>
  <w:style w:type="paragraph" w:styleId="Tekstpodstawowy2">
    <w:name w:val="Body Text 2"/>
    <w:basedOn w:val="Normalny"/>
    <w:link w:val="Tekstpodstawowy2Znak"/>
    <w:uiPriority w:val="99"/>
    <w:rsid w:val="000B697B"/>
    <w:pPr>
      <w:tabs>
        <w:tab w:val="left" w:pos="3780"/>
      </w:tabs>
      <w:ind w:right="5472"/>
      <w:jc w:val="center"/>
    </w:pPr>
    <w:rPr>
      <w:b/>
      <w:bCs/>
    </w:rPr>
  </w:style>
  <w:style w:type="character" w:customStyle="1" w:styleId="Tekstpodstawowy2Znak">
    <w:name w:val="Tekst podstawowy 2 Znak"/>
    <w:basedOn w:val="Domylnaczcionkaakapitu"/>
    <w:link w:val="Tekstpodstawowy2"/>
    <w:uiPriority w:val="99"/>
    <w:semiHidden/>
    <w:locked/>
    <w:rsid w:val="00392E41"/>
    <w:rPr>
      <w:rFonts w:cs="Times New Roman"/>
      <w:sz w:val="24"/>
      <w:szCs w:val="24"/>
    </w:rPr>
  </w:style>
  <w:style w:type="paragraph" w:styleId="Tekstpodstawowy3">
    <w:name w:val="Body Text 3"/>
    <w:basedOn w:val="Normalny"/>
    <w:link w:val="Tekstpodstawowy3Znak"/>
    <w:uiPriority w:val="99"/>
    <w:rsid w:val="000B697B"/>
    <w:pPr>
      <w:jc w:val="both"/>
    </w:pPr>
  </w:style>
  <w:style w:type="character" w:customStyle="1" w:styleId="Tekstpodstawowy3Znak">
    <w:name w:val="Tekst podstawowy 3 Znak"/>
    <w:basedOn w:val="Domylnaczcionkaakapitu"/>
    <w:link w:val="Tekstpodstawowy3"/>
    <w:uiPriority w:val="99"/>
    <w:semiHidden/>
    <w:locked/>
    <w:rsid w:val="00392E41"/>
    <w:rPr>
      <w:rFonts w:cs="Times New Roman"/>
      <w:sz w:val="16"/>
      <w:szCs w:val="16"/>
    </w:rPr>
  </w:style>
  <w:style w:type="paragraph" w:styleId="Stopka">
    <w:name w:val="footer"/>
    <w:basedOn w:val="Normalny"/>
    <w:link w:val="StopkaZnak"/>
    <w:uiPriority w:val="99"/>
    <w:rsid w:val="000B697B"/>
    <w:pPr>
      <w:tabs>
        <w:tab w:val="center" w:pos="4536"/>
        <w:tab w:val="right" w:pos="9072"/>
      </w:tabs>
    </w:pPr>
  </w:style>
  <w:style w:type="character" w:customStyle="1" w:styleId="StopkaZnak">
    <w:name w:val="Stopka Znak"/>
    <w:basedOn w:val="Domylnaczcionkaakapitu"/>
    <w:link w:val="Stopka"/>
    <w:uiPriority w:val="99"/>
    <w:semiHidden/>
    <w:locked/>
    <w:rsid w:val="00392E41"/>
    <w:rPr>
      <w:rFonts w:cs="Times New Roman"/>
      <w:sz w:val="24"/>
      <w:szCs w:val="24"/>
    </w:rPr>
  </w:style>
  <w:style w:type="character" w:styleId="Numerstrony">
    <w:name w:val="page number"/>
    <w:basedOn w:val="Domylnaczcionkaakapitu"/>
    <w:uiPriority w:val="99"/>
    <w:rsid w:val="000B697B"/>
    <w:rPr>
      <w:rFonts w:cs="Times New Roman"/>
    </w:rPr>
  </w:style>
  <w:style w:type="paragraph" w:styleId="Tytu">
    <w:name w:val="Title"/>
    <w:basedOn w:val="Normalny"/>
    <w:link w:val="TytuZnak"/>
    <w:uiPriority w:val="99"/>
    <w:qFormat/>
    <w:rsid w:val="000B697B"/>
    <w:pPr>
      <w:widowControl w:val="0"/>
      <w:overflowPunct w:val="0"/>
      <w:autoSpaceDE w:val="0"/>
      <w:autoSpaceDN w:val="0"/>
      <w:adjustRightInd w:val="0"/>
      <w:jc w:val="center"/>
    </w:pPr>
    <w:rPr>
      <w:b/>
      <w:szCs w:val="20"/>
    </w:rPr>
  </w:style>
  <w:style w:type="character" w:customStyle="1" w:styleId="TytuZnak">
    <w:name w:val="Tytuł Znak"/>
    <w:basedOn w:val="Domylnaczcionkaakapitu"/>
    <w:link w:val="Tytu"/>
    <w:uiPriority w:val="99"/>
    <w:locked/>
    <w:rsid w:val="00392E41"/>
    <w:rPr>
      <w:rFonts w:ascii="Cambria" w:hAnsi="Cambria" w:cs="Times New Roman"/>
      <w:b/>
      <w:bCs/>
      <w:kern w:val="28"/>
      <w:sz w:val="32"/>
      <w:szCs w:val="32"/>
    </w:rPr>
  </w:style>
  <w:style w:type="paragraph" w:customStyle="1" w:styleId="Wypunktowaniemocne">
    <w:name w:val="Wypunktowanie mocne"/>
    <w:basedOn w:val="Normalny"/>
    <w:uiPriority w:val="99"/>
    <w:rsid w:val="000B697B"/>
    <w:pPr>
      <w:tabs>
        <w:tab w:val="left" w:pos="360"/>
      </w:tabs>
      <w:suppressAutoHyphens/>
      <w:jc w:val="both"/>
    </w:pPr>
    <w:rPr>
      <w:lang w:eastAsia="ar-SA"/>
    </w:rPr>
  </w:style>
  <w:style w:type="paragraph" w:customStyle="1" w:styleId="Tekstpodstawowy21">
    <w:name w:val="Tekst podstawowy 21"/>
    <w:basedOn w:val="Normalny"/>
    <w:uiPriority w:val="99"/>
    <w:rsid w:val="000B697B"/>
    <w:pPr>
      <w:suppressAutoHyphens/>
      <w:spacing w:line="360" w:lineRule="auto"/>
      <w:jc w:val="both"/>
    </w:pPr>
    <w:rPr>
      <w:rFonts w:ascii="Bookman Old Style" w:hAnsi="Bookman Old Style" w:cs="Bookman Old Style"/>
      <w:lang w:eastAsia="ar-SA"/>
    </w:rPr>
  </w:style>
  <w:style w:type="character" w:styleId="Odwoanieprzypisudolnego">
    <w:name w:val="footnote reference"/>
    <w:basedOn w:val="Domylnaczcionkaakapitu"/>
    <w:uiPriority w:val="99"/>
    <w:semiHidden/>
    <w:rsid w:val="000B697B"/>
    <w:rPr>
      <w:rFonts w:cs="Times New Roman"/>
      <w:vertAlign w:val="superscript"/>
    </w:rPr>
  </w:style>
  <w:style w:type="paragraph" w:styleId="Tekstprzypisudolnego">
    <w:name w:val="footnote text"/>
    <w:basedOn w:val="Normalny"/>
    <w:link w:val="TekstprzypisudolnegoZnak"/>
    <w:uiPriority w:val="99"/>
    <w:semiHidden/>
    <w:rsid w:val="000B697B"/>
    <w:pPr>
      <w:suppressAutoHyphens/>
    </w:pPr>
    <w:rPr>
      <w:sz w:val="20"/>
      <w:szCs w:val="20"/>
      <w:lang w:eastAsia="ar-SA"/>
    </w:rPr>
  </w:style>
  <w:style w:type="character" w:customStyle="1" w:styleId="TekstprzypisudolnegoZnak">
    <w:name w:val="Tekst przypisu dolnego Znak"/>
    <w:basedOn w:val="Domylnaczcionkaakapitu"/>
    <w:link w:val="Tekstprzypisudolnego"/>
    <w:uiPriority w:val="99"/>
    <w:semiHidden/>
    <w:locked/>
    <w:rsid w:val="00392E41"/>
    <w:rPr>
      <w:rFonts w:cs="Times New Roman"/>
      <w:sz w:val="20"/>
      <w:szCs w:val="20"/>
    </w:rPr>
  </w:style>
  <w:style w:type="character" w:styleId="Odwoaniedokomentarza">
    <w:name w:val="annotation reference"/>
    <w:basedOn w:val="Domylnaczcionkaakapitu"/>
    <w:uiPriority w:val="99"/>
    <w:semiHidden/>
    <w:rsid w:val="000B697B"/>
    <w:rPr>
      <w:rFonts w:cs="Times New Roman"/>
      <w:sz w:val="16"/>
      <w:szCs w:val="16"/>
    </w:rPr>
  </w:style>
  <w:style w:type="paragraph" w:styleId="Tekstkomentarza">
    <w:name w:val="annotation text"/>
    <w:basedOn w:val="Normalny"/>
    <w:link w:val="TekstkomentarzaZnak"/>
    <w:uiPriority w:val="99"/>
    <w:semiHidden/>
    <w:rsid w:val="000B697B"/>
    <w:rPr>
      <w:sz w:val="20"/>
      <w:szCs w:val="20"/>
    </w:rPr>
  </w:style>
  <w:style w:type="character" w:customStyle="1" w:styleId="TekstkomentarzaZnak">
    <w:name w:val="Tekst komentarza Znak"/>
    <w:basedOn w:val="Domylnaczcionkaakapitu"/>
    <w:link w:val="Tekstkomentarza"/>
    <w:uiPriority w:val="99"/>
    <w:semiHidden/>
    <w:locked/>
    <w:rsid w:val="00392E41"/>
    <w:rPr>
      <w:rFonts w:cs="Times New Roman"/>
      <w:sz w:val="20"/>
      <w:szCs w:val="20"/>
    </w:rPr>
  </w:style>
  <w:style w:type="paragraph" w:styleId="Tematkomentarza">
    <w:name w:val="annotation subject"/>
    <w:basedOn w:val="Tekstkomentarza"/>
    <w:next w:val="Tekstkomentarza"/>
    <w:link w:val="TematkomentarzaZnak"/>
    <w:uiPriority w:val="99"/>
    <w:semiHidden/>
    <w:rsid w:val="00582B0A"/>
    <w:rPr>
      <w:b/>
      <w:bCs/>
    </w:rPr>
  </w:style>
  <w:style w:type="character" w:customStyle="1" w:styleId="TematkomentarzaZnak">
    <w:name w:val="Temat komentarza Znak"/>
    <w:basedOn w:val="TekstkomentarzaZnak"/>
    <w:link w:val="Tematkomentarza"/>
    <w:uiPriority w:val="99"/>
    <w:semiHidden/>
    <w:locked/>
    <w:rsid w:val="00392E41"/>
    <w:rPr>
      <w:b/>
      <w:bCs/>
    </w:rPr>
  </w:style>
  <w:style w:type="paragraph" w:styleId="Tekstpodstawowywcity3">
    <w:name w:val="Body Text Indent 3"/>
    <w:basedOn w:val="Normalny"/>
    <w:link w:val="Tekstpodstawowywcity3Znak"/>
    <w:uiPriority w:val="99"/>
    <w:rsid w:val="0054111F"/>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locked/>
    <w:rsid w:val="00F91986"/>
    <w:rPr>
      <w:rFonts w:cs="Times New Roman"/>
      <w:sz w:val="16"/>
      <w:szCs w:val="16"/>
    </w:rPr>
  </w:style>
  <w:style w:type="table" w:styleId="Tabela-Siatka">
    <w:name w:val="Table Grid"/>
    <w:basedOn w:val="Standardowy"/>
    <w:uiPriority w:val="99"/>
    <w:rsid w:val="00574F2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ZnakZnakZnak">
    <w:name w:val="Znak Znak Znak"/>
    <w:basedOn w:val="Normalny"/>
    <w:autoRedefine/>
    <w:uiPriority w:val="99"/>
    <w:rsid w:val="003138FE"/>
    <w:pPr>
      <w:spacing w:after="120" w:line="240" w:lineRule="exact"/>
    </w:pPr>
    <w:rPr>
      <w:rFonts w:ascii="Arial" w:hAnsi="Arial" w:cs="Arial"/>
      <w:sz w:val="20"/>
      <w:szCs w:val="20"/>
      <w:lang w:val="en-US" w:eastAsia="en-US"/>
    </w:rPr>
  </w:style>
  <w:style w:type="paragraph" w:customStyle="1" w:styleId="Tekstpodstawowybb1">
    <w:name w:val="Tekst podstawowy.b.b1"/>
    <w:basedOn w:val="Normalny"/>
    <w:uiPriority w:val="99"/>
    <w:rsid w:val="003138FE"/>
    <w:pPr>
      <w:autoSpaceDE w:val="0"/>
      <w:autoSpaceDN w:val="0"/>
      <w:jc w:val="both"/>
    </w:pPr>
    <w:rPr>
      <w:rFonts w:ascii="Arial" w:hAnsi="Arial" w:cs="Arial"/>
    </w:rPr>
  </w:style>
  <w:style w:type="paragraph" w:styleId="Nagwek">
    <w:name w:val="header"/>
    <w:basedOn w:val="Normalny"/>
    <w:link w:val="NagwekZnak"/>
    <w:uiPriority w:val="99"/>
    <w:rsid w:val="00965B62"/>
    <w:pPr>
      <w:tabs>
        <w:tab w:val="center" w:pos="4536"/>
        <w:tab w:val="right" w:pos="9072"/>
      </w:tabs>
    </w:pPr>
  </w:style>
  <w:style w:type="character" w:customStyle="1" w:styleId="NagwekZnak">
    <w:name w:val="Nagłówek Znak"/>
    <w:basedOn w:val="Domylnaczcionkaakapitu"/>
    <w:link w:val="Nagwek"/>
    <w:uiPriority w:val="99"/>
    <w:locked/>
    <w:rsid w:val="00965B62"/>
    <w:rPr>
      <w:rFonts w:cs="Times New Roman"/>
      <w:sz w:val="24"/>
      <w:szCs w:val="24"/>
    </w:rPr>
  </w:style>
  <w:style w:type="character" w:customStyle="1" w:styleId="st">
    <w:name w:val="st"/>
    <w:basedOn w:val="Domylnaczcionkaakapitu"/>
    <w:uiPriority w:val="99"/>
    <w:rsid w:val="00B61AA3"/>
    <w:rPr>
      <w:rFonts w:cs="Times New Roman"/>
    </w:rPr>
  </w:style>
  <w:style w:type="paragraph" w:styleId="NormalnyWeb">
    <w:name w:val="Normal (Web)"/>
    <w:basedOn w:val="Normalny"/>
    <w:uiPriority w:val="99"/>
    <w:rsid w:val="00316F9E"/>
    <w:pPr>
      <w:spacing w:after="120"/>
    </w:pPr>
    <w:rPr>
      <w:rFonts w:ascii="Arial Unicode MS" w:eastAsia="Arial Unicode MS" w:hAnsi="Arial Unicode MS" w:cs="Arial Unicode MS"/>
    </w:rPr>
  </w:style>
  <w:style w:type="character" w:styleId="Uwydatnienie">
    <w:name w:val="Emphasis"/>
    <w:basedOn w:val="Domylnaczcionkaakapitu"/>
    <w:uiPriority w:val="99"/>
    <w:qFormat/>
    <w:rsid w:val="00872833"/>
    <w:rPr>
      <w:rFonts w:cs="Times New Roman"/>
      <w:i/>
      <w:iCs/>
    </w:rPr>
  </w:style>
  <w:style w:type="paragraph" w:styleId="Poprawka">
    <w:name w:val="Revision"/>
    <w:hidden/>
    <w:uiPriority w:val="99"/>
    <w:semiHidden/>
    <w:rsid w:val="006F42CD"/>
    <w:rPr>
      <w:sz w:val="24"/>
      <w:szCs w:val="24"/>
    </w:rPr>
  </w:style>
  <w:style w:type="paragraph" w:styleId="Tekstprzypisukocowego">
    <w:name w:val="endnote text"/>
    <w:basedOn w:val="Normalny"/>
    <w:link w:val="TekstprzypisukocowegoZnak"/>
    <w:uiPriority w:val="99"/>
    <w:semiHidden/>
    <w:rsid w:val="00CA018B"/>
    <w:rPr>
      <w:sz w:val="20"/>
      <w:szCs w:val="20"/>
    </w:rPr>
  </w:style>
  <w:style w:type="character" w:customStyle="1" w:styleId="TekstprzypisukocowegoZnak">
    <w:name w:val="Tekst przypisu końcowego Znak"/>
    <w:basedOn w:val="Domylnaczcionkaakapitu"/>
    <w:link w:val="Tekstprzypisukocowego"/>
    <w:uiPriority w:val="99"/>
    <w:semiHidden/>
    <w:locked/>
    <w:rsid w:val="004358E4"/>
    <w:rPr>
      <w:rFonts w:cs="Times New Roman"/>
      <w:sz w:val="20"/>
      <w:szCs w:val="20"/>
    </w:rPr>
  </w:style>
  <w:style w:type="character" w:styleId="Odwoanieprzypisukocowego">
    <w:name w:val="endnote reference"/>
    <w:basedOn w:val="Domylnaczcionkaakapitu"/>
    <w:uiPriority w:val="99"/>
    <w:semiHidden/>
    <w:rsid w:val="00CA018B"/>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1020165125">
      <w:marLeft w:val="0"/>
      <w:marRight w:val="0"/>
      <w:marTop w:val="0"/>
      <w:marBottom w:val="0"/>
      <w:divBdr>
        <w:top w:val="none" w:sz="0" w:space="0" w:color="auto"/>
        <w:left w:val="none" w:sz="0" w:space="0" w:color="auto"/>
        <w:bottom w:val="none" w:sz="0" w:space="0" w:color="auto"/>
        <w:right w:val="none" w:sz="0" w:space="0" w:color="auto"/>
      </w:divBdr>
    </w:div>
    <w:div w:id="1020165126">
      <w:marLeft w:val="0"/>
      <w:marRight w:val="0"/>
      <w:marTop w:val="0"/>
      <w:marBottom w:val="0"/>
      <w:divBdr>
        <w:top w:val="none" w:sz="0" w:space="0" w:color="auto"/>
        <w:left w:val="none" w:sz="0" w:space="0" w:color="auto"/>
        <w:bottom w:val="none" w:sz="0" w:space="0" w:color="auto"/>
        <w:right w:val="none" w:sz="0" w:space="0" w:color="auto"/>
      </w:divBdr>
    </w:div>
    <w:div w:id="102016512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452</TotalTime>
  <Pages>20</Pages>
  <Words>9730</Words>
  <Characters>59949</Characters>
  <Application>Microsoft Office Word</Application>
  <DocSecurity>0</DocSecurity>
  <Lines>499</Lines>
  <Paragraphs>139</Paragraphs>
  <ScaleCrop>false</ScaleCrop>
  <HeadingPairs>
    <vt:vector size="2" baseType="variant">
      <vt:variant>
        <vt:lpstr>Tytuł</vt:lpstr>
      </vt:variant>
      <vt:variant>
        <vt:i4>1</vt:i4>
      </vt:variant>
    </vt:vector>
  </HeadingPairs>
  <TitlesOfParts>
    <vt:vector size="1" baseType="lpstr">
      <vt:lpstr>Warszawa, dnia                               2011 r</vt:lpstr>
    </vt:vector>
  </TitlesOfParts>
  <Company>UKE</Company>
  <LinksUpToDate>false</LinksUpToDate>
  <CharactersWithSpaces>69540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Warszawa, dnia                               2011 r</dc:title>
  <dc:subject/>
  <dc:creator>Waldemar Pojawa</dc:creator>
  <cp:keywords/>
  <dc:description/>
  <cp:lastModifiedBy>Justyna Sutkowska</cp:lastModifiedBy>
  <cp:revision>173</cp:revision>
  <cp:lastPrinted>2014-09-17T07:36:00Z</cp:lastPrinted>
  <dcterms:created xsi:type="dcterms:W3CDTF">2014-09-18T07:39:00Z</dcterms:created>
  <dcterms:modified xsi:type="dcterms:W3CDTF">2014-10-20T07:17:00Z</dcterms:modified>
</cp:coreProperties>
</file>