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498" w:rsidRPr="00EE4689" w:rsidRDefault="004F1498" w:rsidP="00EB6C89">
      <w:pPr>
        <w:spacing w:before="120" w:line="240" w:lineRule="auto"/>
        <w:rPr>
          <w:b/>
          <w:color w:val="FFFFFF"/>
          <w:sz w:val="24"/>
          <w:szCs w:val="24"/>
          <w:lang w:val="pl-PL"/>
        </w:rPr>
      </w:pPr>
      <w:bookmarkStart w:id="0" w:name="_Toc520781328"/>
      <w:r w:rsidRPr="00EE4689">
        <w:rPr>
          <w:b/>
          <w:color w:val="FFFFFF"/>
          <w:sz w:val="24"/>
          <w:szCs w:val="24"/>
          <w:lang w:val="pl-PL"/>
        </w:rPr>
        <w:t>Cie</w:t>
      </w:r>
    </w:p>
    <w:p w:rsidR="004F1498" w:rsidRPr="00EE4689" w:rsidRDefault="004F1498" w:rsidP="00EB6C89">
      <w:pPr>
        <w:spacing w:before="120" w:line="240" w:lineRule="auto"/>
        <w:jc w:val="center"/>
        <w:rPr>
          <w:b/>
          <w:sz w:val="24"/>
          <w:szCs w:val="24"/>
          <w:lang w:val="pl-PL"/>
        </w:rPr>
      </w:pPr>
      <w:r w:rsidRPr="00EE4689">
        <w:rPr>
          <w:b/>
          <w:sz w:val="24"/>
          <w:szCs w:val="24"/>
          <w:lang w:val="pl-PL"/>
        </w:rPr>
        <w:t>Załącznik nr 1 do decyzji Prez</w:t>
      </w:r>
      <w:r w:rsidR="005E2C8D">
        <w:rPr>
          <w:b/>
          <w:sz w:val="24"/>
          <w:szCs w:val="24"/>
          <w:lang w:val="pl-PL"/>
        </w:rPr>
        <w:t>esa UKE nr DHRT-WORK-6090-1/13(109</w:t>
      </w:r>
      <w:r w:rsidRPr="00EE4689">
        <w:rPr>
          <w:b/>
          <w:sz w:val="24"/>
          <w:szCs w:val="24"/>
          <w:lang w:val="pl-PL"/>
        </w:rPr>
        <w:t>)</w:t>
      </w:r>
    </w:p>
    <w:p w:rsidR="004F1498" w:rsidRPr="00EE4689" w:rsidRDefault="004F1498" w:rsidP="00EB6C89">
      <w:pPr>
        <w:spacing w:before="120" w:line="240" w:lineRule="auto"/>
        <w:jc w:val="center"/>
        <w:rPr>
          <w:b/>
          <w:sz w:val="24"/>
          <w:szCs w:val="24"/>
          <w:lang w:val="pl-PL"/>
        </w:rPr>
      </w:pPr>
      <w:r w:rsidRPr="00EE4689">
        <w:rPr>
          <w:b/>
          <w:sz w:val="24"/>
          <w:szCs w:val="24"/>
          <w:lang w:val="pl-PL"/>
        </w:rPr>
        <w:t>Dokument (10)</w:t>
      </w:r>
    </w:p>
    <w:p w:rsidR="004F1498" w:rsidRPr="00183706" w:rsidRDefault="004F1498" w:rsidP="00EB6C89">
      <w:pPr>
        <w:spacing w:before="120" w:line="240" w:lineRule="auto"/>
        <w:rPr>
          <w:b/>
          <w:color w:val="FFFFFF"/>
          <w:lang w:val="pl-PL"/>
        </w:rPr>
      </w:pPr>
    </w:p>
    <w:p w:rsidR="004F1498" w:rsidRPr="00183706" w:rsidRDefault="004F1498" w:rsidP="00EB6C89">
      <w:pPr>
        <w:spacing w:before="120" w:line="240" w:lineRule="auto"/>
        <w:rPr>
          <w:b/>
          <w:color w:val="FFFFFF"/>
          <w:lang w:val="pl-PL"/>
        </w:rPr>
      </w:pPr>
    </w:p>
    <w:p w:rsidR="000F29AA" w:rsidRPr="00183706" w:rsidRDefault="000F29AA" w:rsidP="00EB6C89">
      <w:pPr>
        <w:spacing w:before="120" w:line="240" w:lineRule="auto"/>
        <w:rPr>
          <w:b/>
          <w:bCs/>
          <w:lang w:val="pl-PL"/>
        </w:rPr>
      </w:pPr>
    </w:p>
    <w:p w:rsidR="00B92BFC" w:rsidRPr="00183706" w:rsidRDefault="00B92BFC" w:rsidP="00EB6C89">
      <w:pPr>
        <w:spacing w:before="120" w:line="240" w:lineRule="auto"/>
        <w:rPr>
          <w:b/>
          <w:bCs/>
          <w:lang w:val="pl-PL"/>
        </w:rPr>
      </w:pPr>
    </w:p>
    <w:p w:rsidR="00B92BFC" w:rsidRPr="00183706" w:rsidRDefault="00C05850" w:rsidP="00EB6C89">
      <w:pPr>
        <w:spacing w:before="120" w:line="240" w:lineRule="auto"/>
        <w:jc w:val="center"/>
        <w:outlineLvl w:val="0"/>
        <w:rPr>
          <w:b/>
          <w:bCs/>
          <w:sz w:val="40"/>
          <w:szCs w:val="40"/>
          <w:lang w:val="pl-PL"/>
        </w:rPr>
      </w:pPr>
      <w:r w:rsidRPr="00183706">
        <w:rPr>
          <w:b/>
          <w:bCs/>
          <w:sz w:val="40"/>
          <w:szCs w:val="40"/>
          <w:lang w:val="pl-PL"/>
        </w:rPr>
        <w:t>I</w:t>
      </w:r>
      <w:r w:rsidR="00B92BFC" w:rsidRPr="00183706">
        <w:rPr>
          <w:b/>
          <w:bCs/>
          <w:sz w:val="40"/>
          <w:szCs w:val="40"/>
          <w:lang w:val="pl-PL"/>
        </w:rPr>
        <w:t>V.</w:t>
      </w:r>
    </w:p>
    <w:p w:rsidR="00D46FC5" w:rsidRPr="00183706" w:rsidRDefault="00B92BFC" w:rsidP="00EB6C89">
      <w:pPr>
        <w:spacing w:before="120" w:line="240" w:lineRule="auto"/>
        <w:jc w:val="center"/>
        <w:rPr>
          <w:b/>
          <w:bCs/>
          <w:caps/>
          <w:sz w:val="40"/>
          <w:szCs w:val="40"/>
          <w:lang w:val="pl-PL"/>
        </w:rPr>
      </w:pPr>
      <w:r w:rsidRPr="00183706">
        <w:rPr>
          <w:b/>
          <w:bCs/>
          <w:caps/>
          <w:sz w:val="40"/>
          <w:szCs w:val="40"/>
          <w:lang w:val="pl-PL"/>
        </w:rPr>
        <w:t xml:space="preserve">Opis </w:t>
      </w:r>
      <w:r w:rsidR="00832A41" w:rsidRPr="00183706">
        <w:rPr>
          <w:b/>
          <w:bCs/>
          <w:caps/>
          <w:sz w:val="40"/>
          <w:szCs w:val="40"/>
          <w:lang w:val="pl-PL"/>
        </w:rPr>
        <w:t xml:space="preserve">kalkulacji w zakresie </w:t>
      </w:r>
      <w:r w:rsidR="000F29AA" w:rsidRPr="00183706">
        <w:rPr>
          <w:b/>
          <w:bCs/>
          <w:caps/>
          <w:sz w:val="40"/>
          <w:szCs w:val="40"/>
          <w:lang w:val="pl-PL"/>
        </w:rPr>
        <w:br/>
      </w:r>
      <w:r w:rsidRPr="00183706">
        <w:rPr>
          <w:b/>
          <w:bCs/>
          <w:caps/>
          <w:sz w:val="40"/>
          <w:szCs w:val="40"/>
          <w:lang w:val="pl-PL"/>
        </w:rPr>
        <w:t>Przeszacowania</w:t>
      </w:r>
      <w:r w:rsidR="000F29AA" w:rsidRPr="00183706">
        <w:rPr>
          <w:b/>
          <w:bCs/>
          <w:caps/>
          <w:sz w:val="40"/>
          <w:szCs w:val="40"/>
          <w:lang w:val="pl-PL"/>
        </w:rPr>
        <w:t xml:space="preserve"> </w:t>
      </w:r>
      <w:r w:rsidR="002A0C2C" w:rsidRPr="00183706">
        <w:rPr>
          <w:b/>
          <w:bCs/>
          <w:caps/>
          <w:sz w:val="40"/>
          <w:szCs w:val="40"/>
          <w:lang w:val="pl-PL"/>
        </w:rPr>
        <w:t>wartości składników</w:t>
      </w:r>
      <w:r w:rsidRPr="00183706">
        <w:rPr>
          <w:b/>
          <w:bCs/>
          <w:caps/>
          <w:sz w:val="40"/>
          <w:szCs w:val="40"/>
          <w:lang w:val="pl-PL"/>
        </w:rPr>
        <w:t xml:space="preserve"> </w:t>
      </w:r>
      <w:r w:rsidR="00D46FC5" w:rsidRPr="00183706">
        <w:rPr>
          <w:b/>
          <w:bCs/>
          <w:caps/>
          <w:sz w:val="40"/>
          <w:szCs w:val="40"/>
          <w:lang w:val="pl-PL"/>
        </w:rPr>
        <w:t>kapitału zaangaż</w:t>
      </w:r>
      <w:r w:rsidR="002A0C2C" w:rsidRPr="00183706">
        <w:rPr>
          <w:b/>
          <w:bCs/>
          <w:caps/>
          <w:sz w:val="40"/>
          <w:szCs w:val="40"/>
          <w:lang w:val="pl-PL"/>
        </w:rPr>
        <w:t>owanego</w:t>
      </w:r>
      <w:r w:rsidR="003C67C4" w:rsidRPr="00183706">
        <w:rPr>
          <w:b/>
          <w:bCs/>
          <w:caps/>
          <w:sz w:val="40"/>
          <w:szCs w:val="40"/>
          <w:lang w:val="pl-PL"/>
        </w:rPr>
        <w:t xml:space="preserve"> </w:t>
      </w:r>
      <w:r w:rsidR="00AE0247" w:rsidRPr="00183706">
        <w:rPr>
          <w:b/>
          <w:bCs/>
          <w:caps/>
          <w:sz w:val="40"/>
          <w:szCs w:val="40"/>
          <w:lang w:val="pl-PL"/>
        </w:rPr>
        <w:t xml:space="preserve">na dzień 31 grudnia </w:t>
      </w:r>
      <w:r w:rsidR="005B24B6" w:rsidRPr="00183706">
        <w:rPr>
          <w:b/>
          <w:bCs/>
          <w:caps/>
          <w:sz w:val="40"/>
          <w:szCs w:val="40"/>
          <w:lang w:val="pl-PL"/>
        </w:rPr>
        <w:t>2013</w:t>
      </w:r>
      <w:r w:rsidR="00B07D5E" w:rsidRPr="00183706">
        <w:rPr>
          <w:b/>
          <w:bCs/>
          <w:caps/>
          <w:sz w:val="40"/>
          <w:szCs w:val="40"/>
          <w:lang w:val="pl-PL"/>
        </w:rPr>
        <w:t xml:space="preserve"> </w:t>
      </w:r>
      <w:r w:rsidR="00AE0247" w:rsidRPr="00183706">
        <w:rPr>
          <w:b/>
          <w:bCs/>
          <w:caps/>
          <w:sz w:val="40"/>
          <w:szCs w:val="40"/>
          <w:lang w:val="pl-PL"/>
        </w:rPr>
        <w:t>roku</w:t>
      </w:r>
      <w:r w:rsidR="003C67C4" w:rsidRPr="00183706">
        <w:rPr>
          <w:b/>
          <w:bCs/>
          <w:caps/>
          <w:sz w:val="40"/>
          <w:szCs w:val="40"/>
          <w:lang w:val="pl-PL"/>
        </w:rPr>
        <w:t xml:space="preserve"> </w:t>
      </w:r>
      <w:r w:rsidR="003A7779" w:rsidRPr="00183706">
        <w:rPr>
          <w:b/>
          <w:bCs/>
          <w:caps/>
          <w:sz w:val="40"/>
          <w:szCs w:val="40"/>
          <w:lang w:val="pl-PL"/>
        </w:rPr>
        <w:t>oraz wyznaczania wartości kosztów od ich wartości bieżącej</w:t>
      </w:r>
      <w:r w:rsidR="00503DF8" w:rsidRPr="00183706">
        <w:rPr>
          <w:b/>
          <w:bCs/>
          <w:caps/>
          <w:sz w:val="40"/>
          <w:szCs w:val="40"/>
          <w:lang w:val="pl-PL"/>
        </w:rPr>
        <w:t xml:space="preserve"> na potrzeby</w:t>
      </w:r>
      <w:r w:rsidR="00A736C2" w:rsidRPr="00183706">
        <w:rPr>
          <w:b/>
          <w:bCs/>
          <w:caps/>
          <w:sz w:val="40"/>
          <w:szCs w:val="40"/>
          <w:lang w:val="pl-PL"/>
        </w:rPr>
        <w:t xml:space="preserve"> </w:t>
      </w:r>
      <w:r w:rsidR="00D46FC5" w:rsidRPr="00183706">
        <w:rPr>
          <w:b/>
          <w:bCs/>
          <w:caps/>
          <w:sz w:val="40"/>
          <w:szCs w:val="40"/>
          <w:lang w:val="pl-PL"/>
        </w:rPr>
        <w:t xml:space="preserve">OPISÓW KALKULACJI ZAWARTYCH W </w:t>
      </w:r>
      <w:r w:rsidR="000F29AA" w:rsidRPr="00183706">
        <w:rPr>
          <w:b/>
          <w:bCs/>
          <w:caps/>
          <w:sz w:val="40"/>
          <w:szCs w:val="40"/>
          <w:lang w:val="pl-PL"/>
        </w:rPr>
        <w:t>D</w:t>
      </w:r>
      <w:r w:rsidR="00D46FC5" w:rsidRPr="00183706">
        <w:rPr>
          <w:b/>
          <w:bCs/>
          <w:caps/>
          <w:sz w:val="40"/>
          <w:szCs w:val="40"/>
          <w:lang w:val="pl-PL"/>
        </w:rPr>
        <w:t>OKUMENTACH NUMER:</w:t>
      </w:r>
      <w:r w:rsidR="008607A8" w:rsidRPr="00183706">
        <w:rPr>
          <w:b/>
          <w:bCs/>
          <w:caps/>
          <w:sz w:val="40"/>
          <w:szCs w:val="40"/>
          <w:lang w:val="pl-PL"/>
        </w:rPr>
        <w:t xml:space="preserve"> </w:t>
      </w:r>
      <w:r w:rsidR="00546F15" w:rsidRPr="00183706">
        <w:rPr>
          <w:b/>
          <w:bCs/>
          <w:caps/>
          <w:sz w:val="40"/>
          <w:szCs w:val="40"/>
          <w:lang w:val="pl-PL"/>
        </w:rPr>
        <w:t xml:space="preserve">I, </w:t>
      </w:r>
      <w:r w:rsidR="00C05850" w:rsidRPr="00183706">
        <w:rPr>
          <w:b/>
          <w:bCs/>
          <w:caps/>
          <w:sz w:val="40"/>
          <w:szCs w:val="40"/>
          <w:lang w:val="pl-PL"/>
        </w:rPr>
        <w:t xml:space="preserve">II, </w:t>
      </w:r>
      <w:r w:rsidR="00546F15" w:rsidRPr="00183706">
        <w:rPr>
          <w:b/>
          <w:bCs/>
          <w:caps/>
          <w:sz w:val="40"/>
          <w:szCs w:val="40"/>
          <w:lang w:val="pl-PL"/>
        </w:rPr>
        <w:t>III,</w:t>
      </w:r>
      <w:r w:rsidR="0032239E" w:rsidRPr="00183706">
        <w:rPr>
          <w:b/>
          <w:bCs/>
          <w:caps/>
          <w:sz w:val="40"/>
          <w:szCs w:val="40"/>
          <w:lang w:val="pl-PL"/>
        </w:rPr>
        <w:t xml:space="preserve"> </w:t>
      </w:r>
    </w:p>
    <w:p w:rsidR="00B92BFC" w:rsidRPr="00183706" w:rsidRDefault="00B92BFC" w:rsidP="00EB6C89">
      <w:pPr>
        <w:spacing w:before="120" w:line="240" w:lineRule="auto"/>
        <w:outlineLvl w:val="0"/>
        <w:rPr>
          <w:b/>
          <w:bCs/>
          <w:sz w:val="28"/>
          <w:szCs w:val="28"/>
          <w:lang w:val="pl-PL"/>
        </w:rPr>
      </w:pPr>
      <w:r w:rsidRPr="00183706">
        <w:rPr>
          <w:b/>
          <w:bCs/>
          <w:lang w:val="pl-PL"/>
        </w:rPr>
        <w:br w:type="page"/>
      </w:r>
      <w:r w:rsidRPr="00183706">
        <w:rPr>
          <w:b/>
          <w:bCs/>
          <w:sz w:val="28"/>
          <w:szCs w:val="28"/>
          <w:lang w:val="pl-PL"/>
        </w:rPr>
        <w:lastRenderedPageBreak/>
        <w:t>Spis treści</w:t>
      </w:r>
    </w:p>
    <w:p w:rsidR="00B92BFC" w:rsidRPr="00183706" w:rsidRDefault="00B92BFC" w:rsidP="00EB6C89">
      <w:pPr>
        <w:spacing w:before="120" w:line="240" w:lineRule="auto"/>
        <w:outlineLvl w:val="0"/>
        <w:rPr>
          <w:sz w:val="20"/>
          <w:szCs w:val="20"/>
          <w:lang w:val="pl-PL"/>
        </w:rPr>
      </w:pPr>
    </w:p>
    <w:p w:rsidR="009E24ED" w:rsidRDefault="00977728">
      <w:pPr>
        <w:pStyle w:val="Spistreci1"/>
        <w:rPr>
          <w:rFonts w:asciiTheme="minorHAnsi" w:eastAsiaTheme="minorEastAsia" w:hAnsiTheme="minorHAnsi" w:cstheme="minorBidi"/>
          <w:b w:val="0"/>
          <w:bCs w:val="0"/>
          <w:lang w:val="pl-PL"/>
        </w:rPr>
      </w:pPr>
      <w:r w:rsidRPr="00977728">
        <w:rPr>
          <w:b w:val="0"/>
          <w:bCs w:val="0"/>
          <w:lang w:val="pl-PL"/>
        </w:rPr>
        <w:fldChar w:fldCharType="begin"/>
      </w:r>
      <w:r w:rsidR="00B92BFC" w:rsidRPr="00183706">
        <w:rPr>
          <w:b w:val="0"/>
          <w:bCs w:val="0"/>
          <w:lang w:val="pl-PL"/>
        </w:rPr>
        <w:instrText xml:space="preserve"> TOC \o "3-3" \h \z \t "Nagłówek 1;1;Nagłówek 2;2;MIK_Nagłówek 1;2;MIK_Nagłówek 2;3;MIK_Nagłówek 0;1;MIK_Nagłówek_21;6;MIK_Nagłówek_22;7;MIK_Nagłówek 3;4;MIK_Nagłówek 4;5" </w:instrText>
      </w:r>
      <w:r w:rsidRPr="00977728">
        <w:rPr>
          <w:b w:val="0"/>
          <w:bCs w:val="0"/>
          <w:lang w:val="pl-PL"/>
        </w:rPr>
        <w:fldChar w:fldCharType="separate"/>
      </w:r>
      <w:hyperlink w:anchor="_Toc383521129" w:history="1">
        <w:r w:rsidR="009E24ED" w:rsidRPr="00721380">
          <w:rPr>
            <w:rStyle w:val="Hipercze"/>
          </w:rPr>
          <w:t>Podstawa prawna</w:t>
        </w:r>
        <w:r w:rsidR="009E24ED">
          <w:rPr>
            <w:webHidden/>
          </w:rPr>
          <w:tab/>
        </w:r>
        <w:r>
          <w:rPr>
            <w:webHidden/>
          </w:rPr>
          <w:fldChar w:fldCharType="begin"/>
        </w:r>
        <w:r w:rsidR="009E24ED">
          <w:rPr>
            <w:webHidden/>
          </w:rPr>
          <w:instrText xml:space="preserve"> PAGEREF _Toc383521129 \h </w:instrText>
        </w:r>
        <w:r>
          <w:rPr>
            <w:webHidden/>
          </w:rPr>
        </w:r>
        <w:r>
          <w:rPr>
            <w:webHidden/>
          </w:rPr>
          <w:fldChar w:fldCharType="separate"/>
        </w:r>
        <w:r w:rsidR="009E24ED">
          <w:rPr>
            <w:webHidden/>
          </w:rPr>
          <w:t>8</w:t>
        </w:r>
        <w:r>
          <w:rPr>
            <w:webHidden/>
          </w:rPr>
          <w:fldChar w:fldCharType="end"/>
        </w:r>
      </w:hyperlink>
    </w:p>
    <w:p w:rsidR="009E24ED" w:rsidRDefault="00977728">
      <w:pPr>
        <w:pStyle w:val="Spistreci1"/>
        <w:rPr>
          <w:rFonts w:asciiTheme="minorHAnsi" w:eastAsiaTheme="minorEastAsia" w:hAnsiTheme="minorHAnsi" w:cstheme="minorBidi"/>
          <w:b w:val="0"/>
          <w:bCs w:val="0"/>
          <w:lang w:val="pl-PL"/>
        </w:rPr>
      </w:pPr>
      <w:hyperlink w:anchor="_Toc383521130" w:history="1">
        <w:r w:rsidR="009E24ED" w:rsidRPr="00721380">
          <w:rPr>
            <w:rStyle w:val="Hipercze"/>
          </w:rPr>
          <w:t>Część I – Przeszacowanie składników kapitału zaangażowanego na dzień 31 grudnia 2013 roku</w:t>
        </w:r>
        <w:r w:rsidR="009E24ED">
          <w:rPr>
            <w:webHidden/>
          </w:rPr>
          <w:tab/>
        </w:r>
        <w:r>
          <w:rPr>
            <w:webHidden/>
          </w:rPr>
          <w:fldChar w:fldCharType="begin"/>
        </w:r>
        <w:r w:rsidR="009E24ED">
          <w:rPr>
            <w:webHidden/>
          </w:rPr>
          <w:instrText xml:space="preserve"> PAGEREF _Toc383521130 \h </w:instrText>
        </w:r>
        <w:r>
          <w:rPr>
            <w:webHidden/>
          </w:rPr>
        </w:r>
        <w:r>
          <w:rPr>
            <w:webHidden/>
          </w:rPr>
          <w:fldChar w:fldCharType="separate"/>
        </w:r>
        <w:r w:rsidR="009E24ED">
          <w:rPr>
            <w:webHidden/>
          </w:rPr>
          <w:t>11</w:t>
        </w:r>
        <w:r>
          <w:rPr>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31" w:history="1">
        <w:r w:rsidR="009E24ED" w:rsidRPr="00721380">
          <w:rPr>
            <w:rStyle w:val="Hipercze"/>
            <w:noProof/>
            <w:lang w:val="pl-PL"/>
          </w:rPr>
          <w:t>1.</w:t>
        </w:r>
        <w:r w:rsidR="009E24ED">
          <w:rPr>
            <w:rFonts w:asciiTheme="minorHAnsi" w:eastAsiaTheme="minorEastAsia" w:hAnsiTheme="minorHAnsi" w:cstheme="minorBidi"/>
            <w:b w:val="0"/>
            <w:bCs w:val="0"/>
            <w:noProof/>
            <w:lang w:val="pl-PL"/>
          </w:rPr>
          <w:tab/>
        </w:r>
        <w:r w:rsidR="009E24ED" w:rsidRPr="00721380">
          <w:rPr>
            <w:rStyle w:val="Hipercze"/>
            <w:noProof/>
            <w:lang w:val="pl-PL"/>
          </w:rPr>
          <w:t>Słownik terminów dotyczących kalkulacji kosztów</w:t>
        </w:r>
        <w:r w:rsidR="009E24ED">
          <w:rPr>
            <w:noProof/>
            <w:webHidden/>
          </w:rPr>
          <w:tab/>
        </w:r>
        <w:r>
          <w:rPr>
            <w:noProof/>
            <w:webHidden/>
          </w:rPr>
          <w:fldChar w:fldCharType="begin"/>
        </w:r>
        <w:r w:rsidR="009E24ED">
          <w:rPr>
            <w:noProof/>
            <w:webHidden/>
          </w:rPr>
          <w:instrText xml:space="preserve"> PAGEREF _Toc383521131 \h </w:instrText>
        </w:r>
        <w:r>
          <w:rPr>
            <w:noProof/>
            <w:webHidden/>
          </w:rPr>
        </w:r>
        <w:r>
          <w:rPr>
            <w:noProof/>
            <w:webHidden/>
          </w:rPr>
          <w:fldChar w:fldCharType="separate"/>
        </w:r>
        <w:r w:rsidR="009E24ED">
          <w:rPr>
            <w:noProof/>
            <w:webHidden/>
          </w:rPr>
          <w:t>11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32" w:history="1">
        <w:r w:rsidR="009E24ED" w:rsidRPr="00721380">
          <w:rPr>
            <w:rStyle w:val="Hipercze"/>
            <w:noProof/>
          </w:rPr>
          <w:t>Kluczowe pojęcia</w:t>
        </w:r>
        <w:r w:rsidR="009E24ED">
          <w:rPr>
            <w:noProof/>
            <w:webHidden/>
          </w:rPr>
          <w:tab/>
        </w:r>
        <w:r>
          <w:rPr>
            <w:noProof/>
            <w:webHidden/>
          </w:rPr>
          <w:fldChar w:fldCharType="begin"/>
        </w:r>
        <w:r w:rsidR="009E24ED">
          <w:rPr>
            <w:noProof/>
            <w:webHidden/>
          </w:rPr>
          <w:instrText xml:space="preserve"> PAGEREF _Toc383521132 \h </w:instrText>
        </w:r>
        <w:r>
          <w:rPr>
            <w:noProof/>
            <w:webHidden/>
          </w:rPr>
        </w:r>
        <w:r>
          <w:rPr>
            <w:noProof/>
            <w:webHidden/>
          </w:rPr>
          <w:fldChar w:fldCharType="separate"/>
        </w:r>
        <w:r w:rsidR="009E24ED">
          <w:rPr>
            <w:noProof/>
            <w:webHidden/>
          </w:rPr>
          <w:t>11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33" w:history="1">
        <w:r w:rsidR="009E24ED" w:rsidRPr="00721380">
          <w:rPr>
            <w:rStyle w:val="Hipercze"/>
            <w:noProof/>
          </w:rPr>
          <w:t>Definicje elementów sieci</w:t>
        </w:r>
        <w:r w:rsidR="009E24ED">
          <w:rPr>
            <w:noProof/>
            <w:webHidden/>
          </w:rPr>
          <w:tab/>
        </w:r>
        <w:r>
          <w:rPr>
            <w:noProof/>
            <w:webHidden/>
          </w:rPr>
          <w:fldChar w:fldCharType="begin"/>
        </w:r>
        <w:r w:rsidR="009E24ED">
          <w:rPr>
            <w:noProof/>
            <w:webHidden/>
          </w:rPr>
          <w:instrText xml:space="preserve"> PAGEREF _Toc383521133 \h </w:instrText>
        </w:r>
        <w:r>
          <w:rPr>
            <w:noProof/>
            <w:webHidden/>
          </w:rPr>
        </w:r>
        <w:r>
          <w:rPr>
            <w:noProof/>
            <w:webHidden/>
          </w:rPr>
          <w:fldChar w:fldCharType="separate"/>
        </w:r>
        <w:r w:rsidR="009E24ED">
          <w:rPr>
            <w:noProof/>
            <w:webHidden/>
          </w:rPr>
          <w:t>14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34" w:history="1">
        <w:r w:rsidR="009E24ED" w:rsidRPr="00721380">
          <w:rPr>
            <w:rStyle w:val="Hipercze"/>
            <w:noProof/>
          </w:rPr>
          <w:t>Zastosowane skróty</w:t>
        </w:r>
        <w:r w:rsidR="009E24ED">
          <w:rPr>
            <w:noProof/>
            <w:webHidden/>
          </w:rPr>
          <w:tab/>
        </w:r>
        <w:r>
          <w:rPr>
            <w:noProof/>
            <w:webHidden/>
          </w:rPr>
          <w:fldChar w:fldCharType="begin"/>
        </w:r>
        <w:r w:rsidR="009E24ED">
          <w:rPr>
            <w:noProof/>
            <w:webHidden/>
          </w:rPr>
          <w:instrText xml:space="preserve"> PAGEREF _Toc383521134 \h </w:instrText>
        </w:r>
        <w:r>
          <w:rPr>
            <w:noProof/>
            <w:webHidden/>
          </w:rPr>
        </w:r>
        <w:r>
          <w:rPr>
            <w:noProof/>
            <w:webHidden/>
          </w:rPr>
          <w:fldChar w:fldCharType="separate"/>
        </w:r>
        <w:r w:rsidR="009E24ED">
          <w:rPr>
            <w:noProof/>
            <w:webHidden/>
          </w:rPr>
          <w:t>18</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35" w:history="1">
        <w:r w:rsidR="009E24ED" w:rsidRPr="00721380">
          <w:rPr>
            <w:rStyle w:val="Hipercze"/>
            <w:noProof/>
            <w:lang w:val="pl-PL"/>
          </w:rPr>
          <w:t>2.</w:t>
        </w:r>
        <w:r w:rsidR="009E24ED">
          <w:rPr>
            <w:rFonts w:asciiTheme="minorHAnsi" w:eastAsiaTheme="minorEastAsia" w:hAnsiTheme="minorHAnsi" w:cstheme="minorBidi"/>
            <w:b w:val="0"/>
            <w:bCs w:val="0"/>
            <w:noProof/>
            <w:lang w:val="pl-PL"/>
          </w:rPr>
          <w:tab/>
        </w:r>
        <w:r w:rsidR="009E24ED" w:rsidRPr="00721380">
          <w:rPr>
            <w:rStyle w:val="Hipercze"/>
            <w:noProof/>
            <w:lang w:val="pl-PL"/>
          </w:rPr>
          <w:t>Metody przeszacowania środków trwałych i wartości niematerialnych i prawnych</w:t>
        </w:r>
        <w:r w:rsidR="009E24ED">
          <w:rPr>
            <w:noProof/>
            <w:webHidden/>
          </w:rPr>
          <w:tab/>
        </w:r>
        <w:r>
          <w:rPr>
            <w:noProof/>
            <w:webHidden/>
          </w:rPr>
          <w:fldChar w:fldCharType="begin"/>
        </w:r>
        <w:r w:rsidR="009E24ED">
          <w:rPr>
            <w:noProof/>
            <w:webHidden/>
          </w:rPr>
          <w:instrText xml:space="preserve"> PAGEREF _Toc383521135 \h </w:instrText>
        </w:r>
        <w:r>
          <w:rPr>
            <w:noProof/>
            <w:webHidden/>
          </w:rPr>
        </w:r>
        <w:r>
          <w:rPr>
            <w:noProof/>
            <w:webHidden/>
          </w:rPr>
          <w:fldChar w:fldCharType="separate"/>
        </w:r>
        <w:r w:rsidR="009E24ED">
          <w:rPr>
            <w:noProof/>
            <w:webHidden/>
          </w:rPr>
          <w:t>22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36" w:history="1">
        <w:r w:rsidR="009E24ED" w:rsidRPr="00721380">
          <w:rPr>
            <w:rStyle w:val="Hipercze"/>
            <w:noProof/>
          </w:rPr>
          <w:t>2.1.2.</w:t>
        </w:r>
        <w:r w:rsidR="009E24ED">
          <w:rPr>
            <w:rFonts w:asciiTheme="minorHAnsi" w:eastAsiaTheme="minorEastAsia" w:hAnsiTheme="minorHAnsi" w:cstheme="minorBidi"/>
            <w:noProof/>
            <w:lang w:val="pl-PL"/>
          </w:rPr>
          <w:tab/>
        </w:r>
        <w:r w:rsidR="009E24ED" w:rsidRPr="00721380">
          <w:rPr>
            <w:rStyle w:val="Hipercze"/>
            <w:noProof/>
          </w:rPr>
          <w:t>Wycena bezpośrednia</w:t>
        </w:r>
        <w:r w:rsidR="009E24ED">
          <w:rPr>
            <w:noProof/>
            <w:webHidden/>
          </w:rPr>
          <w:tab/>
        </w:r>
        <w:r>
          <w:rPr>
            <w:noProof/>
            <w:webHidden/>
          </w:rPr>
          <w:fldChar w:fldCharType="begin"/>
        </w:r>
        <w:r w:rsidR="009E24ED">
          <w:rPr>
            <w:noProof/>
            <w:webHidden/>
          </w:rPr>
          <w:instrText xml:space="preserve"> PAGEREF _Toc383521136 \h </w:instrText>
        </w:r>
        <w:r>
          <w:rPr>
            <w:noProof/>
            <w:webHidden/>
          </w:rPr>
        </w:r>
        <w:r>
          <w:rPr>
            <w:noProof/>
            <w:webHidden/>
          </w:rPr>
          <w:fldChar w:fldCharType="separate"/>
        </w:r>
        <w:r w:rsidR="009E24ED">
          <w:rPr>
            <w:noProof/>
            <w:webHidden/>
          </w:rPr>
          <w:t>23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37" w:history="1">
        <w:r w:rsidR="009E24ED" w:rsidRPr="00721380">
          <w:rPr>
            <w:rStyle w:val="Hipercze"/>
            <w:noProof/>
          </w:rPr>
          <w:t>2.1.3.</w:t>
        </w:r>
        <w:r w:rsidR="009E24ED">
          <w:rPr>
            <w:rFonts w:asciiTheme="minorHAnsi" w:eastAsiaTheme="minorEastAsia" w:hAnsiTheme="minorHAnsi" w:cstheme="minorBidi"/>
            <w:noProof/>
            <w:lang w:val="pl-PL"/>
          </w:rPr>
          <w:tab/>
        </w:r>
        <w:r w:rsidR="009E24ED" w:rsidRPr="00721380">
          <w:rPr>
            <w:rStyle w:val="Hipercze"/>
            <w:noProof/>
          </w:rPr>
          <w:t>Metoda wyceny wg nowoczesnego odpowiednika</w:t>
        </w:r>
        <w:r w:rsidR="009E24ED">
          <w:rPr>
            <w:noProof/>
            <w:webHidden/>
          </w:rPr>
          <w:tab/>
        </w:r>
        <w:r>
          <w:rPr>
            <w:noProof/>
            <w:webHidden/>
          </w:rPr>
          <w:fldChar w:fldCharType="begin"/>
        </w:r>
        <w:r w:rsidR="009E24ED">
          <w:rPr>
            <w:noProof/>
            <w:webHidden/>
          </w:rPr>
          <w:instrText xml:space="preserve"> PAGEREF _Toc383521137 \h </w:instrText>
        </w:r>
        <w:r>
          <w:rPr>
            <w:noProof/>
            <w:webHidden/>
          </w:rPr>
        </w:r>
        <w:r>
          <w:rPr>
            <w:noProof/>
            <w:webHidden/>
          </w:rPr>
          <w:fldChar w:fldCharType="separate"/>
        </w:r>
        <w:r w:rsidR="009E24ED">
          <w:rPr>
            <w:noProof/>
            <w:webHidden/>
          </w:rPr>
          <w:t>24</w:t>
        </w:r>
        <w:r>
          <w:rPr>
            <w:noProof/>
            <w:webHidden/>
          </w:rPr>
          <w:fldChar w:fldCharType="end"/>
        </w:r>
      </w:hyperlink>
    </w:p>
    <w:p w:rsidR="009E24ED" w:rsidRDefault="00977728">
      <w:pPr>
        <w:pStyle w:val="Spistreci2"/>
        <w:tabs>
          <w:tab w:val="left" w:pos="1021"/>
          <w:tab w:val="right" w:leader="dot" w:pos="9062"/>
        </w:tabs>
        <w:rPr>
          <w:rFonts w:asciiTheme="minorHAnsi" w:eastAsiaTheme="minorEastAsia" w:hAnsiTheme="minorHAnsi" w:cstheme="minorBidi"/>
          <w:b w:val="0"/>
          <w:bCs w:val="0"/>
          <w:noProof/>
          <w:lang w:val="pl-PL"/>
        </w:rPr>
      </w:pPr>
      <w:hyperlink w:anchor="_Toc383521138" w:history="1">
        <w:r w:rsidR="009E24ED" w:rsidRPr="00721380">
          <w:rPr>
            <w:rStyle w:val="Hipercze"/>
            <w:noProof/>
            <w:lang w:val="pl-PL"/>
          </w:rPr>
          <w:t>2.1.4.</w:t>
        </w:r>
        <w:r w:rsidR="009E24ED">
          <w:rPr>
            <w:rFonts w:asciiTheme="minorHAnsi" w:eastAsiaTheme="minorEastAsia" w:hAnsiTheme="minorHAnsi" w:cstheme="minorBidi"/>
            <w:b w:val="0"/>
            <w:bCs w:val="0"/>
            <w:noProof/>
            <w:lang w:val="pl-PL"/>
          </w:rPr>
          <w:tab/>
        </w:r>
        <w:r w:rsidR="009E24ED" w:rsidRPr="00721380">
          <w:rPr>
            <w:rStyle w:val="Hipercze"/>
            <w:noProof/>
          </w:rPr>
          <w:t>Kosztorysowanie robót teletechnicznych</w:t>
        </w:r>
        <w:r w:rsidR="009E24ED">
          <w:rPr>
            <w:noProof/>
            <w:webHidden/>
          </w:rPr>
          <w:tab/>
        </w:r>
        <w:r>
          <w:rPr>
            <w:noProof/>
            <w:webHidden/>
          </w:rPr>
          <w:fldChar w:fldCharType="begin"/>
        </w:r>
        <w:r w:rsidR="009E24ED">
          <w:rPr>
            <w:noProof/>
            <w:webHidden/>
          </w:rPr>
          <w:instrText xml:space="preserve"> PAGEREF _Toc383521138 \h </w:instrText>
        </w:r>
        <w:r>
          <w:rPr>
            <w:noProof/>
            <w:webHidden/>
          </w:rPr>
        </w:r>
        <w:r>
          <w:rPr>
            <w:noProof/>
            <w:webHidden/>
          </w:rPr>
          <w:fldChar w:fldCharType="separate"/>
        </w:r>
        <w:r w:rsidR="009E24ED">
          <w:rPr>
            <w:noProof/>
            <w:webHidden/>
          </w:rPr>
          <w:t>25</w:t>
        </w:r>
        <w:r>
          <w:rPr>
            <w:noProof/>
            <w:webHidden/>
          </w:rPr>
          <w:fldChar w:fldCharType="end"/>
        </w:r>
      </w:hyperlink>
    </w:p>
    <w:p w:rsidR="009E24ED" w:rsidRDefault="00977728">
      <w:pPr>
        <w:pStyle w:val="Spistreci2"/>
        <w:tabs>
          <w:tab w:val="left" w:pos="1021"/>
          <w:tab w:val="right" w:leader="dot" w:pos="9062"/>
        </w:tabs>
        <w:rPr>
          <w:rFonts w:asciiTheme="minorHAnsi" w:eastAsiaTheme="minorEastAsia" w:hAnsiTheme="minorHAnsi" w:cstheme="minorBidi"/>
          <w:b w:val="0"/>
          <w:bCs w:val="0"/>
          <w:noProof/>
          <w:lang w:val="pl-PL"/>
        </w:rPr>
      </w:pPr>
      <w:hyperlink w:anchor="_Toc383521139" w:history="1">
        <w:r w:rsidR="009E24ED" w:rsidRPr="00721380">
          <w:rPr>
            <w:rStyle w:val="Hipercze"/>
            <w:noProof/>
            <w:lang w:val="pl-PL"/>
          </w:rPr>
          <w:t>2.1.5.</w:t>
        </w:r>
        <w:r w:rsidR="009E24ED">
          <w:rPr>
            <w:rFonts w:asciiTheme="minorHAnsi" w:eastAsiaTheme="minorEastAsia" w:hAnsiTheme="minorHAnsi" w:cstheme="minorBidi"/>
            <w:b w:val="0"/>
            <w:bCs w:val="0"/>
            <w:noProof/>
            <w:lang w:val="pl-PL"/>
          </w:rPr>
          <w:tab/>
        </w:r>
        <w:r w:rsidR="009E24ED" w:rsidRPr="00721380">
          <w:rPr>
            <w:rStyle w:val="Hipercze"/>
            <w:noProof/>
            <w:lang w:val="pl-PL"/>
          </w:rPr>
          <w:t>Indeksacja</w:t>
        </w:r>
        <w:r w:rsidR="009E24ED">
          <w:rPr>
            <w:noProof/>
            <w:webHidden/>
          </w:rPr>
          <w:tab/>
        </w:r>
        <w:r>
          <w:rPr>
            <w:noProof/>
            <w:webHidden/>
          </w:rPr>
          <w:fldChar w:fldCharType="begin"/>
        </w:r>
        <w:r w:rsidR="009E24ED">
          <w:rPr>
            <w:noProof/>
            <w:webHidden/>
          </w:rPr>
          <w:instrText xml:space="preserve"> PAGEREF _Toc383521139 \h </w:instrText>
        </w:r>
        <w:r>
          <w:rPr>
            <w:noProof/>
            <w:webHidden/>
          </w:rPr>
        </w:r>
        <w:r>
          <w:rPr>
            <w:noProof/>
            <w:webHidden/>
          </w:rPr>
          <w:fldChar w:fldCharType="separate"/>
        </w:r>
        <w:r w:rsidR="009E24ED">
          <w:rPr>
            <w:noProof/>
            <w:webHidden/>
          </w:rPr>
          <w:t>26</w:t>
        </w:r>
        <w:r>
          <w:rPr>
            <w:noProof/>
            <w:webHidden/>
          </w:rPr>
          <w:fldChar w:fldCharType="end"/>
        </w:r>
      </w:hyperlink>
    </w:p>
    <w:p w:rsidR="009E24ED" w:rsidRDefault="00977728">
      <w:pPr>
        <w:pStyle w:val="Spistreci2"/>
        <w:tabs>
          <w:tab w:val="left" w:pos="1021"/>
          <w:tab w:val="right" w:leader="dot" w:pos="9062"/>
        </w:tabs>
        <w:rPr>
          <w:rFonts w:asciiTheme="minorHAnsi" w:eastAsiaTheme="minorEastAsia" w:hAnsiTheme="minorHAnsi" w:cstheme="minorBidi"/>
          <w:b w:val="0"/>
          <w:bCs w:val="0"/>
          <w:noProof/>
          <w:lang w:val="pl-PL"/>
        </w:rPr>
      </w:pPr>
      <w:hyperlink w:anchor="_Toc383521140" w:history="1">
        <w:r w:rsidR="009E24ED" w:rsidRPr="00721380">
          <w:rPr>
            <w:rStyle w:val="Hipercze"/>
            <w:noProof/>
            <w:lang w:val="pl-PL"/>
          </w:rPr>
          <w:t>2.1.6.</w:t>
        </w:r>
        <w:r w:rsidR="009E24ED">
          <w:rPr>
            <w:rFonts w:asciiTheme="minorHAnsi" w:eastAsiaTheme="minorEastAsia" w:hAnsiTheme="minorHAnsi" w:cstheme="minorBidi"/>
            <w:b w:val="0"/>
            <w:bCs w:val="0"/>
            <w:noProof/>
            <w:lang w:val="pl-PL"/>
          </w:rPr>
          <w:tab/>
        </w:r>
        <w:r w:rsidR="009E24ED" w:rsidRPr="00721380">
          <w:rPr>
            <w:rStyle w:val="Hipercze"/>
            <w:noProof/>
          </w:rPr>
          <w:t>Przyjęcie kosztu historycznego</w:t>
        </w:r>
        <w:r w:rsidR="009E24ED">
          <w:rPr>
            <w:noProof/>
            <w:webHidden/>
          </w:rPr>
          <w:tab/>
        </w:r>
        <w:r>
          <w:rPr>
            <w:noProof/>
            <w:webHidden/>
          </w:rPr>
          <w:fldChar w:fldCharType="begin"/>
        </w:r>
        <w:r w:rsidR="009E24ED">
          <w:rPr>
            <w:noProof/>
            <w:webHidden/>
          </w:rPr>
          <w:instrText xml:space="preserve"> PAGEREF _Toc383521140 \h </w:instrText>
        </w:r>
        <w:r>
          <w:rPr>
            <w:noProof/>
            <w:webHidden/>
          </w:rPr>
        </w:r>
        <w:r>
          <w:rPr>
            <w:noProof/>
            <w:webHidden/>
          </w:rPr>
          <w:fldChar w:fldCharType="separate"/>
        </w:r>
        <w:r w:rsidR="009E24ED">
          <w:rPr>
            <w:noProof/>
            <w:webHidden/>
          </w:rPr>
          <w:t>26</w:t>
        </w:r>
        <w:r>
          <w:rPr>
            <w:noProof/>
            <w:webHidden/>
          </w:rPr>
          <w:fldChar w:fldCharType="end"/>
        </w:r>
      </w:hyperlink>
    </w:p>
    <w:p w:rsidR="009E24ED" w:rsidRDefault="00977728">
      <w:pPr>
        <w:pStyle w:val="Spistreci2"/>
        <w:tabs>
          <w:tab w:val="left" w:pos="1021"/>
          <w:tab w:val="right" w:leader="dot" w:pos="9062"/>
        </w:tabs>
        <w:rPr>
          <w:rFonts w:asciiTheme="minorHAnsi" w:eastAsiaTheme="minorEastAsia" w:hAnsiTheme="minorHAnsi" w:cstheme="minorBidi"/>
          <w:b w:val="0"/>
          <w:bCs w:val="0"/>
          <w:noProof/>
          <w:lang w:val="pl-PL"/>
        </w:rPr>
      </w:pPr>
      <w:hyperlink w:anchor="_Toc383521141" w:history="1">
        <w:r w:rsidR="009E24ED" w:rsidRPr="00721380">
          <w:rPr>
            <w:rStyle w:val="Hipercze"/>
            <w:noProof/>
            <w:lang w:val="pl-PL"/>
          </w:rPr>
          <w:t>2.1.7.</w:t>
        </w:r>
        <w:r w:rsidR="009E24ED">
          <w:rPr>
            <w:rFonts w:asciiTheme="minorHAnsi" w:eastAsiaTheme="minorEastAsia" w:hAnsiTheme="minorHAnsi" w:cstheme="minorBidi"/>
            <w:b w:val="0"/>
            <w:bCs w:val="0"/>
            <w:noProof/>
            <w:lang w:val="pl-PL"/>
          </w:rPr>
          <w:tab/>
        </w:r>
        <w:r w:rsidR="009E24ED" w:rsidRPr="00721380">
          <w:rPr>
            <w:rStyle w:val="Hipercze"/>
            <w:noProof/>
            <w:lang w:val="pl-PL"/>
          </w:rPr>
          <w:t>Środki trwałe oraz wartości niematerialne i prawne w pełni zamortyzowane</w:t>
        </w:r>
        <w:r w:rsidR="009E24ED">
          <w:rPr>
            <w:noProof/>
            <w:webHidden/>
          </w:rPr>
          <w:tab/>
        </w:r>
        <w:r>
          <w:rPr>
            <w:noProof/>
            <w:webHidden/>
          </w:rPr>
          <w:fldChar w:fldCharType="begin"/>
        </w:r>
        <w:r w:rsidR="009E24ED">
          <w:rPr>
            <w:noProof/>
            <w:webHidden/>
          </w:rPr>
          <w:instrText xml:space="preserve"> PAGEREF _Toc383521141 \h </w:instrText>
        </w:r>
        <w:r>
          <w:rPr>
            <w:noProof/>
            <w:webHidden/>
          </w:rPr>
        </w:r>
        <w:r>
          <w:rPr>
            <w:noProof/>
            <w:webHidden/>
          </w:rPr>
          <w:fldChar w:fldCharType="separate"/>
        </w:r>
        <w:r w:rsidR="009E24ED">
          <w:rPr>
            <w:noProof/>
            <w:webHidden/>
          </w:rPr>
          <w:t>27</w:t>
        </w:r>
        <w:r>
          <w:rPr>
            <w:noProof/>
            <w:webHidden/>
          </w:rPr>
          <w:fldChar w:fldCharType="end"/>
        </w:r>
      </w:hyperlink>
    </w:p>
    <w:p w:rsidR="009E24ED" w:rsidRDefault="00977728">
      <w:pPr>
        <w:pStyle w:val="Spistreci2"/>
        <w:tabs>
          <w:tab w:val="left" w:pos="1021"/>
          <w:tab w:val="right" w:leader="dot" w:pos="9062"/>
        </w:tabs>
        <w:rPr>
          <w:rFonts w:asciiTheme="minorHAnsi" w:eastAsiaTheme="minorEastAsia" w:hAnsiTheme="minorHAnsi" w:cstheme="minorBidi"/>
          <w:b w:val="0"/>
          <w:bCs w:val="0"/>
          <w:noProof/>
          <w:lang w:val="pl-PL"/>
        </w:rPr>
      </w:pPr>
      <w:hyperlink w:anchor="_Toc383521142" w:history="1">
        <w:r w:rsidR="009E24ED" w:rsidRPr="00721380">
          <w:rPr>
            <w:rStyle w:val="Hipercze"/>
            <w:noProof/>
            <w:lang w:val="pl-PL"/>
          </w:rPr>
          <w:t>2.1.8.</w:t>
        </w:r>
        <w:r w:rsidR="009E24ED">
          <w:rPr>
            <w:rFonts w:asciiTheme="minorHAnsi" w:eastAsiaTheme="minorEastAsia" w:hAnsiTheme="minorHAnsi" w:cstheme="minorBidi"/>
            <w:b w:val="0"/>
            <w:bCs w:val="0"/>
            <w:noProof/>
            <w:lang w:val="pl-PL"/>
          </w:rPr>
          <w:tab/>
        </w:r>
        <w:r w:rsidR="009E24ED" w:rsidRPr="00721380">
          <w:rPr>
            <w:rStyle w:val="Hipercze"/>
            <w:noProof/>
            <w:lang w:val="pl-PL"/>
          </w:rPr>
          <w:t>Sposoby ustalenia bieżącej wartości brutto i netto środków trwałych  i wartości niematerialnych i prawnych</w:t>
        </w:r>
        <w:r w:rsidR="009E24ED">
          <w:rPr>
            <w:noProof/>
            <w:webHidden/>
          </w:rPr>
          <w:tab/>
        </w:r>
        <w:r>
          <w:rPr>
            <w:noProof/>
            <w:webHidden/>
          </w:rPr>
          <w:fldChar w:fldCharType="begin"/>
        </w:r>
        <w:r w:rsidR="009E24ED">
          <w:rPr>
            <w:noProof/>
            <w:webHidden/>
          </w:rPr>
          <w:instrText xml:space="preserve"> PAGEREF _Toc383521142 \h </w:instrText>
        </w:r>
        <w:r>
          <w:rPr>
            <w:noProof/>
            <w:webHidden/>
          </w:rPr>
        </w:r>
        <w:r>
          <w:rPr>
            <w:noProof/>
            <w:webHidden/>
          </w:rPr>
          <w:fldChar w:fldCharType="separate"/>
        </w:r>
        <w:r w:rsidR="009E24ED">
          <w:rPr>
            <w:noProof/>
            <w:webHidden/>
          </w:rPr>
          <w:t>27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43" w:history="1">
        <w:r w:rsidR="009E24ED" w:rsidRPr="00721380">
          <w:rPr>
            <w:rStyle w:val="Hipercze"/>
            <w:noProof/>
            <w:lang w:val="pl-PL"/>
          </w:rPr>
          <w:t>3.</w:t>
        </w:r>
        <w:r w:rsidR="009E24ED">
          <w:rPr>
            <w:rFonts w:asciiTheme="minorHAnsi" w:eastAsiaTheme="minorEastAsia" w:hAnsiTheme="minorHAnsi" w:cstheme="minorBidi"/>
            <w:b w:val="0"/>
            <w:bCs w:val="0"/>
            <w:noProof/>
            <w:lang w:val="pl-PL"/>
          </w:rPr>
          <w:tab/>
        </w:r>
        <w:r w:rsidR="009E24ED" w:rsidRPr="00721380">
          <w:rPr>
            <w:rStyle w:val="Hipercze"/>
            <w:noProof/>
            <w:lang w:val="pl-PL"/>
          </w:rPr>
          <w:t>Przeszacowanie poszczególnych grup środków trwałych i wartości niematerialnych i prawnych</w:t>
        </w:r>
        <w:r w:rsidR="009E24ED">
          <w:rPr>
            <w:noProof/>
            <w:webHidden/>
          </w:rPr>
          <w:tab/>
        </w:r>
        <w:r>
          <w:rPr>
            <w:noProof/>
            <w:webHidden/>
          </w:rPr>
          <w:fldChar w:fldCharType="begin"/>
        </w:r>
        <w:r w:rsidR="009E24ED">
          <w:rPr>
            <w:noProof/>
            <w:webHidden/>
          </w:rPr>
          <w:instrText xml:space="preserve"> PAGEREF _Toc383521143 \h </w:instrText>
        </w:r>
        <w:r>
          <w:rPr>
            <w:noProof/>
            <w:webHidden/>
          </w:rPr>
        </w:r>
        <w:r>
          <w:rPr>
            <w:noProof/>
            <w:webHidden/>
          </w:rPr>
          <w:fldChar w:fldCharType="separate"/>
        </w:r>
        <w:r w:rsidR="009E24ED">
          <w:rPr>
            <w:noProof/>
            <w:webHidden/>
          </w:rPr>
          <w:t>29</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44" w:history="1">
        <w:r w:rsidR="009E24ED" w:rsidRPr="00721380">
          <w:rPr>
            <w:rStyle w:val="Hipercze"/>
            <w:noProof/>
          </w:rPr>
          <w:t>3.1.1.</w:t>
        </w:r>
        <w:r w:rsidR="009E24ED">
          <w:rPr>
            <w:rFonts w:asciiTheme="minorHAnsi" w:eastAsiaTheme="minorEastAsia" w:hAnsiTheme="minorHAnsi" w:cstheme="minorBidi"/>
            <w:noProof/>
            <w:lang w:val="pl-PL"/>
          </w:rPr>
          <w:tab/>
        </w:r>
        <w:r w:rsidR="009E24ED" w:rsidRPr="00721380">
          <w:rPr>
            <w:rStyle w:val="Hipercze"/>
            <w:noProof/>
          </w:rPr>
          <w:t>Sieć dostępowa</w:t>
        </w:r>
        <w:r w:rsidR="009E24ED">
          <w:rPr>
            <w:noProof/>
            <w:webHidden/>
          </w:rPr>
          <w:tab/>
        </w:r>
        <w:r>
          <w:rPr>
            <w:noProof/>
            <w:webHidden/>
          </w:rPr>
          <w:fldChar w:fldCharType="begin"/>
        </w:r>
        <w:r w:rsidR="009E24ED">
          <w:rPr>
            <w:noProof/>
            <w:webHidden/>
          </w:rPr>
          <w:instrText xml:space="preserve"> PAGEREF _Toc383521144 \h </w:instrText>
        </w:r>
        <w:r>
          <w:rPr>
            <w:noProof/>
            <w:webHidden/>
          </w:rPr>
        </w:r>
        <w:r>
          <w:rPr>
            <w:noProof/>
            <w:webHidden/>
          </w:rPr>
          <w:fldChar w:fldCharType="separate"/>
        </w:r>
        <w:r w:rsidR="009E24ED">
          <w:rPr>
            <w:noProof/>
            <w:webHidden/>
          </w:rPr>
          <w:t>33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45" w:history="1">
        <w:r w:rsidR="009E24ED" w:rsidRPr="00721380">
          <w:rPr>
            <w:rStyle w:val="Hipercze"/>
            <w:noProof/>
          </w:rPr>
          <w:t>3.1.2.</w:t>
        </w:r>
        <w:r w:rsidR="009E24ED">
          <w:rPr>
            <w:rFonts w:asciiTheme="minorHAnsi" w:eastAsiaTheme="minorEastAsia" w:hAnsiTheme="minorHAnsi" w:cstheme="minorBidi"/>
            <w:noProof/>
            <w:lang w:val="pl-PL"/>
          </w:rPr>
          <w:tab/>
        </w:r>
        <w:r w:rsidR="009E24ED" w:rsidRPr="00721380">
          <w:rPr>
            <w:rStyle w:val="Hipercze"/>
            <w:noProof/>
          </w:rPr>
          <w:t>Dostęp – Sieć pasywna</w:t>
        </w:r>
        <w:r w:rsidR="009E24ED">
          <w:rPr>
            <w:noProof/>
            <w:webHidden/>
          </w:rPr>
          <w:tab/>
        </w:r>
        <w:r>
          <w:rPr>
            <w:noProof/>
            <w:webHidden/>
          </w:rPr>
          <w:fldChar w:fldCharType="begin"/>
        </w:r>
        <w:r w:rsidR="009E24ED">
          <w:rPr>
            <w:noProof/>
            <w:webHidden/>
          </w:rPr>
          <w:instrText xml:space="preserve"> PAGEREF _Toc383521145 \h </w:instrText>
        </w:r>
        <w:r>
          <w:rPr>
            <w:noProof/>
            <w:webHidden/>
          </w:rPr>
        </w:r>
        <w:r>
          <w:rPr>
            <w:noProof/>
            <w:webHidden/>
          </w:rPr>
          <w:fldChar w:fldCharType="separate"/>
        </w:r>
        <w:r w:rsidR="009E24ED">
          <w:rPr>
            <w:noProof/>
            <w:webHidden/>
          </w:rPr>
          <w:t>33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46" w:history="1">
        <w:r w:rsidR="009E24ED" w:rsidRPr="00721380">
          <w:rPr>
            <w:rStyle w:val="Hipercze"/>
            <w:noProof/>
          </w:rPr>
          <w:t>Infrastruktura linii napowietrznych</w:t>
        </w:r>
        <w:r w:rsidR="009E24ED">
          <w:rPr>
            <w:noProof/>
            <w:webHidden/>
          </w:rPr>
          <w:tab/>
        </w:r>
        <w:r>
          <w:rPr>
            <w:noProof/>
            <w:webHidden/>
          </w:rPr>
          <w:fldChar w:fldCharType="begin"/>
        </w:r>
        <w:r w:rsidR="009E24ED">
          <w:rPr>
            <w:noProof/>
            <w:webHidden/>
          </w:rPr>
          <w:instrText xml:space="preserve"> PAGEREF _Toc383521146 \h </w:instrText>
        </w:r>
        <w:r>
          <w:rPr>
            <w:noProof/>
            <w:webHidden/>
          </w:rPr>
        </w:r>
        <w:r>
          <w:rPr>
            <w:noProof/>
            <w:webHidden/>
          </w:rPr>
          <w:fldChar w:fldCharType="separate"/>
        </w:r>
        <w:r w:rsidR="009E24ED">
          <w:rPr>
            <w:noProof/>
            <w:webHidden/>
          </w:rPr>
          <w:t>33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47" w:history="1">
        <w:r w:rsidR="009E24ED" w:rsidRPr="00721380">
          <w:rPr>
            <w:rStyle w:val="Hipercze"/>
            <w:noProof/>
            <w:lang w:val="pl-PL"/>
          </w:rPr>
          <w:t>Kable miedziane sieci magistralnej</w:t>
        </w:r>
        <w:r w:rsidR="009E24ED">
          <w:rPr>
            <w:noProof/>
            <w:webHidden/>
          </w:rPr>
          <w:tab/>
        </w:r>
        <w:r>
          <w:rPr>
            <w:noProof/>
            <w:webHidden/>
          </w:rPr>
          <w:fldChar w:fldCharType="begin"/>
        </w:r>
        <w:r w:rsidR="009E24ED">
          <w:rPr>
            <w:noProof/>
            <w:webHidden/>
          </w:rPr>
          <w:instrText xml:space="preserve"> PAGEREF _Toc383521147 \h </w:instrText>
        </w:r>
        <w:r>
          <w:rPr>
            <w:noProof/>
            <w:webHidden/>
          </w:rPr>
        </w:r>
        <w:r>
          <w:rPr>
            <w:noProof/>
            <w:webHidden/>
          </w:rPr>
          <w:fldChar w:fldCharType="separate"/>
        </w:r>
        <w:r w:rsidR="009E24ED">
          <w:rPr>
            <w:noProof/>
            <w:webHidden/>
          </w:rPr>
          <w:t>34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48" w:history="1">
        <w:r w:rsidR="009E24ED" w:rsidRPr="00721380">
          <w:rPr>
            <w:rStyle w:val="Hipercze"/>
            <w:noProof/>
            <w:lang w:val="pl-PL"/>
          </w:rPr>
          <w:t>Kable miedziane sieci rozdzielczej</w:t>
        </w:r>
        <w:r w:rsidR="009E24ED">
          <w:rPr>
            <w:noProof/>
            <w:webHidden/>
          </w:rPr>
          <w:tab/>
        </w:r>
        <w:r>
          <w:rPr>
            <w:noProof/>
            <w:webHidden/>
          </w:rPr>
          <w:fldChar w:fldCharType="begin"/>
        </w:r>
        <w:r w:rsidR="009E24ED">
          <w:rPr>
            <w:noProof/>
            <w:webHidden/>
          </w:rPr>
          <w:instrText xml:space="preserve"> PAGEREF _Toc383521148 \h </w:instrText>
        </w:r>
        <w:r>
          <w:rPr>
            <w:noProof/>
            <w:webHidden/>
          </w:rPr>
        </w:r>
        <w:r>
          <w:rPr>
            <w:noProof/>
            <w:webHidden/>
          </w:rPr>
          <w:fldChar w:fldCharType="separate"/>
        </w:r>
        <w:r w:rsidR="009E24ED">
          <w:rPr>
            <w:noProof/>
            <w:webHidden/>
          </w:rPr>
          <w:t>34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49" w:history="1">
        <w:r w:rsidR="009E24ED" w:rsidRPr="00721380">
          <w:rPr>
            <w:rStyle w:val="Hipercze"/>
            <w:noProof/>
            <w:lang w:val="pl-PL"/>
          </w:rPr>
          <w:t>Kable światłowodowe FTTx</w:t>
        </w:r>
        <w:r w:rsidR="009E24ED">
          <w:rPr>
            <w:noProof/>
            <w:webHidden/>
          </w:rPr>
          <w:tab/>
        </w:r>
        <w:r>
          <w:rPr>
            <w:noProof/>
            <w:webHidden/>
          </w:rPr>
          <w:fldChar w:fldCharType="begin"/>
        </w:r>
        <w:r w:rsidR="009E24ED">
          <w:rPr>
            <w:noProof/>
            <w:webHidden/>
          </w:rPr>
          <w:instrText xml:space="preserve"> PAGEREF _Toc383521149 \h </w:instrText>
        </w:r>
        <w:r>
          <w:rPr>
            <w:noProof/>
            <w:webHidden/>
          </w:rPr>
        </w:r>
        <w:r>
          <w:rPr>
            <w:noProof/>
            <w:webHidden/>
          </w:rPr>
          <w:fldChar w:fldCharType="separate"/>
        </w:r>
        <w:r w:rsidR="009E24ED">
          <w:rPr>
            <w:noProof/>
            <w:webHidden/>
          </w:rPr>
          <w:t>34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0" w:history="1">
        <w:r w:rsidR="009E24ED" w:rsidRPr="00721380">
          <w:rPr>
            <w:rStyle w:val="Hipercze"/>
            <w:noProof/>
            <w:lang w:val="pl-PL"/>
          </w:rPr>
          <w:t>Kanalizacja i infrastruktura</w:t>
        </w:r>
        <w:r w:rsidR="009E24ED">
          <w:rPr>
            <w:noProof/>
            <w:webHidden/>
          </w:rPr>
          <w:tab/>
        </w:r>
        <w:r>
          <w:rPr>
            <w:noProof/>
            <w:webHidden/>
          </w:rPr>
          <w:fldChar w:fldCharType="begin"/>
        </w:r>
        <w:r w:rsidR="009E24ED">
          <w:rPr>
            <w:noProof/>
            <w:webHidden/>
          </w:rPr>
          <w:instrText xml:space="preserve"> PAGEREF _Toc383521150 \h </w:instrText>
        </w:r>
        <w:r>
          <w:rPr>
            <w:noProof/>
            <w:webHidden/>
          </w:rPr>
        </w:r>
        <w:r>
          <w:rPr>
            <w:noProof/>
            <w:webHidden/>
          </w:rPr>
          <w:fldChar w:fldCharType="separate"/>
        </w:r>
        <w:r w:rsidR="009E24ED">
          <w:rPr>
            <w:noProof/>
            <w:webHidden/>
          </w:rPr>
          <w:t>34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1" w:history="1">
        <w:r w:rsidR="009E24ED" w:rsidRPr="00721380">
          <w:rPr>
            <w:rStyle w:val="Hipercze"/>
            <w:noProof/>
            <w:lang w:val="pl-PL"/>
          </w:rPr>
          <w:t>Puszka lub skrzynka kablowa</w:t>
        </w:r>
        <w:r w:rsidR="009E24ED">
          <w:rPr>
            <w:noProof/>
            <w:webHidden/>
          </w:rPr>
          <w:tab/>
        </w:r>
        <w:r>
          <w:rPr>
            <w:noProof/>
            <w:webHidden/>
          </w:rPr>
          <w:fldChar w:fldCharType="begin"/>
        </w:r>
        <w:r w:rsidR="009E24ED">
          <w:rPr>
            <w:noProof/>
            <w:webHidden/>
          </w:rPr>
          <w:instrText xml:space="preserve"> PAGEREF _Toc383521151 \h </w:instrText>
        </w:r>
        <w:r>
          <w:rPr>
            <w:noProof/>
            <w:webHidden/>
          </w:rPr>
        </w:r>
        <w:r>
          <w:rPr>
            <w:noProof/>
            <w:webHidden/>
          </w:rPr>
          <w:fldChar w:fldCharType="separate"/>
        </w:r>
        <w:r w:rsidR="009E24ED">
          <w:rPr>
            <w:noProof/>
            <w:webHidden/>
          </w:rPr>
          <w:t>35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2" w:history="1">
        <w:r w:rsidR="009E24ED" w:rsidRPr="00721380">
          <w:rPr>
            <w:rStyle w:val="Hipercze"/>
            <w:noProof/>
            <w:lang w:val="pl-PL"/>
          </w:rPr>
          <w:t>Szafa kablowa</w:t>
        </w:r>
        <w:r w:rsidR="009E24ED">
          <w:rPr>
            <w:noProof/>
            <w:webHidden/>
          </w:rPr>
          <w:tab/>
        </w:r>
        <w:r>
          <w:rPr>
            <w:noProof/>
            <w:webHidden/>
          </w:rPr>
          <w:fldChar w:fldCharType="begin"/>
        </w:r>
        <w:r w:rsidR="009E24ED">
          <w:rPr>
            <w:noProof/>
            <w:webHidden/>
          </w:rPr>
          <w:instrText xml:space="preserve"> PAGEREF _Toc383521152 \h </w:instrText>
        </w:r>
        <w:r>
          <w:rPr>
            <w:noProof/>
            <w:webHidden/>
          </w:rPr>
        </w:r>
        <w:r>
          <w:rPr>
            <w:noProof/>
            <w:webHidden/>
          </w:rPr>
          <w:fldChar w:fldCharType="separate"/>
        </w:r>
        <w:r w:rsidR="009E24ED">
          <w:rPr>
            <w:noProof/>
            <w:webHidden/>
          </w:rPr>
          <w:t>35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3" w:history="1">
        <w:r w:rsidR="009E24ED" w:rsidRPr="00721380">
          <w:rPr>
            <w:rStyle w:val="Hipercze"/>
            <w:noProof/>
            <w:lang w:val="pl-PL"/>
          </w:rPr>
          <w:t>Przełącznice główne</w:t>
        </w:r>
        <w:r w:rsidR="009E24ED">
          <w:rPr>
            <w:noProof/>
            <w:webHidden/>
          </w:rPr>
          <w:tab/>
        </w:r>
        <w:r>
          <w:rPr>
            <w:noProof/>
            <w:webHidden/>
          </w:rPr>
          <w:fldChar w:fldCharType="begin"/>
        </w:r>
        <w:r w:rsidR="009E24ED">
          <w:rPr>
            <w:noProof/>
            <w:webHidden/>
          </w:rPr>
          <w:instrText xml:space="preserve"> PAGEREF _Toc383521153 \h </w:instrText>
        </w:r>
        <w:r>
          <w:rPr>
            <w:noProof/>
            <w:webHidden/>
          </w:rPr>
        </w:r>
        <w:r>
          <w:rPr>
            <w:noProof/>
            <w:webHidden/>
          </w:rPr>
          <w:fldChar w:fldCharType="separate"/>
        </w:r>
        <w:r w:rsidR="009E24ED">
          <w:rPr>
            <w:noProof/>
            <w:webHidden/>
          </w:rPr>
          <w:t>35</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54" w:history="1">
        <w:r w:rsidR="009E24ED" w:rsidRPr="00721380">
          <w:rPr>
            <w:rStyle w:val="Hipercze"/>
            <w:noProof/>
          </w:rPr>
          <w:t>3.1.3.</w:t>
        </w:r>
        <w:r w:rsidR="009E24ED">
          <w:rPr>
            <w:rFonts w:asciiTheme="minorHAnsi" w:eastAsiaTheme="minorEastAsia" w:hAnsiTheme="minorHAnsi" w:cstheme="minorBidi"/>
            <w:noProof/>
            <w:lang w:val="pl-PL"/>
          </w:rPr>
          <w:tab/>
        </w:r>
        <w:r w:rsidR="009E24ED" w:rsidRPr="00721380">
          <w:rPr>
            <w:rStyle w:val="Hipercze"/>
            <w:noProof/>
          </w:rPr>
          <w:t>Urządzenia w sieci dostępowej</w:t>
        </w:r>
        <w:r w:rsidR="009E24ED">
          <w:rPr>
            <w:noProof/>
            <w:webHidden/>
          </w:rPr>
          <w:tab/>
        </w:r>
        <w:r>
          <w:rPr>
            <w:noProof/>
            <w:webHidden/>
          </w:rPr>
          <w:fldChar w:fldCharType="begin"/>
        </w:r>
        <w:r w:rsidR="009E24ED">
          <w:rPr>
            <w:noProof/>
            <w:webHidden/>
          </w:rPr>
          <w:instrText xml:space="preserve"> PAGEREF _Toc383521154 \h </w:instrText>
        </w:r>
        <w:r>
          <w:rPr>
            <w:noProof/>
            <w:webHidden/>
          </w:rPr>
        </w:r>
        <w:r>
          <w:rPr>
            <w:noProof/>
            <w:webHidden/>
          </w:rPr>
          <w:fldChar w:fldCharType="separate"/>
        </w:r>
        <w:r w:rsidR="009E24ED">
          <w:rPr>
            <w:noProof/>
            <w:webHidden/>
          </w:rPr>
          <w:t>35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5" w:history="1">
        <w:r w:rsidR="009E24ED" w:rsidRPr="00721380">
          <w:rPr>
            <w:rStyle w:val="Hipercze"/>
            <w:noProof/>
          </w:rPr>
          <w:t>PCM</w:t>
        </w:r>
        <w:r w:rsidR="009E24ED">
          <w:rPr>
            <w:noProof/>
            <w:webHidden/>
          </w:rPr>
          <w:tab/>
        </w:r>
        <w:r>
          <w:rPr>
            <w:noProof/>
            <w:webHidden/>
          </w:rPr>
          <w:fldChar w:fldCharType="begin"/>
        </w:r>
        <w:r w:rsidR="009E24ED">
          <w:rPr>
            <w:noProof/>
            <w:webHidden/>
          </w:rPr>
          <w:instrText xml:space="preserve"> PAGEREF _Toc383521155 \h </w:instrText>
        </w:r>
        <w:r>
          <w:rPr>
            <w:noProof/>
            <w:webHidden/>
          </w:rPr>
        </w:r>
        <w:r>
          <w:rPr>
            <w:noProof/>
            <w:webHidden/>
          </w:rPr>
          <w:fldChar w:fldCharType="separate"/>
        </w:r>
        <w:r w:rsidR="009E24ED">
          <w:rPr>
            <w:noProof/>
            <w:webHidden/>
          </w:rPr>
          <w:t>35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6" w:history="1">
        <w:r w:rsidR="009E24ED" w:rsidRPr="00721380">
          <w:rPr>
            <w:rStyle w:val="Hipercze"/>
            <w:noProof/>
            <w:lang w:val="pl-PL"/>
          </w:rPr>
          <w:t>ISDN – NT</w:t>
        </w:r>
        <w:r w:rsidR="009E24ED">
          <w:rPr>
            <w:noProof/>
            <w:webHidden/>
          </w:rPr>
          <w:tab/>
        </w:r>
        <w:r>
          <w:rPr>
            <w:noProof/>
            <w:webHidden/>
          </w:rPr>
          <w:fldChar w:fldCharType="begin"/>
        </w:r>
        <w:r w:rsidR="009E24ED">
          <w:rPr>
            <w:noProof/>
            <w:webHidden/>
          </w:rPr>
          <w:instrText xml:space="preserve"> PAGEREF _Toc383521156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7" w:history="1">
        <w:r w:rsidR="009E24ED" w:rsidRPr="00721380">
          <w:rPr>
            <w:rStyle w:val="Hipercze"/>
            <w:noProof/>
            <w:lang w:val="pl-PL"/>
          </w:rPr>
          <w:t>HDSL - NT</w:t>
        </w:r>
        <w:r w:rsidR="009E24ED">
          <w:rPr>
            <w:noProof/>
            <w:webHidden/>
          </w:rPr>
          <w:tab/>
        </w:r>
        <w:r>
          <w:rPr>
            <w:noProof/>
            <w:webHidden/>
          </w:rPr>
          <w:fldChar w:fldCharType="begin"/>
        </w:r>
        <w:r w:rsidR="009E24ED">
          <w:rPr>
            <w:noProof/>
            <w:webHidden/>
          </w:rPr>
          <w:instrText xml:space="preserve"> PAGEREF _Toc383521157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58" w:history="1">
        <w:r w:rsidR="009E24ED" w:rsidRPr="00721380">
          <w:rPr>
            <w:rStyle w:val="Hipercze"/>
            <w:noProof/>
            <w:lang w:val="pl-PL"/>
          </w:rPr>
          <w:t>ADSL – NT</w:t>
        </w:r>
        <w:r w:rsidR="009E24ED">
          <w:rPr>
            <w:noProof/>
            <w:webHidden/>
          </w:rPr>
          <w:tab/>
        </w:r>
        <w:r>
          <w:rPr>
            <w:noProof/>
            <w:webHidden/>
          </w:rPr>
          <w:fldChar w:fldCharType="begin"/>
        </w:r>
        <w:r w:rsidR="009E24ED">
          <w:rPr>
            <w:noProof/>
            <w:webHidden/>
          </w:rPr>
          <w:instrText xml:space="preserve"> PAGEREF _Toc383521158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59" w:history="1">
        <w:r w:rsidR="009E24ED" w:rsidRPr="00721380">
          <w:rPr>
            <w:rStyle w:val="Hipercze"/>
            <w:noProof/>
          </w:rPr>
          <w:t>3.1.4.</w:t>
        </w:r>
        <w:r w:rsidR="009E24ED">
          <w:rPr>
            <w:rFonts w:asciiTheme="minorHAnsi" w:eastAsiaTheme="minorEastAsia" w:hAnsiTheme="minorHAnsi" w:cstheme="minorBidi"/>
            <w:noProof/>
            <w:lang w:val="pl-PL"/>
          </w:rPr>
          <w:tab/>
        </w:r>
        <w:r w:rsidR="009E24ED" w:rsidRPr="00721380">
          <w:rPr>
            <w:rStyle w:val="Hipercze"/>
            <w:noProof/>
          </w:rPr>
          <w:t>Systemy dostępowe</w:t>
        </w:r>
        <w:r w:rsidR="009E24ED">
          <w:rPr>
            <w:noProof/>
            <w:webHidden/>
          </w:rPr>
          <w:tab/>
        </w:r>
        <w:r>
          <w:rPr>
            <w:noProof/>
            <w:webHidden/>
          </w:rPr>
          <w:fldChar w:fldCharType="begin"/>
        </w:r>
        <w:r w:rsidR="009E24ED">
          <w:rPr>
            <w:noProof/>
            <w:webHidden/>
          </w:rPr>
          <w:instrText xml:space="preserve"> PAGEREF _Toc383521159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60" w:history="1">
        <w:r w:rsidR="009E24ED" w:rsidRPr="00721380">
          <w:rPr>
            <w:rStyle w:val="Hipercze"/>
            <w:noProof/>
          </w:rPr>
          <w:t>3.1.5.</w:t>
        </w:r>
        <w:r w:rsidR="009E24ED">
          <w:rPr>
            <w:rFonts w:asciiTheme="minorHAnsi" w:eastAsiaTheme="minorEastAsia" w:hAnsiTheme="minorHAnsi" w:cstheme="minorBidi"/>
            <w:noProof/>
            <w:lang w:val="pl-PL"/>
          </w:rPr>
          <w:tab/>
        </w:r>
        <w:r w:rsidR="009E24ED" w:rsidRPr="00721380">
          <w:rPr>
            <w:rStyle w:val="Hipercze"/>
            <w:noProof/>
          </w:rPr>
          <w:t>Dostęp bezprzewodowy</w:t>
        </w:r>
        <w:r w:rsidR="009E24ED">
          <w:rPr>
            <w:noProof/>
            <w:webHidden/>
          </w:rPr>
          <w:tab/>
        </w:r>
        <w:r>
          <w:rPr>
            <w:noProof/>
            <w:webHidden/>
          </w:rPr>
          <w:fldChar w:fldCharType="begin"/>
        </w:r>
        <w:r w:rsidR="009E24ED">
          <w:rPr>
            <w:noProof/>
            <w:webHidden/>
          </w:rPr>
          <w:instrText xml:space="preserve"> PAGEREF _Toc383521160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61" w:history="1">
        <w:r w:rsidR="009E24ED" w:rsidRPr="00721380">
          <w:rPr>
            <w:rStyle w:val="Hipercze"/>
            <w:noProof/>
          </w:rPr>
          <w:t>DPS - dostęp bezprzewodowy –POTS</w:t>
        </w:r>
        <w:r w:rsidR="009E24ED">
          <w:rPr>
            <w:noProof/>
            <w:webHidden/>
          </w:rPr>
          <w:tab/>
        </w:r>
        <w:r>
          <w:rPr>
            <w:noProof/>
            <w:webHidden/>
          </w:rPr>
          <w:fldChar w:fldCharType="begin"/>
        </w:r>
        <w:r w:rsidR="009E24ED">
          <w:rPr>
            <w:noProof/>
            <w:webHidden/>
          </w:rPr>
          <w:instrText xml:space="preserve"> PAGEREF _Toc383521161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62" w:history="1">
        <w:r w:rsidR="009E24ED" w:rsidRPr="00721380">
          <w:rPr>
            <w:rStyle w:val="Hipercze"/>
            <w:noProof/>
            <w:lang w:val="pl-PL"/>
          </w:rPr>
          <w:t>DPS - dostęp bezprzewodowy - Ruch</w:t>
        </w:r>
        <w:r w:rsidR="009E24ED">
          <w:rPr>
            <w:noProof/>
            <w:webHidden/>
          </w:rPr>
          <w:tab/>
        </w:r>
        <w:r>
          <w:rPr>
            <w:noProof/>
            <w:webHidden/>
          </w:rPr>
          <w:fldChar w:fldCharType="begin"/>
        </w:r>
        <w:r w:rsidR="009E24ED">
          <w:rPr>
            <w:noProof/>
            <w:webHidden/>
          </w:rPr>
          <w:instrText xml:space="preserve"> PAGEREF _Toc383521162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63" w:history="1">
        <w:r w:rsidR="009E24ED" w:rsidRPr="00721380">
          <w:rPr>
            <w:rStyle w:val="Hipercze"/>
            <w:noProof/>
          </w:rPr>
          <w:t>3.1.6.</w:t>
        </w:r>
        <w:r w:rsidR="009E24ED">
          <w:rPr>
            <w:rFonts w:asciiTheme="minorHAnsi" w:eastAsiaTheme="minorEastAsia" w:hAnsiTheme="minorHAnsi" w:cstheme="minorBidi"/>
            <w:noProof/>
            <w:lang w:val="pl-PL"/>
          </w:rPr>
          <w:tab/>
        </w:r>
        <w:r w:rsidR="009E24ED" w:rsidRPr="00721380">
          <w:rPr>
            <w:rStyle w:val="Hipercze"/>
            <w:noProof/>
          </w:rPr>
          <w:t>Dostęp przewodowy</w:t>
        </w:r>
        <w:r w:rsidR="009E24ED">
          <w:rPr>
            <w:noProof/>
            <w:webHidden/>
          </w:rPr>
          <w:tab/>
        </w:r>
        <w:r>
          <w:rPr>
            <w:noProof/>
            <w:webHidden/>
          </w:rPr>
          <w:fldChar w:fldCharType="begin"/>
        </w:r>
        <w:r w:rsidR="009E24ED">
          <w:rPr>
            <w:noProof/>
            <w:webHidden/>
          </w:rPr>
          <w:instrText xml:space="preserve"> PAGEREF _Toc383521163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64" w:history="1">
        <w:r w:rsidR="009E24ED" w:rsidRPr="00721380">
          <w:rPr>
            <w:rStyle w:val="Hipercze"/>
            <w:noProof/>
            <w:lang w:val="pl-PL"/>
          </w:rPr>
          <w:t>Systemy dostępowe - dostęp przewodowy – POTS</w:t>
        </w:r>
        <w:r w:rsidR="009E24ED">
          <w:rPr>
            <w:noProof/>
            <w:webHidden/>
          </w:rPr>
          <w:tab/>
        </w:r>
        <w:r>
          <w:rPr>
            <w:noProof/>
            <w:webHidden/>
          </w:rPr>
          <w:fldChar w:fldCharType="begin"/>
        </w:r>
        <w:r w:rsidR="009E24ED">
          <w:rPr>
            <w:noProof/>
            <w:webHidden/>
          </w:rPr>
          <w:instrText xml:space="preserve"> PAGEREF _Toc383521164 \h </w:instrText>
        </w:r>
        <w:r>
          <w:rPr>
            <w:noProof/>
            <w:webHidden/>
          </w:rPr>
        </w:r>
        <w:r>
          <w:rPr>
            <w:noProof/>
            <w:webHidden/>
          </w:rPr>
          <w:fldChar w:fldCharType="separate"/>
        </w:r>
        <w:r w:rsidR="009E24ED">
          <w:rPr>
            <w:noProof/>
            <w:webHidden/>
          </w:rPr>
          <w:t>36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65" w:history="1">
        <w:r w:rsidR="009E24ED" w:rsidRPr="00721380">
          <w:rPr>
            <w:rStyle w:val="Hipercze"/>
            <w:noProof/>
            <w:lang w:val="pl-PL"/>
          </w:rPr>
          <w:t>Systemy dostępowe - dostęp przewodowy – ISDN BRA</w:t>
        </w:r>
        <w:r w:rsidR="009E24ED">
          <w:rPr>
            <w:noProof/>
            <w:webHidden/>
          </w:rPr>
          <w:tab/>
        </w:r>
        <w:r>
          <w:rPr>
            <w:noProof/>
            <w:webHidden/>
          </w:rPr>
          <w:fldChar w:fldCharType="begin"/>
        </w:r>
        <w:r w:rsidR="009E24ED">
          <w:rPr>
            <w:noProof/>
            <w:webHidden/>
          </w:rPr>
          <w:instrText xml:space="preserve"> PAGEREF _Toc383521165 \h </w:instrText>
        </w:r>
        <w:r>
          <w:rPr>
            <w:noProof/>
            <w:webHidden/>
          </w:rPr>
        </w:r>
        <w:r>
          <w:rPr>
            <w:noProof/>
            <w:webHidden/>
          </w:rPr>
          <w:fldChar w:fldCharType="separate"/>
        </w:r>
        <w:r w:rsidR="009E24ED">
          <w:rPr>
            <w:noProof/>
            <w:webHidden/>
          </w:rPr>
          <w:t>37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66" w:history="1">
        <w:r w:rsidR="009E24ED" w:rsidRPr="00721380">
          <w:rPr>
            <w:rStyle w:val="Hipercze"/>
            <w:noProof/>
            <w:lang w:val="pl-PL"/>
          </w:rPr>
          <w:t>Systemy dostępowe - dostęp przewodowy – HDSL</w:t>
        </w:r>
        <w:r w:rsidR="009E24ED">
          <w:rPr>
            <w:noProof/>
            <w:webHidden/>
          </w:rPr>
          <w:tab/>
        </w:r>
        <w:r>
          <w:rPr>
            <w:noProof/>
            <w:webHidden/>
          </w:rPr>
          <w:fldChar w:fldCharType="begin"/>
        </w:r>
        <w:r w:rsidR="009E24ED">
          <w:rPr>
            <w:noProof/>
            <w:webHidden/>
          </w:rPr>
          <w:instrText xml:space="preserve"> PAGEREF _Toc383521166 \h </w:instrText>
        </w:r>
        <w:r>
          <w:rPr>
            <w:noProof/>
            <w:webHidden/>
          </w:rPr>
        </w:r>
        <w:r>
          <w:rPr>
            <w:noProof/>
            <w:webHidden/>
          </w:rPr>
          <w:fldChar w:fldCharType="separate"/>
        </w:r>
        <w:r w:rsidR="009E24ED">
          <w:rPr>
            <w:noProof/>
            <w:webHidden/>
          </w:rPr>
          <w:t>37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67" w:history="1">
        <w:r w:rsidR="009E24ED" w:rsidRPr="00721380">
          <w:rPr>
            <w:rStyle w:val="Hipercze"/>
            <w:noProof/>
            <w:lang w:val="pl-PL"/>
          </w:rPr>
          <w:t>Systemy dostępowe - dostęp przewodowy – ADSL</w:t>
        </w:r>
        <w:r w:rsidR="009E24ED">
          <w:rPr>
            <w:noProof/>
            <w:webHidden/>
          </w:rPr>
          <w:tab/>
        </w:r>
        <w:r>
          <w:rPr>
            <w:noProof/>
            <w:webHidden/>
          </w:rPr>
          <w:fldChar w:fldCharType="begin"/>
        </w:r>
        <w:r w:rsidR="009E24ED">
          <w:rPr>
            <w:noProof/>
            <w:webHidden/>
          </w:rPr>
          <w:instrText xml:space="preserve"> PAGEREF _Toc383521167 \h </w:instrText>
        </w:r>
        <w:r>
          <w:rPr>
            <w:noProof/>
            <w:webHidden/>
          </w:rPr>
        </w:r>
        <w:r>
          <w:rPr>
            <w:noProof/>
            <w:webHidden/>
          </w:rPr>
          <w:fldChar w:fldCharType="separate"/>
        </w:r>
        <w:r w:rsidR="009E24ED">
          <w:rPr>
            <w:noProof/>
            <w:webHidden/>
          </w:rPr>
          <w:t>37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68" w:history="1">
        <w:r w:rsidR="009E24ED" w:rsidRPr="00721380">
          <w:rPr>
            <w:rStyle w:val="Hipercze"/>
            <w:noProof/>
            <w:lang w:val="pl-PL"/>
          </w:rPr>
          <w:t>Systemy dostępowe - dostęp przewodowy – Transmisja</w:t>
        </w:r>
        <w:r w:rsidR="009E24ED">
          <w:rPr>
            <w:noProof/>
            <w:webHidden/>
          </w:rPr>
          <w:tab/>
        </w:r>
        <w:r>
          <w:rPr>
            <w:noProof/>
            <w:webHidden/>
          </w:rPr>
          <w:fldChar w:fldCharType="begin"/>
        </w:r>
        <w:r w:rsidR="009E24ED">
          <w:rPr>
            <w:noProof/>
            <w:webHidden/>
          </w:rPr>
          <w:instrText xml:space="preserve"> PAGEREF _Toc383521168 \h </w:instrText>
        </w:r>
        <w:r>
          <w:rPr>
            <w:noProof/>
            <w:webHidden/>
          </w:rPr>
        </w:r>
        <w:r>
          <w:rPr>
            <w:noProof/>
            <w:webHidden/>
          </w:rPr>
          <w:fldChar w:fldCharType="separate"/>
        </w:r>
        <w:r w:rsidR="009E24ED">
          <w:rPr>
            <w:noProof/>
            <w:webHidden/>
          </w:rPr>
          <w:t>37</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69" w:history="1">
        <w:r w:rsidR="009E24ED" w:rsidRPr="00721380">
          <w:rPr>
            <w:rStyle w:val="Hipercze"/>
            <w:noProof/>
          </w:rPr>
          <w:t>3.1.7.</w:t>
        </w:r>
        <w:r w:rsidR="009E24ED">
          <w:rPr>
            <w:rFonts w:asciiTheme="minorHAnsi" w:eastAsiaTheme="minorEastAsia" w:hAnsiTheme="minorHAnsi" w:cstheme="minorBidi"/>
            <w:noProof/>
            <w:lang w:val="pl-PL"/>
          </w:rPr>
          <w:tab/>
        </w:r>
        <w:r w:rsidR="009E24ED" w:rsidRPr="00721380">
          <w:rPr>
            <w:rStyle w:val="Hipercze"/>
            <w:noProof/>
          </w:rPr>
          <w:t>Centrale</w:t>
        </w:r>
        <w:r w:rsidR="009E24ED">
          <w:rPr>
            <w:noProof/>
            <w:webHidden/>
          </w:rPr>
          <w:tab/>
        </w:r>
        <w:r>
          <w:rPr>
            <w:noProof/>
            <w:webHidden/>
          </w:rPr>
          <w:fldChar w:fldCharType="begin"/>
        </w:r>
        <w:r w:rsidR="009E24ED">
          <w:rPr>
            <w:noProof/>
            <w:webHidden/>
          </w:rPr>
          <w:instrText xml:space="preserve"> PAGEREF _Toc383521169 \h </w:instrText>
        </w:r>
        <w:r>
          <w:rPr>
            <w:noProof/>
            <w:webHidden/>
          </w:rPr>
        </w:r>
        <w:r>
          <w:rPr>
            <w:noProof/>
            <w:webHidden/>
          </w:rPr>
          <w:fldChar w:fldCharType="separate"/>
        </w:r>
        <w:r w:rsidR="009E24ED">
          <w:rPr>
            <w:noProof/>
            <w:webHidden/>
          </w:rPr>
          <w:t>37</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70" w:history="1">
        <w:r w:rsidR="009E24ED" w:rsidRPr="00721380">
          <w:rPr>
            <w:rStyle w:val="Hipercze"/>
            <w:noProof/>
          </w:rPr>
          <w:t>3.1.8.</w:t>
        </w:r>
        <w:r w:rsidR="009E24ED">
          <w:rPr>
            <w:rFonts w:asciiTheme="minorHAnsi" w:eastAsiaTheme="minorEastAsia" w:hAnsiTheme="minorHAnsi" w:cstheme="minorBidi"/>
            <w:noProof/>
            <w:lang w:val="pl-PL"/>
          </w:rPr>
          <w:tab/>
        </w:r>
        <w:r w:rsidR="009E24ED" w:rsidRPr="00721380">
          <w:rPr>
            <w:rStyle w:val="Hipercze"/>
            <w:noProof/>
          </w:rPr>
          <w:t>Obiekty wyniesione central</w:t>
        </w:r>
        <w:r w:rsidR="009E24ED">
          <w:rPr>
            <w:noProof/>
            <w:webHidden/>
          </w:rPr>
          <w:tab/>
        </w:r>
        <w:r>
          <w:rPr>
            <w:noProof/>
            <w:webHidden/>
          </w:rPr>
          <w:fldChar w:fldCharType="begin"/>
        </w:r>
        <w:r w:rsidR="009E24ED">
          <w:rPr>
            <w:noProof/>
            <w:webHidden/>
          </w:rPr>
          <w:instrText xml:space="preserve"> PAGEREF _Toc383521170 \h </w:instrText>
        </w:r>
        <w:r>
          <w:rPr>
            <w:noProof/>
            <w:webHidden/>
          </w:rPr>
        </w:r>
        <w:r>
          <w:rPr>
            <w:noProof/>
            <w:webHidden/>
          </w:rPr>
          <w:fldChar w:fldCharType="separate"/>
        </w:r>
        <w:r w:rsidR="009E24ED">
          <w:rPr>
            <w:noProof/>
            <w:webHidden/>
          </w:rPr>
          <w:t>37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71" w:history="1">
        <w:r w:rsidR="009E24ED" w:rsidRPr="00721380">
          <w:rPr>
            <w:rStyle w:val="Hipercze"/>
            <w:noProof/>
          </w:rPr>
          <w:t>Obiekty wyniesione central – POTS</w:t>
        </w:r>
        <w:r w:rsidR="009E24ED">
          <w:rPr>
            <w:noProof/>
            <w:webHidden/>
          </w:rPr>
          <w:tab/>
        </w:r>
        <w:r>
          <w:rPr>
            <w:noProof/>
            <w:webHidden/>
          </w:rPr>
          <w:fldChar w:fldCharType="begin"/>
        </w:r>
        <w:r w:rsidR="009E24ED">
          <w:rPr>
            <w:noProof/>
            <w:webHidden/>
          </w:rPr>
          <w:instrText xml:space="preserve"> PAGEREF _Toc383521171 \h </w:instrText>
        </w:r>
        <w:r>
          <w:rPr>
            <w:noProof/>
            <w:webHidden/>
          </w:rPr>
        </w:r>
        <w:r>
          <w:rPr>
            <w:noProof/>
            <w:webHidden/>
          </w:rPr>
          <w:fldChar w:fldCharType="separate"/>
        </w:r>
        <w:r w:rsidR="009E24ED">
          <w:rPr>
            <w:noProof/>
            <w:webHidden/>
          </w:rPr>
          <w:t>37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72" w:history="1">
        <w:r w:rsidR="009E24ED" w:rsidRPr="00721380">
          <w:rPr>
            <w:rStyle w:val="Hipercze"/>
            <w:noProof/>
            <w:lang w:val="pl-PL"/>
          </w:rPr>
          <w:t>Obiekty wyniesione central – ISDN BRA</w:t>
        </w:r>
        <w:r w:rsidR="009E24ED">
          <w:rPr>
            <w:noProof/>
            <w:webHidden/>
          </w:rPr>
          <w:tab/>
        </w:r>
        <w:r>
          <w:rPr>
            <w:noProof/>
            <w:webHidden/>
          </w:rPr>
          <w:fldChar w:fldCharType="begin"/>
        </w:r>
        <w:r w:rsidR="009E24ED">
          <w:rPr>
            <w:noProof/>
            <w:webHidden/>
          </w:rPr>
          <w:instrText xml:space="preserve"> PAGEREF _Toc383521172 \h </w:instrText>
        </w:r>
        <w:r>
          <w:rPr>
            <w:noProof/>
            <w:webHidden/>
          </w:rPr>
        </w:r>
        <w:r>
          <w:rPr>
            <w:noProof/>
            <w:webHidden/>
          </w:rPr>
          <w:fldChar w:fldCharType="separate"/>
        </w:r>
        <w:r w:rsidR="009E24ED">
          <w:rPr>
            <w:noProof/>
            <w:webHidden/>
          </w:rPr>
          <w:t>38</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73" w:history="1">
        <w:r w:rsidR="009E24ED" w:rsidRPr="00721380">
          <w:rPr>
            <w:rStyle w:val="Hipercze"/>
            <w:noProof/>
            <w:lang w:val="pl-PL"/>
          </w:rPr>
          <w:t>Obiekty wyniesione central - Ruch</w:t>
        </w:r>
        <w:r w:rsidR="009E24ED">
          <w:rPr>
            <w:noProof/>
            <w:webHidden/>
          </w:rPr>
          <w:tab/>
        </w:r>
        <w:r>
          <w:rPr>
            <w:noProof/>
            <w:webHidden/>
          </w:rPr>
          <w:fldChar w:fldCharType="begin"/>
        </w:r>
        <w:r w:rsidR="009E24ED">
          <w:rPr>
            <w:noProof/>
            <w:webHidden/>
          </w:rPr>
          <w:instrText xml:space="preserve"> PAGEREF _Toc383521173 \h </w:instrText>
        </w:r>
        <w:r>
          <w:rPr>
            <w:noProof/>
            <w:webHidden/>
          </w:rPr>
        </w:r>
        <w:r>
          <w:rPr>
            <w:noProof/>
            <w:webHidden/>
          </w:rPr>
          <w:fldChar w:fldCharType="separate"/>
        </w:r>
        <w:r w:rsidR="009E24ED">
          <w:rPr>
            <w:noProof/>
            <w:webHidden/>
          </w:rPr>
          <w:t>38</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74" w:history="1">
        <w:r w:rsidR="009E24ED" w:rsidRPr="00721380">
          <w:rPr>
            <w:rStyle w:val="Hipercze"/>
            <w:noProof/>
          </w:rPr>
          <w:t>3.1.9.</w:t>
        </w:r>
        <w:r w:rsidR="009E24ED">
          <w:rPr>
            <w:rFonts w:asciiTheme="minorHAnsi" w:eastAsiaTheme="minorEastAsia" w:hAnsiTheme="minorHAnsi" w:cstheme="minorBidi"/>
            <w:noProof/>
            <w:lang w:val="pl-PL"/>
          </w:rPr>
          <w:tab/>
        </w:r>
        <w:r w:rsidR="009E24ED" w:rsidRPr="00721380">
          <w:rPr>
            <w:rStyle w:val="Hipercze"/>
            <w:noProof/>
          </w:rPr>
          <w:t>Koncentratory lokalne</w:t>
        </w:r>
        <w:r w:rsidR="009E24ED">
          <w:rPr>
            <w:noProof/>
            <w:webHidden/>
          </w:rPr>
          <w:tab/>
        </w:r>
        <w:r>
          <w:rPr>
            <w:noProof/>
            <w:webHidden/>
          </w:rPr>
          <w:fldChar w:fldCharType="begin"/>
        </w:r>
        <w:r w:rsidR="009E24ED">
          <w:rPr>
            <w:noProof/>
            <w:webHidden/>
          </w:rPr>
          <w:instrText xml:space="preserve"> PAGEREF _Toc383521174 \h </w:instrText>
        </w:r>
        <w:r>
          <w:rPr>
            <w:noProof/>
            <w:webHidden/>
          </w:rPr>
        </w:r>
        <w:r>
          <w:rPr>
            <w:noProof/>
            <w:webHidden/>
          </w:rPr>
          <w:fldChar w:fldCharType="separate"/>
        </w:r>
        <w:r w:rsidR="009E24ED">
          <w:rPr>
            <w:noProof/>
            <w:webHidden/>
          </w:rPr>
          <w:t>38</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75" w:history="1">
        <w:r w:rsidR="009E24ED" w:rsidRPr="00721380">
          <w:rPr>
            <w:rStyle w:val="Hipercze"/>
            <w:noProof/>
          </w:rPr>
          <w:t>Koncentratory lokalne – POTS</w:t>
        </w:r>
        <w:r w:rsidR="009E24ED">
          <w:rPr>
            <w:noProof/>
            <w:webHidden/>
          </w:rPr>
          <w:tab/>
        </w:r>
        <w:r>
          <w:rPr>
            <w:noProof/>
            <w:webHidden/>
          </w:rPr>
          <w:fldChar w:fldCharType="begin"/>
        </w:r>
        <w:r w:rsidR="009E24ED">
          <w:rPr>
            <w:noProof/>
            <w:webHidden/>
          </w:rPr>
          <w:instrText xml:space="preserve"> PAGEREF _Toc383521175 \h </w:instrText>
        </w:r>
        <w:r>
          <w:rPr>
            <w:noProof/>
            <w:webHidden/>
          </w:rPr>
        </w:r>
        <w:r>
          <w:rPr>
            <w:noProof/>
            <w:webHidden/>
          </w:rPr>
          <w:fldChar w:fldCharType="separate"/>
        </w:r>
        <w:r w:rsidR="009E24ED">
          <w:rPr>
            <w:noProof/>
            <w:webHidden/>
          </w:rPr>
          <w:t>38</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76" w:history="1">
        <w:r w:rsidR="009E24ED" w:rsidRPr="00721380">
          <w:rPr>
            <w:rStyle w:val="Hipercze"/>
            <w:noProof/>
            <w:lang w:val="pl-PL"/>
          </w:rPr>
          <w:t>Koncentratory lokalne – ISDN BRA</w:t>
        </w:r>
        <w:r w:rsidR="009E24ED">
          <w:rPr>
            <w:noProof/>
            <w:webHidden/>
          </w:rPr>
          <w:tab/>
        </w:r>
        <w:r>
          <w:rPr>
            <w:noProof/>
            <w:webHidden/>
          </w:rPr>
          <w:fldChar w:fldCharType="begin"/>
        </w:r>
        <w:r w:rsidR="009E24ED">
          <w:rPr>
            <w:noProof/>
            <w:webHidden/>
          </w:rPr>
          <w:instrText xml:space="preserve"> PAGEREF _Toc383521176 \h </w:instrText>
        </w:r>
        <w:r>
          <w:rPr>
            <w:noProof/>
            <w:webHidden/>
          </w:rPr>
        </w:r>
        <w:r>
          <w:rPr>
            <w:noProof/>
            <w:webHidden/>
          </w:rPr>
          <w:fldChar w:fldCharType="separate"/>
        </w:r>
        <w:r w:rsidR="009E24ED">
          <w:rPr>
            <w:noProof/>
            <w:webHidden/>
          </w:rPr>
          <w:t>38</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77" w:history="1">
        <w:r w:rsidR="009E24ED" w:rsidRPr="00721380">
          <w:rPr>
            <w:rStyle w:val="Hipercze"/>
            <w:noProof/>
            <w:lang w:val="pl-PL"/>
          </w:rPr>
          <w:t>Koncentratory lokalne - Ruch</w:t>
        </w:r>
        <w:r w:rsidR="009E24ED">
          <w:rPr>
            <w:noProof/>
            <w:webHidden/>
          </w:rPr>
          <w:tab/>
        </w:r>
        <w:r>
          <w:rPr>
            <w:noProof/>
            <w:webHidden/>
          </w:rPr>
          <w:fldChar w:fldCharType="begin"/>
        </w:r>
        <w:r w:rsidR="009E24ED">
          <w:rPr>
            <w:noProof/>
            <w:webHidden/>
          </w:rPr>
          <w:instrText xml:space="preserve"> PAGEREF _Toc383521177 \h </w:instrText>
        </w:r>
        <w:r>
          <w:rPr>
            <w:noProof/>
            <w:webHidden/>
          </w:rPr>
        </w:r>
        <w:r>
          <w:rPr>
            <w:noProof/>
            <w:webHidden/>
          </w:rPr>
          <w:fldChar w:fldCharType="separate"/>
        </w:r>
        <w:r w:rsidR="009E24ED">
          <w:rPr>
            <w:noProof/>
            <w:webHidden/>
          </w:rPr>
          <w:t>39</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78" w:history="1">
        <w:r w:rsidR="009E24ED" w:rsidRPr="00721380">
          <w:rPr>
            <w:rStyle w:val="Hipercze"/>
            <w:noProof/>
          </w:rPr>
          <w:t>3.1.10.</w:t>
        </w:r>
        <w:r w:rsidR="009E24ED">
          <w:rPr>
            <w:rFonts w:asciiTheme="minorHAnsi" w:eastAsiaTheme="minorEastAsia" w:hAnsiTheme="minorHAnsi" w:cstheme="minorBidi"/>
            <w:noProof/>
            <w:lang w:val="pl-PL"/>
          </w:rPr>
          <w:tab/>
        </w:r>
        <w:r w:rsidR="009E24ED" w:rsidRPr="00721380">
          <w:rPr>
            <w:rStyle w:val="Hipercze"/>
            <w:noProof/>
          </w:rPr>
          <w:t>Centrale lokalne</w:t>
        </w:r>
        <w:r w:rsidR="009E24ED">
          <w:rPr>
            <w:noProof/>
            <w:webHidden/>
          </w:rPr>
          <w:tab/>
        </w:r>
        <w:r>
          <w:rPr>
            <w:noProof/>
            <w:webHidden/>
          </w:rPr>
          <w:fldChar w:fldCharType="begin"/>
        </w:r>
        <w:r w:rsidR="009E24ED">
          <w:rPr>
            <w:noProof/>
            <w:webHidden/>
          </w:rPr>
          <w:instrText xml:space="preserve"> PAGEREF _Toc383521178 \h </w:instrText>
        </w:r>
        <w:r>
          <w:rPr>
            <w:noProof/>
            <w:webHidden/>
          </w:rPr>
        </w:r>
        <w:r>
          <w:rPr>
            <w:noProof/>
            <w:webHidden/>
          </w:rPr>
          <w:fldChar w:fldCharType="separate"/>
        </w:r>
        <w:r w:rsidR="009E24ED">
          <w:rPr>
            <w:noProof/>
            <w:webHidden/>
          </w:rPr>
          <w:t>39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79" w:history="1">
        <w:r w:rsidR="009E24ED" w:rsidRPr="00721380">
          <w:rPr>
            <w:rStyle w:val="Hipercze"/>
            <w:noProof/>
            <w:lang w:val="pl-PL"/>
          </w:rPr>
          <w:t>Centrale lokalne – POTS</w:t>
        </w:r>
        <w:r w:rsidR="009E24ED">
          <w:rPr>
            <w:noProof/>
            <w:webHidden/>
          </w:rPr>
          <w:tab/>
        </w:r>
        <w:r>
          <w:rPr>
            <w:noProof/>
            <w:webHidden/>
          </w:rPr>
          <w:fldChar w:fldCharType="begin"/>
        </w:r>
        <w:r w:rsidR="009E24ED">
          <w:rPr>
            <w:noProof/>
            <w:webHidden/>
          </w:rPr>
          <w:instrText xml:space="preserve"> PAGEREF _Toc383521179 \h </w:instrText>
        </w:r>
        <w:r>
          <w:rPr>
            <w:noProof/>
            <w:webHidden/>
          </w:rPr>
        </w:r>
        <w:r>
          <w:rPr>
            <w:noProof/>
            <w:webHidden/>
          </w:rPr>
          <w:fldChar w:fldCharType="separate"/>
        </w:r>
        <w:r w:rsidR="009E24ED">
          <w:rPr>
            <w:noProof/>
            <w:webHidden/>
          </w:rPr>
          <w:t>39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0" w:history="1">
        <w:r w:rsidR="009E24ED" w:rsidRPr="00721380">
          <w:rPr>
            <w:rStyle w:val="Hipercze"/>
            <w:noProof/>
            <w:lang w:val="pl-PL"/>
          </w:rPr>
          <w:t>Centrale lokalne – ISDN BRA</w:t>
        </w:r>
        <w:r w:rsidR="009E24ED">
          <w:rPr>
            <w:noProof/>
            <w:webHidden/>
          </w:rPr>
          <w:tab/>
        </w:r>
        <w:r>
          <w:rPr>
            <w:noProof/>
            <w:webHidden/>
          </w:rPr>
          <w:fldChar w:fldCharType="begin"/>
        </w:r>
        <w:r w:rsidR="009E24ED">
          <w:rPr>
            <w:noProof/>
            <w:webHidden/>
          </w:rPr>
          <w:instrText xml:space="preserve"> PAGEREF _Toc383521180 \h </w:instrText>
        </w:r>
        <w:r>
          <w:rPr>
            <w:noProof/>
            <w:webHidden/>
          </w:rPr>
        </w:r>
        <w:r>
          <w:rPr>
            <w:noProof/>
            <w:webHidden/>
          </w:rPr>
          <w:fldChar w:fldCharType="separate"/>
        </w:r>
        <w:r w:rsidR="009E24ED">
          <w:rPr>
            <w:noProof/>
            <w:webHidden/>
          </w:rPr>
          <w:t>39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1" w:history="1">
        <w:r w:rsidR="009E24ED" w:rsidRPr="00721380">
          <w:rPr>
            <w:rStyle w:val="Hipercze"/>
            <w:noProof/>
            <w:lang w:val="pl-PL"/>
          </w:rPr>
          <w:t>Centrale lokalne - Ruch</w:t>
        </w:r>
        <w:r w:rsidR="009E24ED">
          <w:rPr>
            <w:noProof/>
            <w:webHidden/>
          </w:rPr>
          <w:tab/>
        </w:r>
        <w:r>
          <w:rPr>
            <w:noProof/>
            <w:webHidden/>
          </w:rPr>
          <w:fldChar w:fldCharType="begin"/>
        </w:r>
        <w:r w:rsidR="009E24ED">
          <w:rPr>
            <w:noProof/>
            <w:webHidden/>
          </w:rPr>
          <w:instrText xml:space="preserve"> PAGEREF _Toc383521181 \h </w:instrText>
        </w:r>
        <w:r>
          <w:rPr>
            <w:noProof/>
            <w:webHidden/>
          </w:rPr>
        </w:r>
        <w:r>
          <w:rPr>
            <w:noProof/>
            <w:webHidden/>
          </w:rPr>
          <w:fldChar w:fldCharType="separate"/>
        </w:r>
        <w:r w:rsidR="009E24ED">
          <w:rPr>
            <w:noProof/>
            <w:webHidden/>
          </w:rPr>
          <w:t>39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2" w:history="1">
        <w:r w:rsidR="009E24ED" w:rsidRPr="00721380">
          <w:rPr>
            <w:rStyle w:val="Hipercze"/>
            <w:noProof/>
            <w:lang w:val="pl-PL"/>
          </w:rPr>
          <w:t>Centrale lokalne - Porty</w:t>
        </w:r>
        <w:r w:rsidR="009E24ED">
          <w:rPr>
            <w:noProof/>
            <w:webHidden/>
          </w:rPr>
          <w:tab/>
        </w:r>
        <w:r>
          <w:rPr>
            <w:noProof/>
            <w:webHidden/>
          </w:rPr>
          <w:fldChar w:fldCharType="begin"/>
        </w:r>
        <w:r w:rsidR="009E24ED">
          <w:rPr>
            <w:noProof/>
            <w:webHidden/>
          </w:rPr>
          <w:instrText xml:space="preserve"> PAGEREF _Toc383521182 \h </w:instrText>
        </w:r>
        <w:r>
          <w:rPr>
            <w:noProof/>
            <w:webHidden/>
          </w:rPr>
        </w:r>
        <w:r>
          <w:rPr>
            <w:noProof/>
            <w:webHidden/>
          </w:rPr>
          <w:fldChar w:fldCharType="separate"/>
        </w:r>
        <w:r w:rsidR="009E24ED">
          <w:rPr>
            <w:noProof/>
            <w:webHidden/>
          </w:rPr>
          <w:t>39</w:t>
        </w:r>
        <w:r>
          <w:rPr>
            <w:noProof/>
            <w:webHidden/>
          </w:rPr>
          <w:fldChar w:fldCharType="end"/>
        </w:r>
      </w:hyperlink>
    </w:p>
    <w:p w:rsidR="009E24ED" w:rsidRDefault="00977728">
      <w:pPr>
        <w:pStyle w:val="Spistreci2"/>
        <w:tabs>
          <w:tab w:val="left" w:pos="1021"/>
          <w:tab w:val="right" w:leader="dot" w:pos="9062"/>
        </w:tabs>
        <w:rPr>
          <w:rFonts w:asciiTheme="minorHAnsi" w:eastAsiaTheme="minorEastAsia" w:hAnsiTheme="minorHAnsi" w:cstheme="minorBidi"/>
          <w:b w:val="0"/>
          <w:bCs w:val="0"/>
          <w:noProof/>
          <w:lang w:val="pl-PL"/>
        </w:rPr>
      </w:pPr>
      <w:hyperlink w:anchor="_Toc383521183" w:history="1">
        <w:r w:rsidR="009E24ED" w:rsidRPr="00721380">
          <w:rPr>
            <w:rStyle w:val="Hipercze"/>
            <w:noProof/>
            <w:lang w:val="pl-PL"/>
          </w:rPr>
          <w:t>3.1.11</w:t>
        </w:r>
        <w:r w:rsidR="009E24ED">
          <w:rPr>
            <w:rFonts w:asciiTheme="minorHAnsi" w:eastAsiaTheme="minorEastAsia" w:hAnsiTheme="minorHAnsi" w:cstheme="minorBidi"/>
            <w:b w:val="0"/>
            <w:bCs w:val="0"/>
            <w:noProof/>
            <w:lang w:val="pl-PL"/>
          </w:rPr>
          <w:tab/>
        </w:r>
        <w:r w:rsidR="009E24ED" w:rsidRPr="00721380">
          <w:rPr>
            <w:rStyle w:val="Hipercze"/>
            <w:noProof/>
            <w:lang w:val="pl-PL"/>
          </w:rPr>
          <w:t>Centrale końcowo - tranzytowe</w:t>
        </w:r>
        <w:r w:rsidR="009E24ED">
          <w:rPr>
            <w:noProof/>
            <w:webHidden/>
          </w:rPr>
          <w:tab/>
        </w:r>
        <w:r>
          <w:rPr>
            <w:noProof/>
            <w:webHidden/>
          </w:rPr>
          <w:fldChar w:fldCharType="begin"/>
        </w:r>
        <w:r w:rsidR="009E24ED">
          <w:rPr>
            <w:noProof/>
            <w:webHidden/>
          </w:rPr>
          <w:instrText xml:space="preserve"> PAGEREF _Toc383521183 \h </w:instrText>
        </w:r>
        <w:r>
          <w:rPr>
            <w:noProof/>
            <w:webHidden/>
          </w:rPr>
        </w:r>
        <w:r>
          <w:rPr>
            <w:noProof/>
            <w:webHidden/>
          </w:rPr>
          <w:fldChar w:fldCharType="separate"/>
        </w:r>
        <w:r w:rsidR="009E24ED">
          <w:rPr>
            <w:noProof/>
            <w:webHidden/>
          </w:rPr>
          <w:t>40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4" w:history="1">
        <w:r w:rsidR="009E24ED" w:rsidRPr="00721380">
          <w:rPr>
            <w:rStyle w:val="Hipercze"/>
            <w:noProof/>
            <w:lang w:val="pl-PL"/>
          </w:rPr>
          <w:t>Centrale CKT – POTS</w:t>
        </w:r>
        <w:r w:rsidR="009E24ED">
          <w:rPr>
            <w:noProof/>
            <w:webHidden/>
          </w:rPr>
          <w:tab/>
        </w:r>
        <w:r>
          <w:rPr>
            <w:noProof/>
            <w:webHidden/>
          </w:rPr>
          <w:fldChar w:fldCharType="begin"/>
        </w:r>
        <w:r w:rsidR="009E24ED">
          <w:rPr>
            <w:noProof/>
            <w:webHidden/>
          </w:rPr>
          <w:instrText xml:space="preserve"> PAGEREF _Toc383521184 \h </w:instrText>
        </w:r>
        <w:r>
          <w:rPr>
            <w:noProof/>
            <w:webHidden/>
          </w:rPr>
        </w:r>
        <w:r>
          <w:rPr>
            <w:noProof/>
            <w:webHidden/>
          </w:rPr>
          <w:fldChar w:fldCharType="separate"/>
        </w:r>
        <w:r w:rsidR="009E24ED">
          <w:rPr>
            <w:noProof/>
            <w:webHidden/>
          </w:rPr>
          <w:t>40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5" w:history="1">
        <w:r w:rsidR="009E24ED" w:rsidRPr="00721380">
          <w:rPr>
            <w:rStyle w:val="Hipercze"/>
            <w:noProof/>
            <w:lang w:val="pl-PL"/>
          </w:rPr>
          <w:t>Centrale CKT – ISDN BRA</w:t>
        </w:r>
        <w:r w:rsidR="009E24ED">
          <w:rPr>
            <w:noProof/>
            <w:webHidden/>
          </w:rPr>
          <w:tab/>
        </w:r>
        <w:r>
          <w:rPr>
            <w:noProof/>
            <w:webHidden/>
          </w:rPr>
          <w:fldChar w:fldCharType="begin"/>
        </w:r>
        <w:r w:rsidR="009E24ED">
          <w:rPr>
            <w:noProof/>
            <w:webHidden/>
          </w:rPr>
          <w:instrText xml:space="preserve"> PAGEREF _Toc383521185 \h </w:instrText>
        </w:r>
        <w:r>
          <w:rPr>
            <w:noProof/>
            <w:webHidden/>
          </w:rPr>
        </w:r>
        <w:r>
          <w:rPr>
            <w:noProof/>
            <w:webHidden/>
          </w:rPr>
          <w:fldChar w:fldCharType="separate"/>
        </w:r>
        <w:r w:rsidR="009E24ED">
          <w:rPr>
            <w:noProof/>
            <w:webHidden/>
          </w:rPr>
          <w:t>40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6" w:history="1">
        <w:r w:rsidR="009E24ED" w:rsidRPr="00721380">
          <w:rPr>
            <w:rStyle w:val="Hipercze"/>
            <w:noProof/>
            <w:lang w:val="pl-PL"/>
          </w:rPr>
          <w:t>Centrale CKT - Ruch</w:t>
        </w:r>
        <w:r w:rsidR="009E24ED">
          <w:rPr>
            <w:noProof/>
            <w:webHidden/>
          </w:rPr>
          <w:tab/>
        </w:r>
        <w:r>
          <w:rPr>
            <w:noProof/>
            <w:webHidden/>
          </w:rPr>
          <w:fldChar w:fldCharType="begin"/>
        </w:r>
        <w:r w:rsidR="009E24ED">
          <w:rPr>
            <w:noProof/>
            <w:webHidden/>
          </w:rPr>
          <w:instrText xml:space="preserve"> PAGEREF _Toc383521186 \h </w:instrText>
        </w:r>
        <w:r>
          <w:rPr>
            <w:noProof/>
            <w:webHidden/>
          </w:rPr>
        </w:r>
        <w:r>
          <w:rPr>
            <w:noProof/>
            <w:webHidden/>
          </w:rPr>
          <w:fldChar w:fldCharType="separate"/>
        </w:r>
        <w:r w:rsidR="009E24ED">
          <w:rPr>
            <w:noProof/>
            <w:webHidden/>
          </w:rPr>
          <w:t>40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7" w:history="1">
        <w:r w:rsidR="009E24ED" w:rsidRPr="00721380">
          <w:rPr>
            <w:rStyle w:val="Hipercze"/>
            <w:noProof/>
            <w:lang w:val="pl-PL"/>
          </w:rPr>
          <w:t>Centrale CKT – Porty</w:t>
        </w:r>
        <w:r w:rsidR="009E24ED">
          <w:rPr>
            <w:noProof/>
            <w:webHidden/>
          </w:rPr>
          <w:tab/>
        </w:r>
        <w:r>
          <w:rPr>
            <w:noProof/>
            <w:webHidden/>
          </w:rPr>
          <w:fldChar w:fldCharType="begin"/>
        </w:r>
        <w:r w:rsidR="009E24ED">
          <w:rPr>
            <w:noProof/>
            <w:webHidden/>
          </w:rPr>
          <w:instrText xml:space="preserve"> PAGEREF _Toc383521187 \h </w:instrText>
        </w:r>
        <w:r>
          <w:rPr>
            <w:noProof/>
            <w:webHidden/>
          </w:rPr>
        </w:r>
        <w:r>
          <w:rPr>
            <w:noProof/>
            <w:webHidden/>
          </w:rPr>
          <w:fldChar w:fldCharType="separate"/>
        </w:r>
        <w:r w:rsidR="009E24ED">
          <w:rPr>
            <w:noProof/>
            <w:webHidden/>
          </w:rPr>
          <w:t>40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88" w:history="1">
        <w:r w:rsidR="009E24ED" w:rsidRPr="00721380">
          <w:rPr>
            <w:rStyle w:val="Hipercze"/>
            <w:noProof/>
            <w:lang w:val="pl-PL"/>
          </w:rPr>
          <w:t>Centrale CKT – IN</w:t>
        </w:r>
        <w:r w:rsidR="009E24ED">
          <w:rPr>
            <w:noProof/>
            <w:webHidden/>
          </w:rPr>
          <w:tab/>
        </w:r>
        <w:r>
          <w:rPr>
            <w:noProof/>
            <w:webHidden/>
          </w:rPr>
          <w:fldChar w:fldCharType="begin"/>
        </w:r>
        <w:r w:rsidR="009E24ED">
          <w:rPr>
            <w:noProof/>
            <w:webHidden/>
          </w:rPr>
          <w:instrText xml:space="preserve"> PAGEREF _Toc383521188 \h </w:instrText>
        </w:r>
        <w:r>
          <w:rPr>
            <w:noProof/>
            <w:webHidden/>
          </w:rPr>
        </w:r>
        <w:r>
          <w:rPr>
            <w:noProof/>
            <w:webHidden/>
          </w:rPr>
          <w:fldChar w:fldCharType="separate"/>
        </w:r>
        <w:r w:rsidR="009E24ED">
          <w:rPr>
            <w:noProof/>
            <w:webHidden/>
          </w:rPr>
          <w:t>41</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89" w:history="1">
        <w:r w:rsidR="009E24ED" w:rsidRPr="00721380">
          <w:rPr>
            <w:rStyle w:val="Hipercze"/>
            <w:noProof/>
          </w:rPr>
          <w:t>3.1.12.</w:t>
        </w:r>
        <w:r w:rsidR="009E24ED">
          <w:rPr>
            <w:rFonts w:asciiTheme="minorHAnsi" w:eastAsiaTheme="minorEastAsia" w:hAnsiTheme="minorHAnsi" w:cstheme="minorBidi"/>
            <w:noProof/>
            <w:lang w:val="pl-PL"/>
          </w:rPr>
          <w:tab/>
        </w:r>
        <w:r w:rsidR="009E24ED" w:rsidRPr="00721380">
          <w:rPr>
            <w:rStyle w:val="Hipercze"/>
            <w:noProof/>
          </w:rPr>
          <w:t>Centrale tranzytowe</w:t>
        </w:r>
        <w:r w:rsidR="009E24ED">
          <w:rPr>
            <w:noProof/>
            <w:webHidden/>
          </w:rPr>
          <w:tab/>
        </w:r>
        <w:r>
          <w:rPr>
            <w:noProof/>
            <w:webHidden/>
          </w:rPr>
          <w:fldChar w:fldCharType="begin"/>
        </w:r>
        <w:r w:rsidR="009E24ED">
          <w:rPr>
            <w:noProof/>
            <w:webHidden/>
          </w:rPr>
          <w:instrText xml:space="preserve"> PAGEREF _Toc383521189 \h </w:instrText>
        </w:r>
        <w:r>
          <w:rPr>
            <w:noProof/>
            <w:webHidden/>
          </w:rPr>
        </w:r>
        <w:r>
          <w:rPr>
            <w:noProof/>
            <w:webHidden/>
          </w:rPr>
          <w:fldChar w:fldCharType="separate"/>
        </w:r>
        <w:r w:rsidR="009E24ED">
          <w:rPr>
            <w:noProof/>
            <w:webHidden/>
          </w:rPr>
          <w:t>41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0" w:history="1">
        <w:r w:rsidR="009E24ED" w:rsidRPr="00721380">
          <w:rPr>
            <w:rStyle w:val="Hipercze"/>
            <w:noProof/>
            <w:lang w:val="pl-PL"/>
          </w:rPr>
          <w:t>Centrale CT – POTS</w:t>
        </w:r>
        <w:r w:rsidR="009E24ED">
          <w:rPr>
            <w:noProof/>
            <w:webHidden/>
          </w:rPr>
          <w:tab/>
        </w:r>
        <w:r>
          <w:rPr>
            <w:noProof/>
            <w:webHidden/>
          </w:rPr>
          <w:fldChar w:fldCharType="begin"/>
        </w:r>
        <w:r w:rsidR="009E24ED">
          <w:rPr>
            <w:noProof/>
            <w:webHidden/>
          </w:rPr>
          <w:instrText xml:space="preserve"> PAGEREF _Toc383521190 \h </w:instrText>
        </w:r>
        <w:r>
          <w:rPr>
            <w:noProof/>
            <w:webHidden/>
          </w:rPr>
        </w:r>
        <w:r>
          <w:rPr>
            <w:noProof/>
            <w:webHidden/>
          </w:rPr>
          <w:fldChar w:fldCharType="separate"/>
        </w:r>
        <w:r w:rsidR="009E24ED">
          <w:rPr>
            <w:noProof/>
            <w:webHidden/>
          </w:rPr>
          <w:t>41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1" w:history="1">
        <w:r w:rsidR="009E24ED" w:rsidRPr="00721380">
          <w:rPr>
            <w:rStyle w:val="Hipercze"/>
            <w:noProof/>
            <w:lang w:val="pl-PL"/>
          </w:rPr>
          <w:t>Centrale CT – ISDN BRA</w:t>
        </w:r>
        <w:r w:rsidR="009E24ED">
          <w:rPr>
            <w:noProof/>
            <w:webHidden/>
          </w:rPr>
          <w:tab/>
        </w:r>
        <w:r>
          <w:rPr>
            <w:noProof/>
            <w:webHidden/>
          </w:rPr>
          <w:fldChar w:fldCharType="begin"/>
        </w:r>
        <w:r w:rsidR="009E24ED">
          <w:rPr>
            <w:noProof/>
            <w:webHidden/>
          </w:rPr>
          <w:instrText xml:space="preserve"> PAGEREF _Toc383521191 \h </w:instrText>
        </w:r>
        <w:r>
          <w:rPr>
            <w:noProof/>
            <w:webHidden/>
          </w:rPr>
        </w:r>
        <w:r>
          <w:rPr>
            <w:noProof/>
            <w:webHidden/>
          </w:rPr>
          <w:fldChar w:fldCharType="separate"/>
        </w:r>
        <w:r w:rsidR="009E24ED">
          <w:rPr>
            <w:noProof/>
            <w:webHidden/>
          </w:rPr>
          <w:t>41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2" w:history="1">
        <w:r w:rsidR="009E24ED" w:rsidRPr="00721380">
          <w:rPr>
            <w:rStyle w:val="Hipercze"/>
            <w:noProof/>
            <w:lang w:val="pl-PL"/>
          </w:rPr>
          <w:t>Centrale CT - Ruch</w:t>
        </w:r>
        <w:r w:rsidR="009E24ED">
          <w:rPr>
            <w:noProof/>
            <w:webHidden/>
          </w:rPr>
          <w:tab/>
        </w:r>
        <w:r>
          <w:rPr>
            <w:noProof/>
            <w:webHidden/>
          </w:rPr>
          <w:fldChar w:fldCharType="begin"/>
        </w:r>
        <w:r w:rsidR="009E24ED">
          <w:rPr>
            <w:noProof/>
            <w:webHidden/>
          </w:rPr>
          <w:instrText xml:space="preserve"> PAGEREF _Toc383521192 \h </w:instrText>
        </w:r>
        <w:r>
          <w:rPr>
            <w:noProof/>
            <w:webHidden/>
          </w:rPr>
        </w:r>
        <w:r>
          <w:rPr>
            <w:noProof/>
            <w:webHidden/>
          </w:rPr>
          <w:fldChar w:fldCharType="separate"/>
        </w:r>
        <w:r w:rsidR="009E24ED">
          <w:rPr>
            <w:noProof/>
            <w:webHidden/>
          </w:rPr>
          <w:t>41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3" w:history="1">
        <w:r w:rsidR="009E24ED" w:rsidRPr="00721380">
          <w:rPr>
            <w:rStyle w:val="Hipercze"/>
            <w:noProof/>
            <w:lang w:val="pl-PL"/>
          </w:rPr>
          <w:t>Centrale CT – Porty</w:t>
        </w:r>
        <w:r w:rsidR="009E24ED">
          <w:rPr>
            <w:noProof/>
            <w:webHidden/>
          </w:rPr>
          <w:tab/>
        </w:r>
        <w:r>
          <w:rPr>
            <w:noProof/>
            <w:webHidden/>
          </w:rPr>
          <w:fldChar w:fldCharType="begin"/>
        </w:r>
        <w:r w:rsidR="009E24ED">
          <w:rPr>
            <w:noProof/>
            <w:webHidden/>
          </w:rPr>
          <w:instrText xml:space="preserve"> PAGEREF _Toc383521193 \h </w:instrText>
        </w:r>
        <w:r>
          <w:rPr>
            <w:noProof/>
            <w:webHidden/>
          </w:rPr>
        </w:r>
        <w:r>
          <w:rPr>
            <w:noProof/>
            <w:webHidden/>
          </w:rPr>
          <w:fldChar w:fldCharType="separate"/>
        </w:r>
        <w:r w:rsidR="009E24ED">
          <w:rPr>
            <w:noProof/>
            <w:webHidden/>
          </w:rPr>
          <w:t>42</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4" w:history="1">
        <w:r w:rsidR="009E24ED" w:rsidRPr="00721380">
          <w:rPr>
            <w:rStyle w:val="Hipercze"/>
            <w:noProof/>
            <w:lang w:val="pl-PL"/>
          </w:rPr>
          <w:t>Centrale CT – IN</w:t>
        </w:r>
        <w:r w:rsidR="009E24ED">
          <w:rPr>
            <w:noProof/>
            <w:webHidden/>
          </w:rPr>
          <w:tab/>
        </w:r>
        <w:r>
          <w:rPr>
            <w:noProof/>
            <w:webHidden/>
          </w:rPr>
          <w:fldChar w:fldCharType="begin"/>
        </w:r>
        <w:r w:rsidR="009E24ED">
          <w:rPr>
            <w:noProof/>
            <w:webHidden/>
          </w:rPr>
          <w:instrText xml:space="preserve"> PAGEREF _Toc383521194 \h </w:instrText>
        </w:r>
        <w:r>
          <w:rPr>
            <w:noProof/>
            <w:webHidden/>
          </w:rPr>
        </w:r>
        <w:r>
          <w:rPr>
            <w:noProof/>
            <w:webHidden/>
          </w:rPr>
          <w:fldChar w:fldCharType="separate"/>
        </w:r>
        <w:r w:rsidR="009E24ED">
          <w:rPr>
            <w:noProof/>
            <w:webHidden/>
          </w:rPr>
          <w:t>42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95" w:history="1">
        <w:r w:rsidR="009E24ED" w:rsidRPr="00721380">
          <w:rPr>
            <w:rStyle w:val="Hipercze"/>
            <w:noProof/>
          </w:rPr>
          <w:t>3.1.13.</w:t>
        </w:r>
        <w:r w:rsidR="009E24ED">
          <w:rPr>
            <w:rFonts w:asciiTheme="minorHAnsi" w:eastAsiaTheme="minorEastAsia" w:hAnsiTheme="minorHAnsi" w:cstheme="minorBidi"/>
            <w:noProof/>
            <w:lang w:val="pl-PL"/>
          </w:rPr>
          <w:tab/>
        </w:r>
        <w:r w:rsidR="009E24ED" w:rsidRPr="00721380">
          <w:rPr>
            <w:rStyle w:val="Hipercze"/>
            <w:noProof/>
          </w:rPr>
          <w:t>Centrale międzynarodowe</w:t>
        </w:r>
        <w:r w:rsidR="009E24ED">
          <w:rPr>
            <w:noProof/>
            <w:webHidden/>
          </w:rPr>
          <w:tab/>
        </w:r>
        <w:r>
          <w:rPr>
            <w:noProof/>
            <w:webHidden/>
          </w:rPr>
          <w:fldChar w:fldCharType="begin"/>
        </w:r>
        <w:r w:rsidR="009E24ED">
          <w:rPr>
            <w:noProof/>
            <w:webHidden/>
          </w:rPr>
          <w:instrText xml:space="preserve"> PAGEREF _Toc383521195 \h </w:instrText>
        </w:r>
        <w:r>
          <w:rPr>
            <w:noProof/>
            <w:webHidden/>
          </w:rPr>
        </w:r>
        <w:r>
          <w:rPr>
            <w:noProof/>
            <w:webHidden/>
          </w:rPr>
          <w:fldChar w:fldCharType="separate"/>
        </w:r>
        <w:r w:rsidR="009E24ED">
          <w:rPr>
            <w:noProof/>
            <w:webHidden/>
          </w:rPr>
          <w:t>42</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6" w:history="1">
        <w:r w:rsidR="009E24ED" w:rsidRPr="00721380">
          <w:rPr>
            <w:rStyle w:val="Hipercze"/>
            <w:noProof/>
            <w:lang w:val="pl-PL"/>
          </w:rPr>
          <w:t>Centrale CMN - Ruch</w:t>
        </w:r>
        <w:r w:rsidR="009E24ED">
          <w:rPr>
            <w:noProof/>
            <w:webHidden/>
          </w:rPr>
          <w:tab/>
        </w:r>
        <w:r>
          <w:rPr>
            <w:noProof/>
            <w:webHidden/>
          </w:rPr>
          <w:fldChar w:fldCharType="begin"/>
        </w:r>
        <w:r w:rsidR="009E24ED">
          <w:rPr>
            <w:noProof/>
            <w:webHidden/>
          </w:rPr>
          <w:instrText xml:space="preserve"> PAGEREF _Toc383521196 \h </w:instrText>
        </w:r>
        <w:r>
          <w:rPr>
            <w:noProof/>
            <w:webHidden/>
          </w:rPr>
        </w:r>
        <w:r>
          <w:rPr>
            <w:noProof/>
            <w:webHidden/>
          </w:rPr>
          <w:fldChar w:fldCharType="separate"/>
        </w:r>
        <w:r w:rsidR="009E24ED">
          <w:rPr>
            <w:noProof/>
            <w:webHidden/>
          </w:rPr>
          <w:t>42</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7" w:history="1">
        <w:r w:rsidR="009E24ED" w:rsidRPr="00721380">
          <w:rPr>
            <w:rStyle w:val="Hipercze"/>
            <w:noProof/>
            <w:lang w:val="pl-PL"/>
          </w:rPr>
          <w:t>Centrale CMN – Porty</w:t>
        </w:r>
        <w:r w:rsidR="009E24ED">
          <w:rPr>
            <w:noProof/>
            <w:webHidden/>
          </w:rPr>
          <w:tab/>
        </w:r>
        <w:r>
          <w:rPr>
            <w:noProof/>
            <w:webHidden/>
          </w:rPr>
          <w:fldChar w:fldCharType="begin"/>
        </w:r>
        <w:r w:rsidR="009E24ED">
          <w:rPr>
            <w:noProof/>
            <w:webHidden/>
          </w:rPr>
          <w:instrText xml:space="preserve"> PAGEREF _Toc383521197 \h </w:instrText>
        </w:r>
        <w:r>
          <w:rPr>
            <w:noProof/>
            <w:webHidden/>
          </w:rPr>
        </w:r>
        <w:r>
          <w:rPr>
            <w:noProof/>
            <w:webHidden/>
          </w:rPr>
          <w:fldChar w:fldCharType="separate"/>
        </w:r>
        <w:r w:rsidR="009E24ED">
          <w:rPr>
            <w:noProof/>
            <w:webHidden/>
          </w:rPr>
          <w:t>42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198" w:history="1">
        <w:r w:rsidR="009E24ED" w:rsidRPr="00721380">
          <w:rPr>
            <w:rStyle w:val="Hipercze"/>
            <w:noProof/>
          </w:rPr>
          <w:t>3.1.14.</w:t>
        </w:r>
        <w:r w:rsidR="009E24ED">
          <w:rPr>
            <w:rFonts w:asciiTheme="minorHAnsi" w:eastAsiaTheme="minorEastAsia" w:hAnsiTheme="minorHAnsi" w:cstheme="minorBidi"/>
            <w:noProof/>
            <w:lang w:val="pl-PL"/>
          </w:rPr>
          <w:tab/>
        </w:r>
        <w:r w:rsidR="009E24ED" w:rsidRPr="00721380">
          <w:rPr>
            <w:rStyle w:val="Hipercze"/>
            <w:noProof/>
          </w:rPr>
          <w:t>Systemy nadzoru</w:t>
        </w:r>
        <w:r w:rsidR="009E24ED">
          <w:rPr>
            <w:noProof/>
            <w:webHidden/>
          </w:rPr>
          <w:tab/>
        </w:r>
        <w:r>
          <w:rPr>
            <w:noProof/>
            <w:webHidden/>
          </w:rPr>
          <w:fldChar w:fldCharType="begin"/>
        </w:r>
        <w:r w:rsidR="009E24ED">
          <w:rPr>
            <w:noProof/>
            <w:webHidden/>
          </w:rPr>
          <w:instrText xml:space="preserve"> PAGEREF _Toc383521198 \h </w:instrText>
        </w:r>
        <w:r>
          <w:rPr>
            <w:noProof/>
            <w:webHidden/>
          </w:rPr>
        </w:r>
        <w:r>
          <w:rPr>
            <w:noProof/>
            <w:webHidden/>
          </w:rPr>
          <w:fldChar w:fldCharType="separate"/>
        </w:r>
        <w:r w:rsidR="009E24ED">
          <w:rPr>
            <w:noProof/>
            <w:webHidden/>
          </w:rPr>
          <w:t>42</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199" w:history="1">
        <w:r w:rsidR="009E24ED" w:rsidRPr="00721380">
          <w:rPr>
            <w:rStyle w:val="Hipercze"/>
            <w:noProof/>
          </w:rPr>
          <w:t>Systemy nadzoru - komutacja</w:t>
        </w:r>
        <w:r w:rsidR="009E24ED">
          <w:rPr>
            <w:noProof/>
            <w:webHidden/>
          </w:rPr>
          <w:tab/>
        </w:r>
        <w:r>
          <w:rPr>
            <w:noProof/>
            <w:webHidden/>
          </w:rPr>
          <w:fldChar w:fldCharType="begin"/>
        </w:r>
        <w:r w:rsidR="009E24ED">
          <w:rPr>
            <w:noProof/>
            <w:webHidden/>
          </w:rPr>
          <w:instrText xml:space="preserve"> PAGEREF _Toc383521199 \h </w:instrText>
        </w:r>
        <w:r>
          <w:rPr>
            <w:noProof/>
            <w:webHidden/>
          </w:rPr>
        </w:r>
        <w:r>
          <w:rPr>
            <w:noProof/>
            <w:webHidden/>
          </w:rPr>
          <w:fldChar w:fldCharType="separate"/>
        </w:r>
        <w:r w:rsidR="009E24ED">
          <w:rPr>
            <w:noProof/>
            <w:webHidden/>
          </w:rPr>
          <w:t>42</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0" w:history="1">
        <w:r w:rsidR="009E24ED" w:rsidRPr="00721380">
          <w:rPr>
            <w:rStyle w:val="Hipercze"/>
            <w:noProof/>
            <w:lang w:val="pl-PL"/>
          </w:rPr>
          <w:t>System zarządzania ruchem</w:t>
        </w:r>
        <w:r w:rsidR="009E24ED">
          <w:rPr>
            <w:noProof/>
            <w:webHidden/>
          </w:rPr>
          <w:tab/>
        </w:r>
        <w:r>
          <w:rPr>
            <w:noProof/>
            <w:webHidden/>
          </w:rPr>
          <w:fldChar w:fldCharType="begin"/>
        </w:r>
        <w:r w:rsidR="009E24ED">
          <w:rPr>
            <w:noProof/>
            <w:webHidden/>
          </w:rPr>
          <w:instrText xml:space="preserve"> PAGEREF _Toc383521200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1" w:history="1">
        <w:r w:rsidR="009E24ED" w:rsidRPr="00721380">
          <w:rPr>
            <w:rStyle w:val="Hipercze"/>
            <w:noProof/>
            <w:lang w:val="pl-PL"/>
          </w:rPr>
          <w:t>System zarządzania WLR</w:t>
        </w:r>
        <w:r w:rsidR="009E24ED">
          <w:rPr>
            <w:noProof/>
            <w:webHidden/>
          </w:rPr>
          <w:tab/>
        </w:r>
        <w:r>
          <w:rPr>
            <w:noProof/>
            <w:webHidden/>
          </w:rPr>
          <w:fldChar w:fldCharType="begin"/>
        </w:r>
        <w:r w:rsidR="009E24ED">
          <w:rPr>
            <w:noProof/>
            <w:webHidden/>
          </w:rPr>
          <w:instrText xml:space="preserve"> PAGEREF _Toc383521201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02" w:history="1">
        <w:r w:rsidR="009E24ED" w:rsidRPr="00721380">
          <w:rPr>
            <w:rStyle w:val="Hipercze"/>
            <w:noProof/>
          </w:rPr>
          <w:t>3.1.15.</w:t>
        </w:r>
        <w:r w:rsidR="009E24ED">
          <w:rPr>
            <w:rFonts w:asciiTheme="minorHAnsi" w:eastAsiaTheme="minorEastAsia" w:hAnsiTheme="minorHAnsi" w:cstheme="minorBidi"/>
            <w:noProof/>
            <w:lang w:val="pl-PL"/>
          </w:rPr>
          <w:tab/>
        </w:r>
        <w:r w:rsidR="009E24ED" w:rsidRPr="00721380">
          <w:rPr>
            <w:rStyle w:val="Hipercze"/>
            <w:noProof/>
          </w:rPr>
          <w:t>Komutacja – pozostałe urządzenia</w:t>
        </w:r>
        <w:r w:rsidR="009E24ED">
          <w:rPr>
            <w:noProof/>
            <w:webHidden/>
          </w:rPr>
          <w:tab/>
        </w:r>
        <w:r>
          <w:rPr>
            <w:noProof/>
            <w:webHidden/>
          </w:rPr>
          <w:fldChar w:fldCharType="begin"/>
        </w:r>
        <w:r w:rsidR="009E24ED">
          <w:rPr>
            <w:noProof/>
            <w:webHidden/>
          </w:rPr>
          <w:instrText xml:space="preserve"> PAGEREF _Toc383521202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3" w:history="1">
        <w:r w:rsidR="009E24ED" w:rsidRPr="00721380">
          <w:rPr>
            <w:rStyle w:val="Hipercze"/>
            <w:noProof/>
          </w:rPr>
          <w:t>Urządzenia Sieci Inteligentnej</w:t>
        </w:r>
        <w:r w:rsidR="009E24ED">
          <w:rPr>
            <w:noProof/>
            <w:webHidden/>
          </w:rPr>
          <w:tab/>
        </w:r>
        <w:r>
          <w:rPr>
            <w:noProof/>
            <w:webHidden/>
          </w:rPr>
          <w:fldChar w:fldCharType="begin"/>
        </w:r>
        <w:r w:rsidR="009E24ED">
          <w:rPr>
            <w:noProof/>
            <w:webHidden/>
          </w:rPr>
          <w:instrText xml:space="preserve"> PAGEREF _Toc383521203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4" w:history="1">
        <w:r w:rsidR="009E24ED" w:rsidRPr="00721380">
          <w:rPr>
            <w:rStyle w:val="Hipercze"/>
            <w:noProof/>
            <w:lang w:val="pl-PL"/>
          </w:rPr>
          <w:t>Urządzenia Sieci Sygnalizacyjnej</w:t>
        </w:r>
        <w:r w:rsidR="009E24ED">
          <w:rPr>
            <w:noProof/>
            <w:webHidden/>
          </w:rPr>
          <w:tab/>
        </w:r>
        <w:r>
          <w:rPr>
            <w:noProof/>
            <w:webHidden/>
          </w:rPr>
          <w:fldChar w:fldCharType="begin"/>
        </w:r>
        <w:r w:rsidR="009E24ED">
          <w:rPr>
            <w:noProof/>
            <w:webHidden/>
          </w:rPr>
          <w:instrText xml:space="preserve"> PAGEREF _Toc383521204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05" w:history="1">
        <w:r w:rsidR="009E24ED" w:rsidRPr="00721380">
          <w:rPr>
            <w:rStyle w:val="Hipercze"/>
            <w:noProof/>
          </w:rPr>
          <w:t>3.1.16.</w:t>
        </w:r>
        <w:r w:rsidR="009E24ED">
          <w:rPr>
            <w:rFonts w:asciiTheme="minorHAnsi" w:eastAsiaTheme="minorEastAsia" w:hAnsiTheme="minorHAnsi" w:cstheme="minorBidi"/>
            <w:noProof/>
            <w:lang w:val="pl-PL"/>
          </w:rPr>
          <w:tab/>
        </w:r>
        <w:r w:rsidR="009E24ED" w:rsidRPr="00721380">
          <w:rPr>
            <w:rStyle w:val="Hipercze"/>
            <w:noProof/>
          </w:rPr>
          <w:t>Sieć transmisyjna</w:t>
        </w:r>
        <w:r w:rsidR="009E24ED">
          <w:rPr>
            <w:noProof/>
            <w:webHidden/>
          </w:rPr>
          <w:tab/>
        </w:r>
        <w:r>
          <w:rPr>
            <w:noProof/>
            <w:webHidden/>
          </w:rPr>
          <w:fldChar w:fldCharType="begin"/>
        </w:r>
        <w:r w:rsidR="009E24ED">
          <w:rPr>
            <w:noProof/>
            <w:webHidden/>
          </w:rPr>
          <w:instrText xml:space="preserve"> PAGEREF _Toc383521205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6" w:history="1">
        <w:r w:rsidR="009E24ED" w:rsidRPr="00721380">
          <w:rPr>
            <w:rStyle w:val="Hipercze"/>
            <w:noProof/>
          </w:rPr>
          <w:t>Kanalizacja sieci transmisyjnej</w:t>
        </w:r>
        <w:r w:rsidR="009E24ED">
          <w:rPr>
            <w:noProof/>
            <w:webHidden/>
          </w:rPr>
          <w:tab/>
        </w:r>
        <w:r>
          <w:rPr>
            <w:noProof/>
            <w:webHidden/>
          </w:rPr>
          <w:fldChar w:fldCharType="begin"/>
        </w:r>
        <w:r w:rsidR="009E24ED">
          <w:rPr>
            <w:noProof/>
            <w:webHidden/>
          </w:rPr>
          <w:instrText xml:space="preserve"> PAGEREF _Toc383521206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7" w:history="1">
        <w:r w:rsidR="009E24ED" w:rsidRPr="00721380">
          <w:rPr>
            <w:rStyle w:val="Hipercze"/>
            <w:noProof/>
            <w:lang w:val="pl-PL"/>
          </w:rPr>
          <w:t>Kable sieci transmisyjnej</w:t>
        </w:r>
        <w:r w:rsidR="009E24ED">
          <w:rPr>
            <w:noProof/>
            <w:webHidden/>
          </w:rPr>
          <w:tab/>
        </w:r>
        <w:r>
          <w:rPr>
            <w:noProof/>
            <w:webHidden/>
          </w:rPr>
          <w:fldChar w:fldCharType="begin"/>
        </w:r>
        <w:r w:rsidR="009E24ED">
          <w:rPr>
            <w:noProof/>
            <w:webHidden/>
          </w:rPr>
          <w:instrText xml:space="preserve"> PAGEREF _Toc383521207 \h </w:instrText>
        </w:r>
        <w:r>
          <w:rPr>
            <w:noProof/>
            <w:webHidden/>
          </w:rPr>
        </w:r>
        <w:r>
          <w:rPr>
            <w:noProof/>
            <w:webHidden/>
          </w:rPr>
          <w:fldChar w:fldCharType="separate"/>
        </w:r>
        <w:r w:rsidR="009E24ED">
          <w:rPr>
            <w:noProof/>
            <w:webHidden/>
          </w:rPr>
          <w:t>43</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8" w:history="1">
        <w:r w:rsidR="009E24ED" w:rsidRPr="00721380">
          <w:rPr>
            <w:rStyle w:val="Hipercze"/>
            <w:noProof/>
            <w:lang w:val="pl-PL"/>
          </w:rPr>
          <w:t>Przełącznice optyczne</w:t>
        </w:r>
        <w:r w:rsidR="009E24ED">
          <w:rPr>
            <w:noProof/>
            <w:webHidden/>
          </w:rPr>
          <w:tab/>
        </w:r>
        <w:r>
          <w:rPr>
            <w:noProof/>
            <w:webHidden/>
          </w:rPr>
          <w:fldChar w:fldCharType="begin"/>
        </w:r>
        <w:r w:rsidR="009E24ED">
          <w:rPr>
            <w:noProof/>
            <w:webHidden/>
          </w:rPr>
          <w:instrText xml:space="preserve"> PAGEREF _Toc383521208 \h </w:instrText>
        </w:r>
        <w:r>
          <w:rPr>
            <w:noProof/>
            <w:webHidden/>
          </w:rPr>
        </w:r>
        <w:r>
          <w:rPr>
            <w:noProof/>
            <w:webHidden/>
          </w:rPr>
          <w:fldChar w:fldCharType="separate"/>
        </w:r>
        <w:r w:rsidR="009E24ED">
          <w:rPr>
            <w:noProof/>
            <w:webHidden/>
          </w:rPr>
          <w:t>44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09" w:history="1">
        <w:r w:rsidR="009E24ED" w:rsidRPr="00721380">
          <w:rPr>
            <w:rStyle w:val="Hipercze"/>
            <w:noProof/>
            <w:lang w:val="pl-PL"/>
          </w:rPr>
          <w:t>Radiolinie</w:t>
        </w:r>
        <w:r w:rsidR="009E24ED">
          <w:rPr>
            <w:noProof/>
            <w:webHidden/>
          </w:rPr>
          <w:tab/>
        </w:r>
        <w:r>
          <w:rPr>
            <w:noProof/>
            <w:webHidden/>
          </w:rPr>
          <w:fldChar w:fldCharType="begin"/>
        </w:r>
        <w:r w:rsidR="009E24ED">
          <w:rPr>
            <w:noProof/>
            <w:webHidden/>
          </w:rPr>
          <w:instrText xml:space="preserve"> PAGEREF _Toc383521209 \h </w:instrText>
        </w:r>
        <w:r>
          <w:rPr>
            <w:noProof/>
            <w:webHidden/>
          </w:rPr>
        </w:r>
        <w:r>
          <w:rPr>
            <w:noProof/>
            <w:webHidden/>
          </w:rPr>
          <w:fldChar w:fldCharType="separate"/>
        </w:r>
        <w:r w:rsidR="009E24ED">
          <w:rPr>
            <w:noProof/>
            <w:webHidden/>
          </w:rPr>
          <w:t>44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10" w:history="1">
        <w:r w:rsidR="009E24ED" w:rsidRPr="00721380">
          <w:rPr>
            <w:rStyle w:val="Hipercze"/>
            <w:noProof/>
          </w:rPr>
          <w:t>3.1.17.</w:t>
        </w:r>
        <w:r w:rsidR="009E24ED">
          <w:rPr>
            <w:rFonts w:asciiTheme="minorHAnsi" w:eastAsiaTheme="minorEastAsia" w:hAnsiTheme="minorHAnsi" w:cstheme="minorBidi"/>
            <w:noProof/>
            <w:lang w:val="pl-PL"/>
          </w:rPr>
          <w:tab/>
        </w:r>
        <w:r w:rsidR="009E24ED" w:rsidRPr="00721380">
          <w:rPr>
            <w:rStyle w:val="Hipercze"/>
            <w:noProof/>
          </w:rPr>
          <w:t>Systemy transmisyjne</w:t>
        </w:r>
        <w:r w:rsidR="009E24ED">
          <w:rPr>
            <w:noProof/>
            <w:webHidden/>
          </w:rPr>
          <w:tab/>
        </w:r>
        <w:r>
          <w:rPr>
            <w:noProof/>
            <w:webHidden/>
          </w:rPr>
          <w:fldChar w:fldCharType="begin"/>
        </w:r>
        <w:r w:rsidR="009E24ED">
          <w:rPr>
            <w:noProof/>
            <w:webHidden/>
          </w:rPr>
          <w:instrText xml:space="preserve"> PAGEREF _Toc383521210 \h </w:instrText>
        </w:r>
        <w:r>
          <w:rPr>
            <w:noProof/>
            <w:webHidden/>
          </w:rPr>
        </w:r>
        <w:r>
          <w:rPr>
            <w:noProof/>
            <w:webHidden/>
          </w:rPr>
          <w:fldChar w:fldCharType="separate"/>
        </w:r>
        <w:r w:rsidR="009E24ED">
          <w:rPr>
            <w:noProof/>
            <w:webHidden/>
          </w:rPr>
          <w:t>44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1" w:history="1">
        <w:r w:rsidR="009E24ED" w:rsidRPr="00721380">
          <w:rPr>
            <w:rStyle w:val="Hipercze"/>
            <w:noProof/>
          </w:rPr>
          <w:t>Urządzenia HDSL</w:t>
        </w:r>
        <w:r w:rsidR="009E24ED">
          <w:rPr>
            <w:noProof/>
            <w:webHidden/>
          </w:rPr>
          <w:tab/>
        </w:r>
        <w:r>
          <w:rPr>
            <w:noProof/>
            <w:webHidden/>
          </w:rPr>
          <w:fldChar w:fldCharType="begin"/>
        </w:r>
        <w:r w:rsidR="009E24ED">
          <w:rPr>
            <w:noProof/>
            <w:webHidden/>
          </w:rPr>
          <w:instrText xml:space="preserve"> PAGEREF _Toc383521211 \h </w:instrText>
        </w:r>
        <w:r>
          <w:rPr>
            <w:noProof/>
            <w:webHidden/>
          </w:rPr>
        </w:r>
        <w:r>
          <w:rPr>
            <w:noProof/>
            <w:webHidden/>
          </w:rPr>
          <w:fldChar w:fldCharType="separate"/>
        </w:r>
        <w:r w:rsidR="009E24ED">
          <w:rPr>
            <w:noProof/>
            <w:webHidden/>
          </w:rPr>
          <w:t>44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2" w:history="1">
        <w:r w:rsidR="009E24ED" w:rsidRPr="00721380">
          <w:rPr>
            <w:rStyle w:val="Hipercze"/>
            <w:noProof/>
            <w:lang w:val="pl-PL"/>
          </w:rPr>
          <w:t>Modemy optyczne</w:t>
        </w:r>
        <w:r w:rsidR="009E24ED">
          <w:rPr>
            <w:noProof/>
            <w:webHidden/>
          </w:rPr>
          <w:tab/>
        </w:r>
        <w:r>
          <w:rPr>
            <w:noProof/>
            <w:webHidden/>
          </w:rPr>
          <w:fldChar w:fldCharType="begin"/>
        </w:r>
        <w:r w:rsidR="009E24ED">
          <w:rPr>
            <w:noProof/>
            <w:webHidden/>
          </w:rPr>
          <w:instrText xml:space="preserve"> PAGEREF _Toc383521212 \h </w:instrText>
        </w:r>
        <w:r>
          <w:rPr>
            <w:noProof/>
            <w:webHidden/>
          </w:rPr>
        </w:r>
        <w:r>
          <w:rPr>
            <w:noProof/>
            <w:webHidden/>
          </w:rPr>
          <w:fldChar w:fldCharType="separate"/>
        </w:r>
        <w:r w:rsidR="009E24ED">
          <w:rPr>
            <w:noProof/>
            <w:webHidden/>
          </w:rPr>
          <w:t>44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3" w:history="1">
        <w:r w:rsidR="009E24ED" w:rsidRPr="00721380">
          <w:rPr>
            <w:rStyle w:val="Hipercze"/>
            <w:noProof/>
            <w:lang w:val="pl-PL"/>
          </w:rPr>
          <w:t>Urządzenia SDH - warstwa PDH</w:t>
        </w:r>
        <w:r w:rsidR="009E24ED">
          <w:rPr>
            <w:noProof/>
            <w:webHidden/>
          </w:rPr>
          <w:tab/>
        </w:r>
        <w:r>
          <w:rPr>
            <w:noProof/>
            <w:webHidden/>
          </w:rPr>
          <w:fldChar w:fldCharType="begin"/>
        </w:r>
        <w:r w:rsidR="009E24ED">
          <w:rPr>
            <w:noProof/>
            <w:webHidden/>
          </w:rPr>
          <w:instrText xml:space="preserve"> PAGEREF _Toc383521213 \h </w:instrText>
        </w:r>
        <w:r>
          <w:rPr>
            <w:noProof/>
            <w:webHidden/>
          </w:rPr>
        </w:r>
        <w:r>
          <w:rPr>
            <w:noProof/>
            <w:webHidden/>
          </w:rPr>
          <w:fldChar w:fldCharType="separate"/>
        </w:r>
        <w:r w:rsidR="009E24ED">
          <w:rPr>
            <w:noProof/>
            <w:webHidden/>
          </w:rPr>
          <w:t>44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4" w:history="1">
        <w:r w:rsidR="009E24ED" w:rsidRPr="00721380">
          <w:rPr>
            <w:rStyle w:val="Hipercze"/>
            <w:noProof/>
            <w:lang w:val="pl-PL"/>
          </w:rPr>
          <w:t>Urządzenia SDH - warstwa lokalna</w:t>
        </w:r>
        <w:r w:rsidR="009E24ED">
          <w:rPr>
            <w:noProof/>
            <w:webHidden/>
          </w:rPr>
          <w:tab/>
        </w:r>
        <w:r>
          <w:rPr>
            <w:noProof/>
            <w:webHidden/>
          </w:rPr>
          <w:fldChar w:fldCharType="begin"/>
        </w:r>
        <w:r w:rsidR="009E24ED">
          <w:rPr>
            <w:noProof/>
            <w:webHidden/>
          </w:rPr>
          <w:instrText xml:space="preserve"> PAGEREF _Toc383521214 \h </w:instrText>
        </w:r>
        <w:r>
          <w:rPr>
            <w:noProof/>
            <w:webHidden/>
          </w:rPr>
        </w:r>
        <w:r>
          <w:rPr>
            <w:noProof/>
            <w:webHidden/>
          </w:rPr>
          <w:fldChar w:fldCharType="separate"/>
        </w:r>
        <w:r w:rsidR="009E24ED">
          <w:rPr>
            <w:noProof/>
            <w:webHidden/>
          </w:rPr>
          <w:t>44</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5" w:history="1">
        <w:r w:rsidR="009E24ED" w:rsidRPr="00721380">
          <w:rPr>
            <w:rStyle w:val="Hipercze"/>
            <w:noProof/>
            <w:lang w:val="pl-PL"/>
          </w:rPr>
          <w:t>Urządzenia SDH - warstwa regionalna</w:t>
        </w:r>
        <w:r w:rsidR="009E24ED">
          <w:rPr>
            <w:noProof/>
            <w:webHidden/>
          </w:rPr>
          <w:tab/>
        </w:r>
        <w:r>
          <w:rPr>
            <w:noProof/>
            <w:webHidden/>
          </w:rPr>
          <w:fldChar w:fldCharType="begin"/>
        </w:r>
        <w:r w:rsidR="009E24ED">
          <w:rPr>
            <w:noProof/>
            <w:webHidden/>
          </w:rPr>
          <w:instrText xml:space="preserve"> PAGEREF _Toc383521215 \h </w:instrText>
        </w:r>
        <w:r>
          <w:rPr>
            <w:noProof/>
            <w:webHidden/>
          </w:rPr>
        </w:r>
        <w:r>
          <w:rPr>
            <w:noProof/>
            <w:webHidden/>
          </w:rPr>
          <w:fldChar w:fldCharType="separate"/>
        </w:r>
        <w:r w:rsidR="009E24ED">
          <w:rPr>
            <w:noProof/>
            <w:webHidden/>
          </w:rPr>
          <w:t>45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6" w:history="1">
        <w:r w:rsidR="009E24ED" w:rsidRPr="00721380">
          <w:rPr>
            <w:rStyle w:val="Hipercze"/>
            <w:noProof/>
            <w:lang w:val="pl-PL"/>
          </w:rPr>
          <w:t>Urządzenia SDH - warstwa tranzytowa</w:t>
        </w:r>
        <w:r w:rsidR="009E24ED">
          <w:rPr>
            <w:noProof/>
            <w:webHidden/>
          </w:rPr>
          <w:tab/>
        </w:r>
        <w:r>
          <w:rPr>
            <w:noProof/>
            <w:webHidden/>
          </w:rPr>
          <w:fldChar w:fldCharType="begin"/>
        </w:r>
        <w:r w:rsidR="009E24ED">
          <w:rPr>
            <w:noProof/>
            <w:webHidden/>
          </w:rPr>
          <w:instrText xml:space="preserve"> PAGEREF _Toc383521216 \h </w:instrText>
        </w:r>
        <w:r>
          <w:rPr>
            <w:noProof/>
            <w:webHidden/>
          </w:rPr>
        </w:r>
        <w:r>
          <w:rPr>
            <w:noProof/>
            <w:webHidden/>
          </w:rPr>
          <w:fldChar w:fldCharType="separate"/>
        </w:r>
        <w:r w:rsidR="009E24ED">
          <w:rPr>
            <w:noProof/>
            <w:webHidden/>
          </w:rPr>
          <w:t>45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7" w:history="1">
        <w:r w:rsidR="009E24ED" w:rsidRPr="00721380">
          <w:rPr>
            <w:rStyle w:val="Hipercze"/>
            <w:noProof/>
            <w:lang w:val="pl-PL"/>
          </w:rPr>
          <w:t>Urządzenia DWDM – warstwa lokalna</w:t>
        </w:r>
        <w:r w:rsidR="009E24ED">
          <w:rPr>
            <w:noProof/>
            <w:webHidden/>
          </w:rPr>
          <w:tab/>
        </w:r>
        <w:r>
          <w:rPr>
            <w:noProof/>
            <w:webHidden/>
          </w:rPr>
          <w:fldChar w:fldCharType="begin"/>
        </w:r>
        <w:r w:rsidR="009E24ED">
          <w:rPr>
            <w:noProof/>
            <w:webHidden/>
          </w:rPr>
          <w:instrText xml:space="preserve"> PAGEREF _Toc383521217 \h </w:instrText>
        </w:r>
        <w:r>
          <w:rPr>
            <w:noProof/>
            <w:webHidden/>
          </w:rPr>
        </w:r>
        <w:r>
          <w:rPr>
            <w:noProof/>
            <w:webHidden/>
          </w:rPr>
          <w:fldChar w:fldCharType="separate"/>
        </w:r>
        <w:r w:rsidR="009E24ED">
          <w:rPr>
            <w:noProof/>
            <w:webHidden/>
          </w:rPr>
          <w:t>45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8" w:history="1">
        <w:r w:rsidR="009E24ED" w:rsidRPr="00721380">
          <w:rPr>
            <w:rStyle w:val="Hipercze"/>
            <w:noProof/>
            <w:lang w:val="pl-PL"/>
          </w:rPr>
          <w:t>Urządzenia DWDM – warstwa regionalna</w:t>
        </w:r>
        <w:r w:rsidR="009E24ED">
          <w:rPr>
            <w:noProof/>
            <w:webHidden/>
          </w:rPr>
          <w:tab/>
        </w:r>
        <w:r>
          <w:rPr>
            <w:noProof/>
            <w:webHidden/>
          </w:rPr>
          <w:fldChar w:fldCharType="begin"/>
        </w:r>
        <w:r w:rsidR="009E24ED">
          <w:rPr>
            <w:noProof/>
            <w:webHidden/>
          </w:rPr>
          <w:instrText xml:space="preserve"> PAGEREF _Toc383521218 \h </w:instrText>
        </w:r>
        <w:r>
          <w:rPr>
            <w:noProof/>
            <w:webHidden/>
          </w:rPr>
        </w:r>
        <w:r>
          <w:rPr>
            <w:noProof/>
            <w:webHidden/>
          </w:rPr>
          <w:fldChar w:fldCharType="separate"/>
        </w:r>
        <w:r w:rsidR="009E24ED">
          <w:rPr>
            <w:noProof/>
            <w:webHidden/>
          </w:rPr>
          <w:t>45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19" w:history="1">
        <w:r w:rsidR="009E24ED" w:rsidRPr="00721380">
          <w:rPr>
            <w:rStyle w:val="Hipercze"/>
            <w:noProof/>
            <w:lang w:val="pl-PL"/>
          </w:rPr>
          <w:t>Urządzenia DWDM – warstwa tranzytowa</w:t>
        </w:r>
        <w:r w:rsidR="009E24ED">
          <w:rPr>
            <w:noProof/>
            <w:webHidden/>
          </w:rPr>
          <w:tab/>
        </w:r>
        <w:r>
          <w:rPr>
            <w:noProof/>
            <w:webHidden/>
          </w:rPr>
          <w:fldChar w:fldCharType="begin"/>
        </w:r>
        <w:r w:rsidR="009E24ED">
          <w:rPr>
            <w:noProof/>
            <w:webHidden/>
          </w:rPr>
          <w:instrText xml:space="preserve"> PAGEREF _Toc383521219 \h </w:instrText>
        </w:r>
        <w:r>
          <w:rPr>
            <w:noProof/>
            <w:webHidden/>
          </w:rPr>
        </w:r>
        <w:r>
          <w:rPr>
            <w:noProof/>
            <w:webHidden/>
          </w:rPr>
          <w:fldChar w:fldCharType="separate"/>
        </w:r>
        <w:r w:rsidR="009E24ED">
          <w:rPr>
            <w:noProof/>
            <w:webHidden/>
          </w:rPr>
          <w:t>45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20" w:history="1">
        <w:r w:rsidR="009E24ED" w:rsidRPr="00721380">
          <w:rPr>
            <w:rStyle w:val="Hipercze"/>
            <w:noProof/>
            <w:lang w:val="pl-PL"/>
          </w:rPr>
          <w:t>Urządzenia ROADM - Warstwa tranzytowa</w:t>
        </w:r>
        <w:r w:rsidR="009E24ED">
          <w:rPr>
            <w:noProof/>
            <w:webHidden/>
          </w:rPr>
          <w:tab/>
        </w:r>
        <w:r>
          <w:rPr>
            <w:noProof/>
            <w:webHidden/>
          </w:rPr>
          <w:fldChar w:fldCharType="begin"/>
        </w:r>
        <w:r w:rsidR="009E24ED">
          <w:rPr>
            <w:noProof/>
            <w:webHidden/>
          </w:rPr>
          <w:instrText xml:space="preserve"> PAGEREF _Toc383521220 \h </w:instrText>
        </w:r>
        <w:r>
          <w:rPr>
            <w:noProof/>
            <w:webHidden/>
          </w:rPr>
        </w:r>
        <w:r>
          <w:rPr>
            <w:noProof/>
            <w:webHidden/>
          </w:rPr>
          <w:fldChar w:fldCharType="separate"/>
        </w:r>
        <w:r w:rsidR="009E24ED">
          <w:rPr>
            <w:noProof/>
            <w:webHidden/>
          </w:rPr>
          <w:t>45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21" w:history="1">
        <w:r w:rsidR="009E24ED" w:rsidRPr="00721380">
          <w:rPr>
            <w:rStyle w:val="Hipercze"/>
            <w:noProof/>
            <w:lang w:val="pl-PL"/>
          </w:rPr>
          <w:t>Urządzenia Cross Connect</w:t>
        </w:r>
        <w:r w:rsidR="009E24ED">
          <w:rPr>
            <w:noProof/>
            <w:webHidden/>
          </w:rPr>
          <w:tab/>
        </w:r>
        <w:r>
          <w:rPr>
            <w:noProof/>
            <w:webHidden/>
          </w:rPr>
          <w:fldChar w:fldCharType="begin"/>
        </w:r>
        <w:r w:rsidR="009E24ED">
          <w:rPr>
            <w:noProof/>
            <w:webHidden/>
          </w:rPr>
          <w:instrText xml:space="preserve"> PAGEREF _Toc383521221 \h </w:instrText>
        </w:r>
        <w:r>
          <w:rPr>
            <w:noProof/>
            <w:webHidden/>
          </w:rPr>
        </w:r>
        <w:r>
          <w:rPr>
            <w:noProof/>
            <w:webHidden/>
          </w:rPr>
          <w:fldChar w:fldCharType="separate"/>
        </w:r>
        <w:r w:rsidR="009E24ED">
          <w:rPr>
            <w:noProof/>
            <w:webHidden/>
          </w:rPr>
          <w:t>45</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22" w:history="1">
        <w:r w:rsidR="009E24ED" w:rsidRPr="00721380">
          <w:rPr>
            <w:rStyle w:val="Hipercze"/>
            <w:noProof/>
            <w:lang w:val="pl-PL"/>
          </w:rPr>
          <w:t>Urządzenia nx64 –warstwa szkieletowa</w:t>
        </w:r>
        <w:r w:rsidR="009E24ED">
          <w:rPr>
            <w:noProof/>
            <w:webHidden/>
          </w:rPr>
          <w:tab/>
        </w:r>
        <w:r>
          <w:rPr>
            <w:noProof/>
            <w:webHidden/>
          </w:rPr>
          <w:fldChar w:fldCharType="begin"/>
        </w:r>
        <w:r w:rsidR="009E24ED">
          <w:rPr>
            <w:noProof/>
            <w:webHidden/>
          </w:rPr>
          <w:instrText xml:space="preserve"> PAGEREF _Toc383521222 \h </w:instrText>
        </w:r>
        <w:r>
          <w:rPr>
            <w:noProof/>
            <w:webHidden/>
          </w:rPr>
        </w:r>
        <w:r>
          <w:rPr>
            <w:noProof/>
            <w:webHidden/>
          </w:rPr>
          <w:fldChar w:fldCharType="separate"/>
        </w:r>
        <w:r w:rsidR="009E24ED">
          <w:rPr>
            <w:noProof/>
            <w:webHidden/>
          </w:rPr>
          <w:t>46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23" w:history="1">
        <w:r w:rsidR="009E24ED" w:rsidRPr="00721380">
          <w:rPr>
            <w:rStyle w:val="Hipercze"/>
            <w:noProof/>
            <w:lang w:val="pl-PL"/>
          </w:rPr>
          <w:t>Urządzenia ASON</w:t>
        </w:r>
        <w:r w:rsidR="009E24ED">
          <w:rPr>
            <w:noProof/>
            <w:webHidden/>
          </w:rPr>
          <w:tab/>
        </w:r>
        <w:r>
          <w:rPr>
            <w:noProof/>
            <w:webHidden/>
          </w:rPr>
          <w:fldChar w:fldCharType="begin"/>
        </w:r>
        <w:r w:rsidR="009E24ED">
          <w:rPr>
            <w:noProof/>
            <w:webHidden/>
          </w:rPr>
          <w:instrText xml:space="preserve"> PAGEREF _Toc383521223 \h </w:instrText>
        </w:r>
        <w:r>
          <w:rPr>
            <w:noProof/>
            <w:webHidden/>
          </w:rPr>
        </w:r>
        <w:r>
          <w:rPr>
            <w:noProof/>
            <w:webHidden/>
          </w:rPr>
          <w:fldChar w:fldCharType="separate"/>
        </w:r>
        <w:r w:rsidR="009E24ED">
          <w:rPr>
            <w:noProof/>
            <w:webHidden/>
          </w:rPr>
          <w:t>46</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24" w:history="1">
        <w:r w:rsidR="009E24ED" w:rsidRPr="00721380">
          <w:rPr>
            <w:rStyle w:val="Hipercze"/>
            <w:noProof/>
            <w:lang w:val="pl-PL"/>
          </w:rPr>
          <w:t>Urządzenia nadzoru - transmisja</w:t>
        </w:r>
        <w:r w:rsidR="009E24ED">
          <w:rPr>
            <w:noProof/>
            <w:webHidden/>
          </w:rPr>
          <w:tab/>
        </w:r>
        <w:r>
          <w:rPr>
            <w:noProof/>
            <w:webHidden/>
          </w:rPr>
          <w:fldChar w:fldCharType="begin"/>
        </w:r>
        <w:r w:rsidR="009E24ED">
          <w:rPr>
            <w:noProof/>
            <w:webHidden/>
          </w:rPr>
          <w:instrText xml:space="preserve"> PAGEREF _Toc383521224 \h </w:instrText>
        </w:r>
        <w:r>
          <w:rPr>
            <w:noProof/>
            <w:webHidden/>
          </w:rPr>
        </w:r>
        <w:r>
          <w:rPr>
            <w:noProof/>
            <w:webHidden/>
          </w:rPr>
          <w:fldChar w:fldCharType="separate"/>
        </w:r>
        <w:r w:rsidR="009E24ED">
          <w:rPr>
            <w:noProof/>
            <w:webHidden/>
          </w:rPr>
          <w:t>46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25" w:history="1">
        <w:r w:rsidR="009E24ED" w:rsidRPr="00721380">
          <w:rPr>
            <w:rStyle w:val="Hipercze"/>
            <w:noProof/>
          </w:rPr>
          <w:t>3.1.18.</w:t>
        </w:r>
        <w:r w:rsidR="009E24ED">
          <w:rPr>
            <w:rFonts w:asciiTheme="minorHAnsi" w:eastAsiaTheme="minorEastAsia" w:hAnsiTheme="minorHAnsi" w:cstheme="minorBidi"/>
            <w:noProof/>
            <w:lang w:val="pl-PL"/>
          </w:rPr>
          <w:tab/>
        </w:r>
        <w:r w:rsidR="009E24ED" w:rsidRPr="00721380">
          <w:rPr>
            <w:rStyle w:val="Hipercze"/>
            <w:noProof/>
          </w:rPr>
          <w:t>Urządzenia dostępu do sieci pakietowej</w:t>
        </w:r>
        <w:r w:rsidR="009E24ED">
          <w:rPr>
            <w:noProof/>
            <w:webHidden/>
          </w:rPr>
          <w:tab/>
        </w:r>
        <w:r>
          <w:rPr>
            <w:noProof/>
            <w:webHidden/>
          </w:rPr>
          <w:fldChar w:fldCharType="begin"/>
        </w:r>
        <w:r w:rsidR="009E24ED">
          <w:rPr>
            <w:noProof/>
            <w:webHidden/>
          </w:rPr>
          <w:instrText xml:space="preserve"> PAGEREF _Toc383521225 \h </w:instrText>
        </w:r>
        <w:r>
          <w:rPr>
            <w:noProof/>
            <w:webHidden/>
          </w:rPr>
        </w:r>
        <w:r>
          <w:rPr>
            <w:noProof/>
            <w:webHidden/>
          </w:rPr>
          <w:fldChar w:fldCharType="separate"/>
        </w:r>
        <w:r w:rsidR="009E24ED">
          <w:rPr>
            <w:noProof/>
            <w:webHidden/>
          </w:rPr>
          <w:t>46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26" w:history="1">
        <w:r w:rsidR="009E24ED" w:rsidRPr="00721380">
          <w:rPr>
            <w:rStyle w:val="Hipercze"/>
            <w:noProof/>
          </w:rPr>
          <w:t>3.1.19.</w:t>
        </w:r>
        <w:r w:rsidR="009E24ED">
          <w:rPr>
            <w:rFonts w:asciiTheme="minorHAnsi" w:eastAsiaTheme="minorEastAsia" w:hAnsiTheme="minorHAnsi" w:cstheme="minorBidi"/>
            <w:noProof/>
            <w:lang w:val="pl-PL"/>
          </w:rPr>
          <w:tab/>
        </w:r>
        <w:r w:rsidR="009E24ED" w:rsidRPr="00721380">
          <w:rPr>
            <w:rStyle w:val="Hipercze"/>
            <w:noProof/>
          </w:rPr>
          <w:t>Gateway PSTN – IP</w:t>
        </w:r>
        <w:r w:rsidR="009E24ED">
          <w:rPr>
            <w:noProof/>
            <w:webHidden/>
          </w:rPr>
          <w:tab/>
        </w:r>
        <w:r>
          <w:rPr>
            <w:noProof/>
            <w:webHidden/>
          </w:rPr>
          <w:fldChar w:fldCharType="begin"/>
        </w:r>
        <w:r w:rsidR="009E24ED">
          <w:rPr>
            <w:noProof/>
            <w:webHidden/>
          </w:rPr>
          <w:instrText xml:space="preserve"> PAGEREF _Toc383521226 \h </w:instrText>
        </w:r>
        <w:r>
          <w:rPr>
            <w:noProof/>
            <w:webHidden/>
          </w:rPr>
        </w:r>
        <w:r>
          <w:rPr>
            <w:noProof/>
            <w:webHidden/>
          </w:rPr>
          <w:fldChar w:fldCharType="separate"/>
        </w:r>
        <w:r w:rsidR="009E24ED">
          <w:rPr>
            <w:noProof/>
            <w:webHidden/>
          </w:rPr>
          <w:t>46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27" w:history="1">
        <w:r w:rsidR="009E24ED" w:rsidRPr="00721380">
          <w:rPr>
            <w:rStyle w:val="Hipercze"/>
            <w:noProof/>
          </w:rPr>
          <w:t>3.1.20.</w:t>
        </w:r>
        <w:r w:rsidR="009E24ED">
          <w:rPr>
            <w:rFonts w:asciiTheme="minorHAnsi" w:eastAsiaTheme="minorEastAsia" w:hAnsiTheme="minorHAnsi" w:cstheme="minorBidi"/>
            <w:noProof/>
            <w:lang w:val="pl-PL"/>
          </w:rPr>
          <w:tab/>
        </w:r>
        <w:r w:rsidR="009E24ED" w:rsidRPr="00721380">
          <w:rPr>
            <w:rStyle w:val="Hipercze"/>
            <w:noProof/>
          </w:rPr>
          <w:t>DSLAM – ADSL</w:t>
        </w:r>
        <w:r w:rsidR="009E24ED">
          <w:rPr>
            <w:noProof/>
            <w:webHidden/>
          </w:rPr>
          <w:tab/>
        </w:r>
        <w:r>
          <w:rPr>
            <w:noProof/>
            <w:webHidden/>
          </w:rPr>
          <w:fldChar w:fldCharType="begin"/>
        </w:r>
        <w:r w:rsidR="009E24ED">
          <w:rPr>
            <w:noProof/>
            <w:webHidden/>
          </w:rPr>
          <w:instrText xml:space="preserve"> PAGEREF _Toc383521227 \h </w:instrText>
        </w:r>
        <w:r>
          <w:rPr>
            <w:noProof/>
            <w:webHidden/>
          </w:rPr>
        </w:r>
        <w:r>
          <w:rPr>
            <w:noProof/>
            <w:webHidden/>
          </w:rPr>
          <w:fldChar w:fldCharType="separate"/>
        </w:r>
        <w:r w:rsidR="009E24ED">
          <w:rPr>
            <w:noProof/>
            <w:webHidden/>
          </w:rPr>
          <w:t>46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28" w:history="1">
        <w:r w:rsidR="009E24ED" w:rsidRPr="00721380">
          <w:rPr>
            <w:rStyle w:val="Hipercze"/>
            <w:noProof/>
          </w:rPr>
          <w:t>3.1.21.</w:t>
        </w:r>
        <w:r w:rsidR="009E24ED">
          <w:rPr>
            <w:rFonts w:asciiTheme="minorHAnsi" w:eastAsiaTheme="minorEastAsia" w:hAnsiTheme="minorHAnsi" w:cstheme="minorBidi"/>
            <w:noProof/>
            <w:lang w:val="pl-PL"/>
          </w:rPr>
          <w:tab/>
        </w:r>
        <w:r w:rsidR="009E24ED" w:rsidRPr="00721380">
          <w:rPr>
            <w:rStyle w:val="Hipercze"/>
            <w:noProof/>
          </w:rPr>
          <w:t>DSLAM – VDSL</w:t>
        </w:r>
        <w:r w:rsidR="009E24ED">
          <w:rPr>
            <w:noProof/>
            <w:webHidden/>
          </w:rPr>
          <w:tab/>
        </w:r>
        <w:r>
          <w:rPr>
            <w:noProof/>
            <w:webHidden/>
          </w:rPr>
          <w:fldChar w:fldCharType="begin"/>
        </w:r>
        <w:r w:rsidR="009E24ED">
          <w:rPr>
            <w:noProof/>
            <w:webHidden/>
          </w:rPr>
          <w:instrText xml:space="preserve"> PAGEREF _Toc383521228 \h </w:instrText>
        </w:r>
        <w:r>
          <w:rPr>
            <w:noProof/>
            <w:webHidden/>
          </w:rPr>
        </w:r>
        <w:r>
          <w:rPr>
            <w:noProof/>
            <w:webHidden/>
          </w:rPr>
          <w:fldChar w:fldCharType="separate"/>
        </w:r>
        <w:r w:rsidR="009E24ED">
          <w:rPr>
            <w:noProof/>
            <w:webHidden/>
          </w:rPr>
          <w:t>47</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29" w:history="1">
        <w:r w:rsidR="009E24ED" w:rsidRPr="00721380">
          <w:rPr>
            <w:rStyle w:val="Hipercze"/>
            <w:noProof/>
          </w:rPr>
          <w:t>3.1.22.</w:t>
        </w:r>
        <w:r w:rsidR="009E24ED">
          <w:rPr>
            <w:rFonts w:asciiTheme="minorHAnsi" w:eastAsiaTheme="minorEastAsia" w:hAnsiTheme="minorHAnsi" w:cstheme="minorBidi"/>
            <w:noProof/>
            <w:lang w:val="pl-PL"/>
          </w:rPr>
          <w:tab/>
        </w:r>
        <w:r w:rsidR="009E24ED" w:rsidRPr="00721380">
          <w:rPr>
            <w:rStyle w:val="Hipercze"/>
            <w:noProof/>
          </w:rPr>
          <w:t>DSLAM – OPT</w:t>
        </w:r>
        <w:r w:rsidR="009E24ED">
          <w:rPr>
            <w:noProof/>
            <w:webHidden/>
          </w:rPr>
          <w:tab/>
        </w:r>
        <w:r>
          <w:rPr>
            <w:noProof/>
            <w:webHidden/>
          </w:rPr>
          <w:fldChar w:fldCharType="begin"/>
        </w:r>
        <w:r w:rsidR="009E24ED">
          <w:rPr>
            <w:noProof/>
            <w:webHidden/>
          </w:rPr>
          <w:instrText xml:space="preserve"> PAGEREF _Toc383521229 \h </w:instrText>
        </w:r>
        <w:r>
          <w:rPr>
            <w:noProof/>
            <w:webHidden/>
          </w:rPr>
        </w:r>
        <w:r>
          <w:rPr>
            <w:noProof/>
            <w:webHidden/>
          </w:rPr>
          <w:fldChar w:fldCharType="separate"/>
        </w:r>
        <w:r w:rsidR="009E24ED">
          <w:rPr>
            <w:noProof/>
            <w:webHidden/>
          </w:rPr>
          <w:t>47</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0" w:history="1">
        <w:r w:rsidR="009E24ED" w:rsidRPr="00721380">
          <w:rPr>
            <w:rStyle w:val="Hipercze"/>
            <w:noProof/>
          </w:rPr>
          <w:t>3.1.23.</w:t>
        </w:r>
        <w:r w:rsidR="009E24ED">
          <w:rPr>
            <w:rFonts w:asciiTheme="minorHAnsi" w:eastAsiaTheme="minorEastAsia" w:hAnsiTheme="minorHAnsi" w:cstheme="minorBidi"/>
            <w:noProof/>
            <w:lang w:val="pl-PL"/>
          </w:rPr>
          <w:tab/>
        </w:r>
        <w:r w:rsidR="009E24ED" w:rsidRPr="00721380">
          <w:rPr>
            <w:rStyle w:val="Hipercze"/>
            <w:noProof/>
          </w:rPr>
          <w:t>DSLAM – GPON</w:t>
        </w:r>
        <w:r w:rsidR="009E24ED">
          <w:rPr>
            <w:noProof/>
            <w:webHidden/>
          </w:rPr>
          <w:tab/>
        </w:r>
        <w:r>
          <w:rPr>
            <w:noProof/>
            <w:webHidden/>
          </w:rPr>
          <w:fldChar w:fldCharType="begin"/>
        </w:r>
        <w:r w:rsidR="009E24ED">
          <w:rPr>
            <w:noProof/>
            <w:webHidden/>
          </w:rPr>
          <w:instrText xml:space="preserve"> PAGEREF _Toc383521230 \h </w:instrText>
        </w:r>
        <w:r>
          <w:rPr>
            <w:noProof/>
            <w:webHidden/>
          </w:rPr>
        </w:r>
        <w:r>
          <w:rPr>
            <w:noProof/>
            <w:webHidden/>
          </w:rPr>
          <w:fldChar w:fldCharType="separate"/>
        </w:r>
        <w:r w:rsidR="009E24ED">
          <w:rPr>
            <w:noProof/>
            <w:webHidden/>
          </w:rPr>
          <w:t>47</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1" w:history="1">
        <w:r w:rsidR="009E24ED" w:rsidRPr="00721380">
          <w:rPr>
            <w:rStyle w:val="Hipercze"/>
            <w:noProof/>
          </w:rPr>
          <w:t>3.1.24.</w:t>
        </w:r>
        <w:r w:rsidR="009E24ED">
          <w:rPr>
            <w:rFonts w:asciiTheme="minorHAnsi" w:eastAsiaTheme="minorEastAsia" w:hAnsiTheme="minorHAnsi" w:cstheme="minorBidi"/>
            <w:noProof/>
            <w:lang w:val="pl-PL"/>
          </w:rPr>
          <w:tab/>
        </w:r>
        <w:r w:rsidR="009E24ED" w:rsidRPr="00721380">
          <w:rPr>
            <w:rStyle w:val="Hipercze"/>
            <w:noProof/>
          </w:rPr>
          <w:t>DSLAM – SHDSL</w:t>
        </w:r>
        <w:r w:rsidR="009E24ED">
          <w:rPr>
            <w:noProof/>
            <w:webHidden/>
          </w:rPr>
          <w:tab/>
        </w:r>
        <w:r>
          <w:rPr>
            <w:noProof/>
            <w:webHidden/>
          </w:rPr>
          <w:fldChar w:fldCharType="begin"/>
        </w:r>
        <w:r w:rsidR="009E24ED">
          <w:rPr>
            <w:noProof/>
            <w:webHidden/>
          </w:rPr>
          <w:instrText xml:space="preserve"> PAGEREF _Toc383521231 \h </w:instrText>
        </w:r>
        <w:r>
          <w:rPr>
            <w:noProof/>
            <w:webHidden/>
          </w:rPr>
        </w:r>
        <w:r>
          <w:rPr>
            <w:noProof/>
            <w:webHidden/>
          </w:rPr>
          <w:fldChar w:fldCharType="separate"/>
        </w:r>
        <w:r w:rsidR="009E24ED">
          <w:rPr>
            <w:noProof/>
            <w:webHidden/>
          </w:rPr>
          <w:t>47</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2" w:history="1">
        <w:r w:rsidR="009E24ED" w:rsidRPr="00721380">
          <w:rPr>
            <w:rStyle w:val="Hipercze"/>
            <w:noProof/>
          </w:rPr>
          <w:t>3.1.25.</w:t>
        </w:r>
        <w:r w:rsidR="009E24ED">
          <w:rPr>
            <w:rFonts w:asciiTheme="minorHAnsi" w:eastAsiaTheme="minorEastAsia" w:hAnsiTheme="minorHAnsi" w:cstheme="minorBidi"/>
            <w:noProof/>
            <w:lang w:val="pl-PL"/>
          </w:rPr>
          <w:tab/>
        </w:r>
        <w:r w:rsidR="009E24ED" w:rsidRPr="00721380">
          <w:rPr>
            <w:rStyle w:val="Hipercze"/>
            <w:noProof/>
          </w:rPr>
          <w:t>DSLAM – POTS</w:t>
        </w:r>
        <w:r w:rsidR="009E24ED">
          <w:rPr>
            <w:noProof/>
            <w:webHidden/>
          </w:rPr>
          <w:tab/>
        </w:r>
        <w:r>
          <w:rPr>
            <w:noProof/>
            <w:webHidden/>
          </w:rPr>
          <w:fldChar w:fldCharType="begin"/>
        </w:r>
        <w:r w:rsidR="009E24ED">
          <w:rPr>
            <w:noProof/>
            <w:webHidden/>
          </w:rPr>
          <w:instrText xml:space="preserve"> PAGEREF _Toc383521232 \h </w:instrText>
        </w:r>
        <w:r>
          <w:rPr>
            <w:noProof/>
            <w:webHidden/>
          </w:rPr>
        </w:r>
        <w:r>
          <w:rPr>
            <w:noProof/>
            <w:webHidden/>
          </w:rPr>
          <w:fldChar w:fldCharType="separate"/>
        </w:r>
        <w:r w:rsidR="009E24ED">
          <w:rPr>
            <w:noProof/>
            <w:webHidden/>
          </w:rPr>
          <w:t>47</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3" w:history="1">
        <w:r w:rsidR="009E24ED" w:rsidRPr="00721380">
          <w:rPr>
            <w:rStyle w:val="Hipercze"/>
            <w:noProof/>
          </w:rPr>
          <w:t>3.1.26.</w:t>
        </w:r>
        <w:r w:rsidR="009E24ED">
          <w:rPr>
            <w:rFonts w:asciiTheme="minorHAnsi" w:eastAsiaTheme="minorEastAsia" w:hAnsiTheme="minorHAnsi" w:cstheme="minorBidi"/>
            <w:noProof/>
            <w:lang w:val="pl-PL"/>
          </w:rPr>
          <w:tab/>
        </w:r>
        <w:r w:rsidR="009E24ED" w:rsidRPr="00721380">
          <w:rPr>
            <w:rStyle w:val="Hipercze"/>
            <w:noProof/>
          </w:rPr>
          <w:t>DSLAM – Transmisja</w:t>
        </w:r>
        <w:r w:rsidR="009E24ED">
          <w:rPr>
            <w:noProof/>
            <w:webHidden/>
          </w:rPr>
          <w:tab/>
        </w:r>
        <w:r>
          <w:rPr>
            <w:noProof/>
            <w:webHidden/>
          </w:rPr>
          <w:fldChar w:fldCharType="begin"/>
        </w:r>
        <w:r w:rsidR="009E24ED">
          <w:rPr>
            <w:noProof/>
            <w:webHidden/>
          </w:rPr>
          <w:instrText xml:space="preserve"> PAGEREF _Toc383521233 \h </w:instrText>
        </w:r>
        <w:r>
          <w:rPr>
            <w:noProof/>
            <w:webHidden/>
          </w:rPr>
        </w:r>
        <w:r>
          <w:rPr>
            <w:noProof/>
            <w:webHidden/>
          </w:rPr>
          <w:fldChar w:fldCharType="separate"/>
        </w:r>
        <w:r w:rsidR="009E24ED">
          <w:rPr>
            <w:noProof/>
            <w:webHidden/>
          </w:rPr>
          <w:t>48</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4" w:history="1">
        <w:r w:rsidR="009E24ED" w:rsidRPr="00721380">
          <w:rPr>
            <w:rStyle w:val="Hipercze"/>
            <w:noProof/>
          </w:rPr>
          <w:t>3.1.27.</w:t>
        </w:r>
        <w:r w:rsidR="009E24ED">
          <w:rPr>
            <w:rFonts w:asciiTheme="minorHAnsi" w:eastAsiaTheme="minorEastAsia" w:hAnsiTheme="minorHAnsi" w:cstheme="minorBidi"/>
            <w:noProof/>
            <w:lang w:val="pl-PL"/>
          </w:rPr>
          <w:tab/>
        </w:r>
        <w:r w:rsidR="009E24ED" w:rsidRPr="00721380">
          <w:rPr>
            <w:rStyle w:val="Hipercze"/>
            <w:noProof/>
          </w:rPr>
          <w:t>Urządzenia GPON - Dostęp</w:t>
        </w:r>
        <w:r w:rsidR="009E24ED">
          <w:rPr>
            <w:noProof/>
            <w:webHidden/>
          </w:rPr>
          <w:tab/>
        </w:r>
        <w:r>
          <w:rPr>
            <w:noProof/>
            <w:webHidden/>
          </w:rPr>
          <w:fldChar w:fldCharType="begin"/>
        </w:r>
        <w:r w:rsidR="009E24ED">
          <w:rPr>
            <w:noProof/>
            <w:webHidden/>
          </w:rPr>
          <w:instrText xml:space="preserve"> PAGEREF _Toc383521234 \h </w:instrText>
        </w:r>
        <w:r>
          <w:rPr>
            <w:noProof/>
            <w:webHidden/>
          </w:rPr>
        </w:r>
        <w:r>
          <w:rPr>
            <w:noProof/>
            <w:webHidden/>
          </w:rPr>
          <w:fldChar w:fldCharType="separate"/>
        </w:r>
        <w:r w:rsidR="009E24ED">
          <w:rPr>
            <w:noProof/>
            <w:webHidden/>
          </w:rPr>
          <w:t>48</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5" w:history="1">
        <w:r w:rsidR="009E24ED" w:rsidRPr="00721380">
          <w:rPr>
            <w:rStyle w:val="Hipercze"/>
            <w:noProof/>
          </w:rPr>
          <w:t>3.1.28.</w:t>
        </w:r>
        <w:r w:rsidR="009E24ED">
          <w:rPr>
            <w:rFonts w:asciiTheme="minorHAnsi" w:eastAsiaTheme="minorEastAsia" w:hAnsiTheme="minorHAnsi" w:cstheme="minorBidi"/>
            <w:noProof/>
            <w:lang w:val="pl-PL"/>
          </w:rPr>
          <w:tab/>
        </w:r>
        <w:r w:rsidR="009E24ED" w:rsidRPr="00721380">
          <w:rPr>
            <w:rStyle w:val="Hipercze"/>
            <w:noProof/>
          </w:rPr>
          <w:t>Urządzenia GPON - Transmisja</w:t>
        </w:r>
        <w:r w:rsidR="009E24ED">
          <w:rPr>
            <w:noProof/>
            <w:webHidden/>
          </w:rPr>
          <w:tab/>
        </w:r>
        <w:r>
          <w:rPr>
            <w:noProof/>
            <w:webHidden/>
          </w:rPr>
          <w:fldChar w:fldCharType="begin"/>
        </w:r>
        <w:r w:rsidR="009E24ED">
          <w:rPr>
            <w:noProof/>
            <w:webHidden/>
          </w:rPr>
          <w:instrText xml:space="preserve"> PAGEREF _Toc383521235 \h </w:instrText>
        </w:r>
        <w:r>
          <w:rPr>
            <w:noProof/>
            <w:webHidden/>
          </w:rPr>
        </w:r>
        <w:r>
          <w:rPr>
            <w:noProof/>
            <w:webHidden/>
          </w:rPr>
          <w:fldChar w:fldCharType="separate"/>
        </w:r>
        <w:r w:rsidR="009E24ED">
          <w:rPr>
            <w:noProof/>
            <w:webHidden/>
          </w:rPr>
          <w:t>48</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6" w:history="1">
        <w:r w:rsidR="009E24ED" w:rsidRPr="00721380">
          <w:rPr>
            <w:rStyle w:val="Hipercze"/>
            <w:noProof/>
          </w:rPr>
          <w:t>3.1.29.</w:t>
        </w:r>
        <w:r w:rsidR="009E24ED">
          <w:rPr>
            <w:rFonts w:asciiTheme="minorHAnsi" w:eastAsiaTheme="minorEastAsia" w:hAnsiTheme="minorHAnsi" w:cstheme="minorBidi"/>
            <w:noProof/>
            <w:lang w:val="pl-PL"/>
          </w:rPr>
          <w:tab/>
        </w:r>
        <w:r w:rsidR="009E24ED" w:rsidRPr="00721380">
          <w:rPr>
            <w:rStyle w:val="Hipercze"/>
            <w:noProof/>
          </w:rPr>
          <w:t>Systemy nadzoru - DSLAM</w:t>
        </w:r>
        <w:r w:rsidR="009E24ED">
          <w:rPr>
            <w:noProof/>
            <w:webHidden/>
          </w:rPr>
          <w:tab/>
        </w:r>
        <w:r>
          <w:rPr>
            <w:noProof/>
            <w:webHidden/>
          </w:rPr>
          <w:fldChar w:fldCharType="begin"/>
        </w:r>
        <w:r w:rsidR="009E24ED">
          <w:rPr>
            <w:noProof/>
            <w:webHidden/>
          </w:rPr>
          <w:instrText xml:space="preserve"> PAGEREF _Toc383521236 \h </w:instrText>
        </w:r>
        <w:r>
          <w:rPr>
            <w:noProof/>
            <w:webHidden/>
          </w:rPr>
        </w:r>
        <w:r>
          <w:rPr>
            <w:noProof/>
            <w:webHidden/>
          </w:rPr>
          <w:fldChar w:fldCharType="separate"/>
        </w:r>
        <w:r w:rsidR="009E24ED">
          <w:rPr>
            <w:noProof/>
            <w:webHidden/>
          </w:rPr>
          <w:t>48</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7" w:history="1">
        <w:r w:rsidR="009E24ED" w:rsidRPr="00721380">
          <w:rPr>
            <w:rStyle w:val="Hipercze"/>
            <w:noProof/>
          </w:rPr>
          <w:t>3.1.30.</w:t>
        </w:r>
        <w:r w:rsidR="009E24ED">
          <w:rPr>
            <w:rFonts w:asciiTheme="minorHAnsi" w:eastAsiaTheme="minorEastAsia" w:hAnsiTheme="minorHAnsi" w:cstheme="minorBidi"/>
            <w:noProof/>
            <w:lang w:val="pl-PL"/>
          </w:rPr>
          <w:tab/>
        </w:r>
        <w:r w:rsidR="009E24ED" w:rsidRPr="00721380">
          <w:rPr>
            <w:rStyle w:val="Hipercze"/>
            <w:noProof/>
          </w:rPr>
          <w:t>WIMAX</w:t>
        </w:r>
        <w:r w:rsidR="009E24ED">
          <w:rPr>
            <w:noProof/>
            <w:webHidden/>
          </w:rPr>
          <w:tab/>
        </w:r>
        <w:r>
          <w:rPr>
            <w:noProof/>
            <w:webHidden/>
          </w:rPr>
          <w:fldChar w:fldCharType="begin"/>
        </w:r>
        <w:r w:rsidR="009E24ED">
          <w:rPr>
            <w:noProof/>
            <w:webHidden/>
          </w:rPr>
          <w:instrText xml:space="preserve"> PAGEREF _Toc383521237 \h </w:instrText>
        </w:r>
        <w:r>
          <w:rPr>
            <w:noProof/>
            <w:webHidden/>
          </w:rPr>
        </w:r>
        <w:r>
          <w:rPr>
            <w:noProof/>
            <w:webHidden/>
          </w:rPr>
          <w:fldChar w:fldCharType="separate"/>
        </w:r>
        <w:r w:rsidR="009E24ED">
          <w:rPr>
            <w:noProof/>
            <w:webHidden/>
          </w:rPr>
          <w:t>48</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8" w:history="1">
        <w:r w:rsidR="009E24ED" w:rsidRPr="00721380">
          <w:rPr>
            <w:rStyle w:val="Hipercze"/>
            <w:noProof/>
          </w:rPr>
          <w:t>3.1.31.</w:t>
        </w:r>
        <w:r w:rsidR="009E24ED">
          <w:rPr>
            <w:rFonts w:asciiTheme="minorHAnsi" w:eastAsiaTheme="minorEastAsia" w:hAnsiTheme="minorHAnsi" w:cstheme="minorBidi"/>
            <w:noProof/>
            <w:lang w:val="pl-PL"/>
          </w:rPr>
          <w:tab/>
        </w:r>
        <w:r w:rsidR="009E24ED" w:rsidRPr="00721380">
          <w:rPr>
            <w:rStyle w:val="Hipercze"/>
            <w:noProof/>
          </w:rPr>
          <w:t>ATM Koncentratory szerokopasmowe</w:t>
        </w:r>
        <w:r w:rsidR="009E24ED">
          <w:rPr>
            <w:noProof/>
            <w:webHidden/>
          </w:rPr>
          <w:tab/>
        </w:r>
        <w:r>
          <w:rPr>
            <w:noProof/>
            <w:webHidden/>
          </w:rPr>
          <w:fldChar w:fldCharType="begin"/>
        </w:r>
        <w:r w:rsidR="009E24ED">
          <w:rPr>
            <w:noProof/>
            <w:webHidden/>
          </w:rPr>
          <w:instrText xml:space="preserve"> PAGEREF _Toc383521238 \h </w:instrText>
        </w:r>
        <w:r>
          <w:rPr>
            <w:noProof/>
            <w:webHidden/>
          </w:rPr>
        </w:r>
        <w:r>
          <w:rPr>
            <w:noProof/>
            <w:webHidden/>
          </w:rPr>
          <w:fldChar w:fldCharType="separate"/>
        </w:r>
        <w:r w:rsidR="009E24ED">
          <w:rPr>
            <w:noProof/>
            <w:webHidden/>
          </w:rPr>
          <w:t>48</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39" w:history="1">
        <w:r w:rsidR="009E24ED" w:rsidRPr="00721380">
          <w:rPr>
            <w:rStyle w:val="Hipercze"/>
            <w:noProof/>
          </w:rPr>
          <w:t>3.1.32.</w:t>
        </w:r>
        <w:r w:rsidR="009E24ED">
          <w:rPr>
            <w:rFonts w:asciiTheme="minorHAnsi" w:eastAsiaTheme="minorEastAsia" w:hAnsiTheme="minorHAnsi" w:cstheme="minorBidi"/>
            <w:noProof/>
            <w:lang w:val="pl-PL"/>
          </w:rPr>
          <w:tab/>
        </w:r>
        <w:r w:rsidR="009E24ED" w:rsidRPr="00721380">
          <w:rPr>
            <w:rStyle w:val="Hipercze"/>
            <w:noProof/>
          </w:rPr>
          <w:t>Przełączniki ATM/FR</w:t>
        </w:r>
        <w:r w:rsidR="009E24ED">
          <w:rPr>
            <w:noProof/>
            <w:webHidden/>
          </w:rPr>
          <w:tab/>
        </w:r>
        <w:r>
          <w:rPr>
            <w:noProof/>
            <w:webHidden/>
          </w:rPr>
          <w:fldChar w:fldCharType="begin"/>
        </w:r>
        <w:r w:rsidR="009E24ED">
          <w:rPr>
            <w:noProof/>
            <w:webHidden/>
          </w:rPr>
          <w:instrText xml:space="preserve"> PAGEREF _Toc383521239 \h </w:instrText>
        </w:r>
        <w:r>
          <w:rPr>
            <w:noProof/>
            <w:webHidden/>
          </w:rPr>
        </w:r>
        <w:r>
          <w:rPr>
            <w:noProof/>
            <w:webHidden/>
          </w:rPr>
          <w:fldChar w:fldCharType="separate"/>
        </w:r>
        <w:r w:rsidR="009E24ED">
          <w:rPr>
            <w:noProof/>
            <w:webHidden/>
          </w:rPr>
          <w:t>49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0" w:history="1">
        <w:r w:rsidR="009E24ED" w:rsidRPr="00721380">
          <w:rPr>
            <w:rStyle w:val="Hipercze"/>
            <w:noProof/>
          </w:rPr>
          <w:t>ATM/FR - Brzeg – Dostęp</w:t>
        </w:r>
        <w:r w:rsidR="009E24ED">
          <w:rPr>
            <w:noProof/>
            <w:webHidden/>
          </w:rPr>
          <w:tab/>
        </w:r>
        <w:r>
          <w:rPr>
            <w:noProof/>
            <w:webHidden/>
          </w:rPr>
          <w:fldChar w:fldCharType="begin"/>
        </w:r>
        <w:r w:rsidR="009E24ED">
          <w:rPr>
            <w:noProof/>
            <w:webHidden/>
          </w:rPr>
          <w:instrText xml:space="preserve"> PAGEREF _Toc383521240 \h </w:instrText>
        </w:r>
        <w:r>
          <w:rPr>
            <w:noProof/>
            <w:webHidden/>
          </w:rPr>
        </w:r>
        <w:r>
          <w:rPr>
            <w:noProof/>
            <w:webHidden/>
          </w:rPr>
          <w:fldChar w:fldCharType="separate"/>
        </w:r>
        <w:r w:rsidR="009E24ED">
          <w:rPr>
            <w:noProof/>
            <w:webHidden/>
          </w:rPr>
          <w:t>49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1" w:history="1">
        <w:r w:rsidR="009E24ED" w:rsidRPr="00721380">
          <w:rPr>
            <w:rStyle w:val="Hipercze"/>
            <w:noProof/>
            <w:lang w:val="pl-PL"/>
          </w:rPr>
          <w:t>ATM/FR - Brzeg - Ruch</w:t>
        </w:r>
        <w:r w:rsidR="009E24ED">
          <w:rPr>
            <w:noProof/>
            <w:webHidden/>
          </w:rPr>
          <w:tab/>
        </w:r>
        <w:r>
          <w:rPr>
            <w:noProof/>
            <w:webHidden/>
          </w:rPr>
          <w:fldChar w:fldCharType="begin"/>
        </w:r>
        <w:r w:rsidR="009E24ED">
          <w:rPr>
            <w:noProof/>
            <w:webHidden/>
          </w:rPr>
          <w:instrText xml:space="preserve"> PAGEREF _Toc383521241 \h </w:instrText>
        </w:r>
        <w:r>
          <w:rPr>
            <w:noProof/>
            <w:webHidden/>
          </w:rPr>
        </w:r>
        <w:r>
          <w:rPr>
            <w:noProof/>
            <w:webHidden/>
          </w:rPr>
          <w:fldChar w:fldCharType="separate"/>
        </w:r>
        <w:r w:rsidR="009E24ED">
          <w:rPr>
            <w:noProof/>
            <w:webHidden/>
          </w:rPr>
          <w:t>49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2" w:history="1">
        <w:r w:rsidR="009E24ED" w:rsidRPr="00721380">
          <w:rPr>
            <w:rStyle w:val="Hipercze"/>
            <w:noProof/>
            <w:lang w:val="pl-PL"/>
          </w:rPr>
          <w:t>ATM/FR - Szkielet - Dostęp</w:t>
        </w:r>
        <w:r w:rsidR="009E24ED">
          <w:rPr>
            <w:noProof/>
            <w:webHidden/>
          </w:rPr>
          <w:tab/>
        </w:r>
        <w:r>
          <w:rPr>
            <w:noProof/>
            <w:webHidden/>
          </w:rPr>
          <w:fldChar w:fldCharType="begin"/>
        </w:r>
        <w:r w:rsidR="009E24ED">
          <w:rPr>
            <w:noProof/>
            <w:webHidden/>
          </w:rPr>
          <w:instrText xml:space="preserve"> PAGEREF _Toc383521242 \h </w:instrText>
        </w:r>
        <w:r>
          <w:rPr>
            <w:noProof/>
            <w:webHidden/>
          </w:rPr>
        </w:r>
        <w:r>
          <w:rPr>
            <w:noProof/>
            <w:webHidden/>
          </w:rPr>
          <w:fldChar w:fldCharType="separate"/>
        </w:r>
        <w:r w:rsidR="009E24ED">
          <w:rPr>
            <w:noProof/>
            <w:webHidden/>
          </w:rPr>
          <w:t>49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3" w:history="1">
        <w:r w:rsidR="009E24ED" w:rsidRPr="00721380">
          <w:rPr>
            <w:rStyle w:val="Hipercze"/>
            <w:noProof/>
            <w:lang w:val="pl-PL"/>
          </w:rPr>
          <w:t>ATM/FR - Szkielet - Ruch</w:t>
        </w:r>
        <w:r w:rsidR="009E24ED">
          <w:rPr>
            <w:noProof/>
            <w:webHidden/>
          </w:rPr>
          <w:tab/>
        </w:r>
        <w:r>
          <w:rPr>
            <w:noProof/>
            <w:webHidden/>
          </w:rPr>
          <w:fldChar w:fldCharType="begin"/>
        </w:r>
        <w:r w:rsidR="009E24ED">
          <w:rPr>
            <w:noProof/>
            <w:webHidden/>
          </w:rPr>
          <w:instrText xml:space="preserve"> PAGEREF _Toc383521243 \h </w:instrText>
        </w:r>
        <w:r>
          <w:rPr>
            <w:noProof/>
            <w:webHidden/>
          </w:rPr>
        </w:r>
        <w:r>
          <w:rPr>
            <w:noProof/>
            <w:webHidden/>
          </w:rPr>
          <w:fldChar w:fldCharType="separate"/>
        </w:r>
        <w:r w:rsidR="009E24ED">
          <w:rPr>
            <w:noProof/>
            <w:webHidden/>
          </w:rPr>
          <w:t>49</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44" w:history="1">
        <w:r w:rsidR="009E24ED" w:rsidRPr="00721380">
          <w:rPr>
            <w:rStyle w:val="Hipercze"/>
            <w:noProof/>
          </w:rPr>
          <w:t>3.1.33.</w:t>
        </w:r>
        <w:r w:rsidR="009E24ED">
          <w:rPr>
            <w:rFonts w:asciiTheme="minorHAnsi" w:eastAsiaTheme="minorEastAsia" w:hAnsiTheme="minorHAnsi" w:cstheme="minorBidi"/>
            <w:noProof/>
            <w:lang w:val="pl-PL"/>
          </w:rPr>
          <w:tab/>
        </w:r>
        <w:r w:rsidR="009E24ED" w:rsidRPr="00721380">
          <w:rPr>
            <w:rStyle w:val="Hipercze"/>
            <w:noProof/>
          </w:rPr>
          <w:t>Routery IP</w:t>
        </w:r>
        <w:r w:rsidR="009E24ED">
          <w:rPr>
            <w:noProof/>
            <w:webHidden/>
          </w:rPr>
          <w:tab/>
        </w:r>
        <w:r>
          <w:rPr>
            <w:noProof/>
            <w:webHidden/>
          </w:rPr>
          <w:fldChar w:fldCharType="begin"/>
        </w:r>
        <w:r w:rsidR="009E24ED">
          <w:rPr>
            <w:noProof/>
            <w:webHidden/>
          </w:rPr>
          <w:instrText xml:space="preserve"> PAGEREF _Toc383521244 \h </w:instrText>
        </w:r>
        <w:r>
          <w:rPr>
            <w:noProof/>
            <w:webHidden/>
          </w:rPr>
        </w:r>
        <w:r>
          <w:rPr>
            <w:noProof/>
            <w:webHidden/>
          </w:rPr>
          <w:fldChar w:fldCharType="separate"/>
        </w:r>
        <w:r w:rsidR="009E24ED">
          <w:rPr>
            <w:noProof/>
            <w:webHidden/>
          </w:rPr>
          <w:t>49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5" w:history="1">
        <w:r w:rsidR="009E24ED" w:rsidRPr="00721380">
          <w:rPr>
            <w:rStyle w:val="Hipercze"/>
            <w:noProof/>
            <w:lang w:val="pl-PL"/>
          </w:rPr>
          <w:t>IP Routery brzegowe – Dostęp GE</w:t>
        </w:r>
        <w:r w:rsidR="009E24ED">
          <w:rPr>
            <w:noProof/>
            <w:webHidden/>
          </w:rPr>
          <w:tab/>
        </w:r>
        <w:r>
          <w:rPr>
            <w:noProof/>
            <w:webHidden/>
          </w:rPr>
          <w:fldChar w:fldCharType="begin"/>
        </w:r>
        <w:r w:rsidR="009E24ED">
          <w:rPr>
            <w:noProof/>
            <w:webHidden/>
          </w:rPr>
          <w:instrText xml:space="preserve"> PAGEREF _Toc383521245 \h </w:instrText>
        </w:r>
        <w:r>
          <w:rPr>
            <w:noProof/>
            <w:webHidden/>
          </w:rPr>
        </w:r>
        <w:r>
          <w:rPr>
            <w:noProof/>
            <w:webHidden/>
          </w:rPr>
          <w:fldChar w:fldCharType="separate"/>
        </w:r>
        <w:r w:rsidR="009E24ED">
          <w:rPr>
            <w:noProof/>
            <w:webHidden/>
          </w:rPr>
          <w:t>49</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6" w:history="1">
        <w:r w:rsidR="009E24ED" w:rsidRPr="00721380">
          <w:rPr>
            <w:rStyle w:val="Hipercze"/>
            <w:noProof/>
            <w:lang w:val="pl-PL"/>
          </w:rPr>
          <w:t>IP Routery brzegowe – Dostęp 10GE</w:t>
        </w:r>
        <w:r w:rsidR="009E24ED">
          <w:rPr>
            <w:noProof/>
            <w:webHidden/>
          </w:rPr>
          <w:tab/>
        </w:r>
        <w:r>
          <w:rPr>
            <w:noProof/>
            <w:webHidden/>
          </w:rPr>
          <w:fldChar w:fldCharType="begin"/>
        </w:r>
        <w:r w:rsidR="009E24ED">
          <w:rPr>
            <w:noProof/>
            <w:webHidden/>
          </w:rPr>
          <w:instrText xml:space="preserve"> PAGEREF _Toc383521246 \h </w:instrText>
        </w:r>
        <w:r>
          <w:rPr>
            <w:noProof/>
            <w:webHidden/>
          </w:rPr>
        </w:r>
        <w:r>
          <w:rPr>
            <w:noProof/>
            <w:webHidden/>
          </w:rPr>
          <w:fldChar w:fldCharType="separate"/>
        </w:r>
        <w:r w:rsidR="009E24ED">
          <w:rPr>
            <w:noProof/>
            <w:webHidden/>
          </w:rPr>
          <w:t>50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7" w:history="1">
        <w:r w:rsidR="009E24ED" w:rsidRPr="00721380">
          <w:rPr>
            <w:rStyle w:val="Hipercze"/>
            <w:noProof/>
            <w:lang w:val="pl-PL"/>
          </w:rPr>
          <w:t>IP Routery brzegowe – Ruch</w:t>
        </w:r>
        <w:r w:rsidR="009E24ED">
          <w:rPr>
            <w:noProof/>
            <w:webHidden/>
          </w:rPr>
          <w:tab/>
        </w:r>
        <w:r>
          <w:rPr>
            <w:noProof/>
            <w:webHidden/>
          </w:rPr>
          <w:fldChar w:fldCharType="begin"/>
        </w:r>
        <w:r w:rsidR="009E24ED">
          <w:rPr>
            <w:noProof/>
            <w:webHidden/>
          </w:rPr>
          <w:instrText xml:space="preserve"> PAGEREF _Toc383521247 \h </w:instrText>
        </w:r>
        <w:r>
          <w:rPr>
            <w:noProof/>
            <w:webHidden/>
          </w:rPr>
        </w:r>
        <w:r>
          <w:rPr>
            <w:noProof/>
            <w:webHidden/>
          </w:rPr>
          <w:fldChar w:fldCharType="separate"/>
        </w:r>
        <w:r w:rsidR="009E24ED">
          <w:rPr>
            <w:noProof/>
            <w:webHidden/>
          </w:rPr>
          <w:t>50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8" w:history="1">
        <w:r w:rsidR="009E24ED" w:rsidRPr="00721380">
          <w:rPr>
            <w:rStyle w:val="Hipercze"/>
            <w:noProof/>
            <w:lang w:val="pl-PL"/>
          </w:rPr>
          <w:t>IP Routery – usługowe</w:t>
        </w:r>
        <w:r w:rsidR="009E24ED">
          <w:rPr>
            <w:noProof/>
            <w:webHidden/>
          </w:rPr>
          <w:tab/>
        </w:r>
        <w:r>
          <w:rPr>
            <w:noProof/>
            <w:webHidden/>
          </w:rPr>
          <w:fldChar w:fldCharType="begin"/>
        </w:r>
        <w:r w:rsidR="009E24ED">
          <w:rPr>
            <w:noProof/>
            <w:webHidden/>
          </w:rPr>
          <w:instrText xml:space="preserve"> PAGEREF _Toc383521248 \h </w:instrText>
        </w:r>
        <w:r>
          <w:rPr>
            <w:noProof/>
            <w:webHidden/>
          </w:rPr>
        </w:r>
        <w:r>
          <w:rPr>
            <w:noProof/>
            <w:webHidden/>
          </w:rPr>
          <w:fldChar w:fldCharType="separate"/>
        </w:r>
        <w:r w:rsidR="009E24ED">
          <w:rPr>
            <w:noProof/>
            <w:webHidden/>
          </w:rPr>
          <w:t>50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49" w:history="1">
        <w:r w:rsidR="009E24ED" w:rsidRPr="00721380">
          <w:rPr>
            <w:rStyle w:val="Hipercze"/>
            <w:noProof/>
            <w:lang w:val="pl-PL"/>
          </w:rPr>
          <w:t>IP Routery – szkieletowe</w:t>
        </w:r>
        <w:r w:rsidR="009E24ED">
          <w:rPr>
            <w:noProof/>
            <w:webHidden/>
          </w:rPr>
          <w:tab/>
        </w:r>
        <w:r>
          <w:rPr>
            <w:noProof/>
            <w:webHidden/>
          </w:rPr>
          <w:fldChar w:fldCharType="begin"/>
        </w:r>
        <w:r w:rsidR="009E24ED">
          <w:rPr>
            <w:noProof/>
            <w:webHidden/>
          </w:rPr>
          <w:instrText xml:space="preserve"> PAGEREF _Toc383521249 \h </w:instrText>
        </w:r>
        <w:r>
          <w:rPr>
            <w:noProof/>
            <w:webHidden/>
          </w:rPr>
        </w:r>
        <w:r>
          <w:rPr>
            <w:noProof/>
            <w:webHidden/>
          </w:rPr>
          <w:fldChar w:fldCharType="separate"/>
        </w:r>
        <w:r w:rsidR="009E24ED">
          <w:rPr>
            <w:noProof/>
            <w:webHidden/>
          </w:rPr>
          <w:t>50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0" w:history="1">
        <w:r w:rsidR="009E24ED" w:rsidRPr="00721380">
          <w:rPr>
            <w:rStyle w:val="Hipercze"/>
            <w:noProof/>
            <w:lang w:val="pl-PL"/>
          </w:rPr>
          <w:t>IP Routery IPVPN</w:t>
        </w:r>
        <w:r w:rsidR="009E24ED">
          <w:rPr>
            <w:noProof/>
            <w:webHidden/>
          </w:rPr>
          <w:tab/>
        </w:r>
        <w:r>
          <w:rPr>
            <w:noProof/>
            <w:webHidden/>
          </w:rPr>
          <w:fldChar w:fldCharType="begin"/>
        </w:r>
        <w:r w:rsidR="009E24ED">
          <w:rPr>
            <w:noProof/>
            <w:webHidden/>
          </w:rPr>
          <w:instrText xml:space="preserve"> PAGEREF _Toc383521250 \h </w:instrText>
        </w:r>
        <w:r>
          <w:rPr>
            <w:noProof/>
            <w:webHidden/>
          </w:rPr>
        </w:r>
        <w:r>
          <w:rPr>
            <w:noProof/>
            <w:webHidden/>
          </w:rPr>
          <w:fldChar w:fldCharType="separate"/>
        </w:r>
        <w:r w:rsidR="009E24ED">
          <w:rPr>
            <w:noProof/>
            <w:webHidden/>
          </w:rPr>
          <w:t>50</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1" w:history="1">
        <w:r w:rsidR="009E24ED" w:rsidRPr="00721380">
          <w:rPr>
            <w:rStyle w:val="Hipercze"/>
            <w:noProof/>
            <w:lang w:val="pl-PL"/>
          </w:rPr>
          <w:t>IP Routery – Multimedia – Szkielet</w:t>
        </w:r>
        <w:r w:rsidR="009E24ED">
          <w:rPr>
            <w:noProof/>
            <w:webHidden/>
          </w:rPr>
          <w:tab/>
        </w:r>
        <w:r>
          <w:rPr>
            <w:noProof/>
            <w:webHidden/>
          </w:rPr>
          <w:fldChar w:fldCharType="begin"/>
        </w:r>
        <w:r w:rsidR="009E24ED">
          <w:rPr>
            <w:noProof/>
            <w:webHidden/>
          </w:rPr>
          <w:instrText xml:space="preserve"> PAGEREF _Toc383521251 \h </w:instrText>
        </w:r>
        <w:r>
          <w:rPr>
            <w:noProof/>
            <w:webHidden/>
          </w:rPr>
        </w:r>
        <w:r>
          <w:rPr>
            <w:noProof/>
            <w:webHidden/>
          </w:rPr>
          <w:fldChar w:fldCharType="separate"/>
        </w:r>
        <w:r w:rsidR="009E24ED">
          <w:rPr>
            <w:noProof/>
            <w:webHidden/>
          </w:rPr>
          <w:t>51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2" w:history="1">
        <w:r w:rsidR="009E24ED" w:rsidRPr="00721380">
          <w:rPr>
            <w:rStyle w:val="Hipercze"/>
            <w:noProof/>
            <w:lang w:val="pl-PL"/>
          </w:rPr>
          <w:t>IP Routery – Multimedia – Brzeg – Dostęp GE</w:t>
        </w:r>
        <w:r w:rsidR="009E24ED">
          <w:rPr>
            <w:noProof/>
            <w:webHidden/>
          </w:rPr>
          <w:tab/>
        </w:r>
        <w:r>
          <w:rPr>
            <w:noProof/>
            <w:webHidden/>
          </w:rPr>
          <w:fldChar w:fldCharType="begin"/>
        </w:r>
        <w:r w:rsidR="009E24ED">
          <w:rPr>
            <w:noProof/>
            <w:webHidden/>
          </w:rPr>
          <w:instrText xml:space="preserve"> PAGEREF _Toc383521252 \h </w:instrText>
        </w:r>
        <w:r>
          <w:rPr>
            <w:noProof/>
            <w:webHidden/>
          </w:rPr>
        </w:r>
        <w:r>
          <w:rPr>
            <w:noProof/>
            <w:webHidden/>
          </w:rPr>
          <w:fldChar w:fldCharType="separate"/>
        </w:r>
        <w:r w:rsidR="009E24ED">
          <w:rPr>
            <w:noProof/>
            <w:webHidden/>
          </w:rPr>
          <w:t>51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3" w:history="1">
        <w:r w:rsidR="009E24ED" w:rsidRPr="00721380">
          <w:rPr>
            <w:rStyle w:val="Hipercze"/>
            <w:noProof/>
            <w:lang w:val="pl-PL"/>
          </w:rPr>
          <w:t>IP Routery – Multimedia – Brzeg – Dostęp 10GE</w:t>
        </w:r>
        <w:r w:rsidR="009E24ED">
          <w:rPr>
            <w:noProof/>
            <w:webHidden/>
          </w:rPr>
          <w:tab/>
        </w:r>
        <w:r>
          <w:rPr>
            <w:noProof/>
            <w:webHidden/>
          </w:rPr>
          <w:fldChar w:fldCharType="begin"/>
        </w:r>
        <w:r w:rsidR="009E24ED">
          <w:rPr>
            <w:noProof/>
            <w:webHidden/>
          </w:rPr>
          <w:instrText xml:space="preserve"> PAGEREF _Toc383521253 \h </w:instrText>
        </w:r>
        <w:r>
          <w:rPr>
            <w:noProof/>
            <w:webHidden/>
          </w:rPr>
        </w:r>
        <w:r>
          <w:rPr>
            <w:noProof/>
            <w:webHidden/>
          </w:rPr>
          <w:fldChar w:fldCharType="separate"/>
        </w:r>
        <w:r w:rsidR="009E24ED">
          <w:rPr>
            <w:noProof/>
            <w:webHidden/>
          </w:rPr>
          <w:t>51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4" w:history="1">
        <w:r w:rsidR="009E24ED" w:rsidRPr="00721380">
          <w:rPr>
            <w:rStyle w:val="Hipercze"/>
            <w:noProof/>
            <w:lang w:val="pl-PL"/>
          </w:rPr>
          <w:t>IP Routery – Multimedia – Brzeg – Ruch</w:t>
        </w:r>
        <w:r w:rsidR="009E24ED">
          <w:rPr>
            <w:noProof/>
            <w:webHidden/>
          </w:rPr>
          <w:tab/>
        </w:r>
        <w:r>
          <w:rPr>
            <w:noProof/>
            <w:webHidden/>
          </w:rPr>
          <w:fldChar w:fldCharType="begin"/>
        </w:r>
        <w:r w:rsidR="009E24ED">
          <w:rPr>
            <w:noProof/>
            <w:webHidden/>
          </w:rPr>
          <w:instrText xml:space="preserve"> PAGEREF _Toc383521254 \h </w:instrText>
        </w:r>
        <w:r>
          <w:rPr>
            <w:noProof/>
            <w:webHidden/>
          </w:rPr>
        </w:r>
        <w:r>
          <w:rPr>
            <w:noProof/>
            <w:webHidden/>
          </w:rPr>
          <w:fldChar w:fldCharType="separate"/>
        </w:r>
        <w:r w:rsidR="009E24ED">
          <w:rPr>
            <w:noProof/>
            <w:webHidden/>
          </w:rPr>
          <w:t>51</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55" w:history="1">
        <w:r w:rsidR="009E24ED" w:rsidRPr="00721380">
          <w:rPr>
            <w:rStyle w:val="Hipercze"/>
            <w:noProof/>
          </w:rPr>
          <w:t>3.1.34.</w:t>
        </w:r>
        <w:r w:rsidR="009E24ED">
          <w:rPr>
            <w:rFonts w:asciiTheme="minorHAnsi" w:eastAsiaTheme="minorEastAsia" w:hAnsiTheme="minorHAnsi" w:cstheme="minorBidi"/>
            <w:noProof/>
            <w:lang w:val="pl-PL"/>
          </w:rPr>
          <w:tab/>
        </w:r>
        <w:r w:rsidR="009E24ED" w:rsidRPr="00721380">
          <w:rPr>
            <w:rStyle w:val="Hipercze"/>
            <w:noProof/>
          </w:rPr>
          <w:t>IP Serwery – Multimedia</w:t>
        </w:r>
        <w:r w:rsidR="009E24ED">
          <w:rPr>
            <w:noProof/>
            <w:webHidden/>
          </w:rPr>
          <w:tab/>
        </w:r>
        <w:r>
          <w:rPr>
            <w:noProof/>
            <w:webHidden/>
          </w:rPr>
          <w:fldChar w:fldCharType="begin"/>
        </w:r>
        <w:r w:rsidR="009E24ED">
          <w:rPr>
            <w:noProof/>
            <w:webHidden/>
          </w:rPr>
          <w:instrText xml:space="preserve"> PAGEREF _Toc383521255 \h </w:instrText>
        </w:r>
        <w:r>
          <w:rPr>
            <w:noProof/>
            <w:webHidden/>
          </w:rPr>
        </w:r>
        <w:r>
          <w:rPr>
            <w:noProof/>
            <w:webHidden/>
          </w:rPr>
          <w:fldChar w:fldCharType="separate"/>
        </w:r>
        <w:r w:rsidR="009E24ED">
          <w:rPr>
            <w:noProof/>
            <w:webHidden/>
          </w:rPr>
          <w:t>51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6" w:history="1">
        <w:r w:rsidR="009E24ED" w:rsidRPr="00721380">
          <w:rPr>
            <w:rStyle w:val="Hipercze"/>
            <w:noProof/>
          </w:rPr>
          <w:t>IP Serwery – Platforma VoIP</w:t>
        </w:r>
        <w:r w:rsidR="009E24ED">
          <w:rPr>
            <w:noProof/>
            <w:webHidden/>
          </w:rPr>
          <w:tab/>
        </w:r>
        <w:r>
          <w:rPr>
            <w:noProof/>
            <w:webHidden/>
          </w:rPr>
          <w:fldChar w:fldCharType="begin"/>
        </w:r>
        <w:r w:rsidR="009E24ED">
          <w:rPr>
            <w:noProof/>
            <w:webHidden/>
          </w:rPr>
          <w:instrText xml:space="preserve"> PAGEREF _Toc383521256 \h </w:instrText>
        </w:r>
        <w:r>
          <w:rPr>
            <w:noProof/>
            <w:webHidden/>
          </w:rPr>
        </w:r>
        <w:r>
          <w:rPr>
            <w:noProof/>
            <w:webHidden/>
          </w:rPr>
          <w:fldChar w:fldCharType="separate"/>
        </w:r>
        <w:r w:rsidR="009E24ED">
          <w:rPr>
            <w:noProof/>
            <w:webHidden/>
          </w:rPr>
          <w:t>51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7" w:history="1">
        <w:r w:rsidR="009E24ED" w:rsidRPr="00721380">
          <w:rPr>
            <w:rStyle w:val="Hipercze"/>
            <w:noProof/>
            <w:lang w:val="pl-PL"/>
          </w:rPr>
          <w:t>IP Serwery – Platforma BTV&amp;VoD</w:t>
        </w:r>
        <w:r w:rsidR="009E24ED">
          <w:rPr>
            <w:noProof/>
            <w:webHidden/>
          </w:rPr>
          <w:tab/>
        </w:r>
        <w:r>
          <w:rPr>
            <w:noProof/>
            <w:webHidden/>
          </w:rPr>
          <w:fldChar w:fldCharType="begin"/>
        </w:r>
        <w:r w:rsidR="009E24ED">
          <w:rPr>
            <w:noProof/>
            <w:webHidden/>
          </w:rPr>
          <w:instrText xml:space="preserve"> PAGEREF _Toc383521257 \h </w:instrText>
        </w:r>
        <w:r>
          <w:rPr>
            <w:noProof/>
            <w:webHidden/>
          </w:rPr>
        </w:r>
        <w:r>
          <w:rPr>
            <w:noProof/>
            <w:webHidden/>
          </w:rPr>
          <w:fldChar w:fldCharType="separate"/>
        </w:r>
        <w:r w:rsidR="009E24ED">
          <w:rPr>
            <w:noProof/>
            <w:webHidden/>
          </w:rPr>
          <w:t>51</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8" w:history="1">
        <w:r w:rsidR="009E24ED" w:rsidRPr="00721380">
          <w:rPr>
            <w:rStyle w:val="Hipercze"/>
            <w:noProof/>
            <w:lang w:val="pl-PL"/>
          </w:rPr>
          <w:t>IP Serwery – Autentykacja</w:t>
        </w:r>
        <w:r w:rsidR="009E24ED">
          <w:rPr>
            <w:noProof/>
            <w:webHidden/>
          </w:rPr>
          <w:tab/>
        </w:r>
        <w:r>
          <w:rPr>
            <w:noProof/>
            <w:webHidden/>
          </w:rPr>
          <w:fldChar w:fldCharType="begin"/>
        </w:r>
        <w:r w:rsidR="009E24ED">
          <w:rPr>
            <w:noProof/>
            <w:webHidden/>
          </w:rPr>
          <w:instrText xml:space="preserve"> PAGEREF _Toc383521258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59" w:history="1">
        <w:r w:rsidR="009E24ED" w:rsidRPr="00721380">
          <w:rPr>
            <w:rStyle w:val="Hipercze"/>
            <w:noProof/>
            <w:lang w:val="pl-PL"/>
          </w:rPr>
          <w:t>IP Serwery – Usługi dodane</w:t>
        </w:r>
        <w:r w:rsidR="009E24ED">
          <w:rPr>
            <w:noProof/>
            <w:webHidden/>
          </w:rPr>
          <w:tab/>
        </w:r>
        <w:r>
          <w:rPr>
            <w:noProof/>
            <w:webHidden/>
          </w:rPr>
          <w:fldChar w:fldCharType="begin"/>
        </w:r>
        <w:r w:rsidR="009E24ED">
          <w:rPr>
            <w:noProof/>
            <w:webHidden/>
          </w:rPr>
          <w:instrText xml:space="preserve"> PAGEREF _Toc383521259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0" w:history="1">
        <w:r w:rsidR="009E24ED" w:rsidRPr="00721380">
          <w:rPr>
            <w:rStyle w:val="Hipercze"/>
            <w:noProof/>
          </w:rPr>
          <w:t>3.1.35.</w:t>
        </w:r>
        <w:r w:rsidR="009E24ED">
          <w:rPr>
            <w:rFonts w:asciiTheme="minorHAnsi" w:eastAsiaTheme="minorEastAsia" w:hAnsiTheme="minorHAnsi" w:cstheme="minorBidi"/>
            <w:noProof/>
            <w:lang w:val="pl-PL"/>
          </w:rPr>
          <w:tab/>
        </w:r>
        <w:r w:rsidR="009E24ED" w:rsidRPr="00721380">
          <w:rPr>
            <w:rStyle w:val="Hipercze"/>
            <w:noProof/>
          </w:rPr>
          <w:t>IP MetroEthernet</w:t>
        </w:r>
        <w:r w:rsidR="009E24ED">
          <w:rPr>
            <w:noProof/>
            <w:webHidden/>
          </w:rPr>
          <w:tab/>
        </w:r>
        <w:r>
          <w:rPr>
            <w:noProof/>
            <w:webHidden/>
          </w:rPr>
          <w:fldChar w:fldCharType="begin"/>
        </w:r>
        <w:r w:rsidR="009E24ED">
          <w:rPr>
            <w:noProof/>
            <w:webHidden/>
          </w:rPr>
          <w:instrText xml:space="preserve"> PAGEREF _Toc383521260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1" w:history="1">
        <w:r w:rsidR="009E24ED" w:rsidRPr="00721380">
          <w:rPr>
            <w:rStyle w:val="Hipercze"/>
            <w:noProof/>
          </w:rPr>
          <w:t>3.1.36.</w:t>
        </w:r>
        <w:r w:rsidR="009E24ED">
          <w:rPr>
            <w:rFonts w:asciiTheme="minorHAnsi" w:eastAsiaTheme="minorEastAsia" w:hAnsiTheme="minorHAnsi" w:cstheme="minorBidi"/>
            <w:noProof/>
            <w:lang w:val="pl-PL"/>
          </w:rPr>
          <w:tab/>
        </w:r>
        <w:r w:rsidR="009E24ED" w:rsidRPr="00721380">
          <w:rPr>
            <w:rStyle w:val="Hipercze"/>
            <w:noProof/>
          </w:rPr>
          <w:t>Urządzenia nadzoru Sieci Pakietowej</w:t>
        </w:r>
        <w:r w:rsidR="009E24ED">
          <w:rPr>
            <w:noProof/>
            <w:webHidden/>
          </w:rPr>
          <w:tab/>
        </w:r>
        <w:r>
          <w:rPr>
            <w:noProof/>
            <w:webHidden/>
          </w:rPr>
          <w:fldChar w:fldCharType="begin"/>
        </w:r>
        <w:r w:rsidR="009E24ED">
          <w:rPr>
            <w:noProof/>
            <w:webHidden/>
          </w:rPr>
          <w:instrText xml:space="preserve"> PAGEREF _Toc383521261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2" w:history="1">
        <w:r w:rsidR="009E24ED" w:rsidRPr="00721380">
          <w:rPr>
            <w:rStyle w:val="Hipercze"/>
            <w:noProof/>
          </w:rPr>
          <w:t>3.1.37.</w:t>
        </w:r>
        <w:r w:rsidR="009E24ED">
          <w:rPr>
            <w:rFonts w:asciiTheme="minorHAnsi" w:eastAsiaTheme="minorEastAsia" w:hAnsiTheme="minorHAnsi" w:cstheme="minorBidi"/>
            <w:noProof/>
            <w:lang w:val="pl-PL"/>
          </w:rPr>
          <w:tab/>
        </w:r>
        <w:r w:rsidR="009E24ED" w:rsidRPr="00721380">
          <w:rPr>
            <w:rStyle w:val="Hipercze"/>
            <w:noProof/>
          </w:rPr>
          <w:t>Sieciowe urządzenia wspomagające</w:t>
        </w:r>
        <w:r w:rsidR="009E24ED">
          <w:rPr>
            <w:noProof/>
            <w:webHidden/>
          </w:rPr>
          <w:tab/>
        </w:r>
        <w:r>
          <w:rPr>
            <w:noProof/>
            <w:webHidden/>
          </w:rPr>
          <w:fldChar w:fldCharType="begin"/>
        </w:r>
        <w:r w:rsidR="009E24ED">
          <w:rPr>
            <w:noProof/>
            <w:webHidden/>
          </w:rPr>
          <w:instrText xml:space="preserve"> PAGEREF _Toc383521262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3" w:history="1">
        <w:r w:rsidR="009E24ED" w:rsidRPr="00721380">
          <w:rPr>
            <w:rStyle w:val="Hipercze"/>
            <w:noProof/>
          </w:rPr>
          <w:t>3.1.38.</w:t>
        </w:r>
        <w:r w:rsidR="009E24ED">
          <w:rPr>
            <w:rFonts w:asciiTheme="minorHAnsi" w:eastAsiaTheme="minorEastAsia" w:hAnsiTheme="minorHAnsi" w:cstheme="minorBidi"/>
            <w:noProof/>
            <w:lang w:val="pl-PL"/>
          </w:rPr>
          <w:tab/>
        </w:r>
        <w:r w:rsidR="009E24ED" w:rsidRPr="00721380">
          <w:rPr>
            <w:rStyle w:val="Hipercze"/>
            <w:noProof/>
          </w:rPr>
          <w:t>Baterie akumulatorów</w:t>
        </w:r>
        <w:r w:rsidR="009E24ED">
          <w:rPr>
            <w:noProof/>
            <w:webHidden/>
          </w:rPr>
          <w:tab/>
        </w:r>
        <w:r>
          <w:rPr>
            <w:noProof/>
            <w:webHidden/>
          </w:rPr>
          <w:fldChar w:fldCharType="begin"/>
        </w:r>
        <w:r w:rsidR="009E24ED">
          <w:rPr>
            <w:noProof/>
            <w:webHidden/>
          </w:rPr>
          <w:instrText xml:space="preserve"> PAGEREF _Toc383521263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4" w:history="1">
        <w:r w:rsidR="009E24ED" w:rsidRPr="00721380">
          <w:rPr>
            <w:rStyle w:val="Hipercze"/>
            <w:noProof/>
          </w:rPr>
          <w:t>3.1.39.</w:t>
        </w:r>
        <w:r w:rsidR="009E24ED">
          <w:rPr>
            <w:rFonts w:asciiTheme="minorHAnsi" w:eastAsiaTheme="minorEastAsia" w:hAnsiTheme="minorHAnsi" w:cstheme="minorBidi"/>
            <w:noProof/>
            <w:lang w:val="pl-PL"/>
          </w:rPr>
          <w:tab/>
        </w:r>
        <w:r w:rsidR="009E24ED" w:rsidRPr="00721380">
          <w:rPr>
            <w:rStyle w:val="Hipercze"/>
            <w:noProof/>
          </w:rPr>
          <w:t>Agregaty prądotwórcze</w:t>
        </w:r>
        <w:r w:rsidR="009E24ED">
          <w:rPr>
            <w:noProof/>
            <w:webHidden/>
          </w:rPr>
          <w:tab/>
        </w:r>
        <w:r>
          <w:rPr>
            <w:noProof/>
            <w:webHidden/>
          </w:rPr>
          <w:fldChar w:fldCharType="begin"/>
        </w:r>
        <w:r w:rsidR="009E24ED">
          <w:rPr>
            <w:noProof/>
            <w:webHidden/>
          </w:rPr>
          <w:instrText xml:space="preserve"> PAGEREF _Toc383521264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5" w:history="1">
        <w:r w:rsidR="009E24ED" w:rsidRPr="00721380">
          <w:rPr>
            <w:rStyle w:val="Hipercze"/>
            <w:noProof/>
          </w:rPr>
          <w:t>3.1.40.</w:t>
        </w:r>
        <w:r w:rsidR="009E24ED">
          <w:rPr>
            <w:rFonts w:asciiTheme="minorHAnsi" w:eastAsiaTheme="minorEastAsia" w:hAnsiTheme="minorHAnsi" w:cstheme="minorBidi"/>
            <w:noProof/>
            <w:lang w:val="pl-PL"/>
          </w:rPr>
          <w:tab/>
        </w:r>
        <w:r w:rsidR="009E24ED" w:rsidRPr="00721380">
          <w:rPr>
            <w:rStyle w:val="Hipercze"/>
            <w:noProof/>
          </w:rPr>
          <w:t>Siłownie telekomunikacyjne</w:t>
        </w:r>
        <w:r w:rsidR="009E24ED">
          <w:rPr>
            <w:noProof/>
            <w:webHidden/>
          </w:rPr>
          <w:tab/>
        </w:r>
        <w:r>
          <w:rPr>
            <w:noProof/>
            <w:webHidden/>
          </w:rPr>
          <w:fldChar w:fldCharType="begin"/>
        </w:r>
        <w:r w:rsidR="009E24ED">
          <w:rPr>
            <w:noProof/>
            <w:webHidden/>
          </w:rPr>
          <w:instrText xml:space="preserve"> PAGEREF _Toc383521265 \h </w:instrText>
        </w:r>
        <w:r>
          <w:rPr>
            <w:noProof/>
            <w:webHidden/>
          </w:rPr>
        </w:r>
        <w:r>
          <w:rPr>
            <w:noProof/>
            <w:webHidden/>
          </w:rPr>
          <w:fldChar w:fldCharType="separate"/>
        </w:r>
        <w:r w:rsidR="009E24ED">
          <w:rPr>
            <w:noProof/>
            <w:webHidden/>
          </w:rPr>
          <w:t>52</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6" w:history="1">
        <w:r w:rsidR="009E24ED" w:rsidRPr="00721380">
          <w:rPr>
            <w:rStyle w:val="Hipercze"/>
            <w:noProof/>
          </w:rPr>
          <w:t>3.1.41.</w:t>
        </w:r>
        <w:r w:rsidR="009E24ED">
          <w:rPr>
            <w:rFonts w:asciiTheme="minorHAnsi" w:eastAsiaTheme="minorEastAsia" w:hAnsiTheme="minorHAnsi" w:cstheme="minorBidi"/>
            <w:noProof/>
            <w:lang w:val="pl-PL"/>
          </w:rPr>
          <w:tab/>
        </w:r>
        <w:r w:rsidR="009E24ED" w:rsidRPr="00721380">
          <w:rPr>
            <w:rStyle w:val="Hipercze"/>
            <w:noProof/>
          </w:rPr>
          <w:t>Urządzenia klimatyzacyjne</w:t>
        </w:r>
        <w:r w:rsidR="009E24ED">
          <w:rPr>
            <w:noProof/>
            <w:webHidden/>
          </w:rPr>
          <w:tab/>
        </w:r>
        <w:r>
          <w:rPr>
            <w:noProof/>
            <w:webHidden/>
          </w:rPr>
          <w:fldChar w:fldCharType="begin"/>
        </w:r>
        <w:r w:rsidR="009E24ED">
          <w:rPr>
            <w:noProof/>
            <w:webHidden/>
          </w:rPr>
          <w:instrText xml:space="preserve"> PAGEREF _Toc383521266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7" w:history="1">
        <w:r w:rsidR="009E24ED" w:rsidRPr="00721380">
          <w:rPr>
            <w:rStyle w:val="Hipercze"/>
            <w:noProof/>
          </w:rPr>
          <w:t>3.1.42.</w:t>
        </w:r>
        <w:r w:rsidR="009E24ED">
          <w:rPr>
            <w:rFonts w:asciiTheme="minorHAnsi" w:eastAsiaTheme="minorEastAsia" w:hAnsiTheme="minorHAnsi" w:cstheme="minorBidi"/>
            <w:noProof/>
            <w:lang w:val="pl-PL"/>
          </w:rPr>
          <w:tab/>
        </w:r>
        <w:r w:rsidR="009E24ED" w:rsidRPr="00721380">
          <w:rPr>
            <w:rStyle w:val="Hipercze"/>
            <w:noProof/>
          </w:rPr>
          <w:t>Urządzenia pomiarowe</w:t>
        </w:r>
        <w:r w:rsidR="009E24ED">
          <w:rPr>
            <w:noProof/>
            <w:webHidden/>
          </w:rPr>
          <w:tab/>
        </w:r>
        <w:r>
          <w:rPr>
            <w:noProof/>
            <w:webHidden/>
          </w:rPr>
          <w:fldChar w:fldCharType="begin"/>
        </w:r>
        <w:r w:rsidR="009E24ED">
          <w:rPr>
            <w:noProof/>
            <w:webHidden/>
          </w:rPr>
          <w:instrText xml:space="preserve"> PAGEREF _Toc383521267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8" w:history="1">
        <w:r w:rsidR="009E24ED" w:rsidRPr="00721380">
          <w:rPr>
            <w:rStyle w:val="Hipercze"/>
            <w:noProof/>
          </w:rPr>
          <w:t>3.1.43.</w:t>
        </w:r>
        <w:r w:rsidR="009E24ED">
          <w:rPr>
            <w:rFonts w:asciiTheme="minorHAnsi" w:eastAsiaTheme="minorEastAsia" w:hAnsiTheme="minorHAnsi" w:cstheme="minorBidi"/>
            <w:noProof/>
            <w:lang w:val="pl-PL"/>
          </w:rPr>
          <w:tab/>
        </w:r>
        <w:r w:rsidR="009E24ED" w:rsidRPr="00721380">
          <w:rPr>
            <w:rStyle w:val="Hipercze"/>
            <w:noProof/>
          </w:rPr>
          <w:t>Urządzenia synchronizacji sieci</w:t>
        </w:r>
        <w:r w:rsidR="009E24ED">
          <w:rPr>
            <w:noProof/>
            <w:webHidden/>
          </w:rPr>
          <w:tab/>
        </w:r>
        <w:r>
          <w:rPr>
            <w:noProof/>
            <w:webHidden/>
          </w:rPr>
          <w:fldChar w:fldCharType="begin"/>
        </w:r>
        <w:r w:rsidR="009E24ED">
          <w:rPr>
            <w:noProof/>
            <w:webHidden/>
          </w:rPr>
          <w:instrText xml:space="preserve"> PAGEREF _Toc383521268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69" w:history="1">
        <w:r w:rsidR="009E24ED" w:rsidRPr="00721380">
          <w:rPr>
            <w:rStyle w:val="Hipercze"/>
            <w:noProof/>
          </w:rPr>
          <w:t>3.1.44.</w:t>
        </w:r>
        <w:r w:rsidR="009E24ED">
          <w:rPr>
            <w:rFonts w:asciiTheme="minorHAnsi" w:eastAsiaTheme="minorEastAsia" w:hAnsiTheme="minorHAnsi" w:cstheme="minorBidi"/>
            <w:noProof/>
            <w:lang w:val="pl-PL"/>
          </w:rPr>
          <w:tab/>
        </w:r>
        <w:r w:rsidR="009E24ED" w:rsidRPr="00721380">
          <w:rPr>
            <w:rStyle w:val="Hipercze"/>
            <w:noProof/>
          </w:rPr>
          <w:t>Systemy obsługi klientów</w:t>
        </w:r>
        <w:r w:rsidR="009E24ED">
          <w:rPr>
            <w:noProof/>
            <w:webHidden/>
          </w:rPr>
          <w:tab/>
        </w:r>
        <w:r>
          <w:rPr>
            <w:noProof/>
            <w:webHidden/>
          </w:rPr>
          <w:fldChar w:fldCharType="begin"/>
        </w:r>
        <w:r w:rsidR="009E24ED">
          <w:rPr>
            <w:noProof/>
            <w:webHidden/>
          </w:rPr>
          <w:instrText xml:space="preserve"> PAGEREF _Toc383521269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0" w:history="1">
        <w:r w:rsidR="009E24ED" w:rsidRPr="00721380">
          <w:rPr>
            <w:rStyle w:val="Hipercze"/>
            <w:noProof/>
          </w:rPr>
          <w:t>3.1.45.</w:t>
        </w:r>
        <w:r w:rsidR="009E24ED">
          <w:rPr>
            <w:rFonts w:asciiTheme="minorHAnsi" w:eastAsiaTheme="minorEastAsia" w:hAnsiTheme="minorHAnsi" w:cstheme="minorBidi"/>
            <w:noProof/>
            <w:lang w:val="pl-PL"/>
          </w:rPr>
          <w:tab/>
        </w:r>
        <w:r w:rsidR="009E24ED" w:rsidRPr="00721380">
          <w:rPr>
            <w:rStyle w:val="Hipercze"/>
            <w:noProof/>
          </w:rPr>
          <w:t>Systemy IT - UI</w:t>
        </w:r>
        <w:r w:rsidR="009E24ED">
          <w:rPr>
            <w:noProof/>
            <w:webHidden/>
          </w:rPr>
          <w:tab/>
        </w:r>
        <w:r>
          <w:rPr>
            <w:noProof/>
            <w:webHidden/>
          </w:rPr>
          <w:fldChar w:fldCharType="begin"/>
        </w:r>
        <w:r w:rsidR="009E24ED">
          <w:rPr>
            <w:noProof/>
            <w:webHidden/>
          </w:rPr>
          <w:instrText xml:space="preserve"> PAGEREF _Toc383521270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1" w:history="1">
        <w:r w:rsidR="009E24ED" w:rsidRPr="00721380">
          <w:rPr>
            <w:rStyle w:val="Hipercze"/>
            <w:noProof/>
          </w:rPr>
          <w:t>3.1.46.</w:t>
        </w:r>
        <w:r w:rsidR="009E24ED">
          <w:rPr>
            <w:rFonts w:asciiTheme="minorHAnsi" w:eastAsiaTheme="minorEastAsia" w:hAnsiTheme="minorHAnsi" w:cstheme="minorBidi"/>
            <w:noProof/>
            <w:lang w:val="pl-PL"/>
          </w:rPr>
          <w:tab/>
        </w:r>
        <w:r w:rsidR="009E24ED" w:rsidRPr="00721380">
          <w:rPr>
            <w:rStyle w:val="Hipercze"/>
            <w:noProof/>
          </w:rPr>
          <w:t>Systemy IT - CRM</w:t>
        </w:r>
        <w:r w:rsidR="009E24ED">
          <w:rPr>
            <w:noProof/>
            <w:webHidden/>
          </w:rPr>
          <w:tab/>
        </w:r>
        <w:r>
          <w:rPr>
            <w:noProof/>
            <w:webHidden/>
          </w:rPr>
          <w:fldChar w:fldCharType="begin"/>
        </w:r>
        <w:r w:rsidR="009E24ED">
          <w:rPr>
            <w:noProof/>
            <w:webHidden/>
          </w:rPr>
          <w:instrText xml:space="preserve"> PAGEREF _Toc383521271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2" w:history="1">
        <w:r w:rsidR="009E24ED" w:rsidRPr="00721380">
          <w:rPr>
            <w:rStyle w:val="Hipercze"/>
            <w:noProof/>
          </w:rPr>
          <w:t>3.1.47.</w:t>
        </w:r>
        <w:r w:rsidR="009E24ED">
          <w:rPr>
            <w:rFonts w:asciiTheme="minorHAnsi" w:eastAsiaTheme="minorEastAsia" w:hAnsiTheme="minorHAnsi" w:cstheme="minorBidi"/>
            <w:noProof/>
            <w:lang w:val="pl-PL"/>
          </w:rPr>
          <w:tab/>
        </w:r>
        <w:r w:rsidR="009E24ED" w:rsidRPr="00721380">
          <w:rPr>
            <w:rStyle w:val="Hipercze"/>
            <w:noProof/>
          </w:rPr>
          <w:t>Komutacja CRM, UI</w:t>
        </w:r>
        <w:r w:rsidR="009E24ED">
          <w:rPr>
            <w:noProof/>
            <w:webHidden/>
          </w:rPr>
          <w:tab/>
        </w:r>
        <w:r>
          <w:rPr>
            <w:noProof/>
            <w:webHidden/>
          </w:rPr>
          <w:fldChar w:fldCharType="begin"/>
        </w:r>
        <w:r w:rsidR="009E24ED">
          <w:rPr>
            <w:noProof/>
            <w:webHidden/>
          </w:rPr>
          <w:instrText xml:space="preserve"> PAGEREF _Toc383521272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3" w:history="1">
        <w:r w:rsidR="009E24ED" w:rsidRPr="00721380">
          <w:rPr>
            <w:rStyle w:val="Hipercze"/>
            <w:noProof/>
          </w:rPr>
          <w:t>3.1.48.</w:t>
        </w:r>
        <w:r w:rsidR="009E24ED">
          <w:rPr>
            <w:rFonts w:asciiTheme="minorHAnsi" w:eastAsiaTheme="minorEastAsia" w:hAnsiTheme="minorHAnsi" w:cstheme="minorBidi"/>
            <w:noProof/>
            <w:lang w:val="pl-PL"/>
          </w:rPr>
          <w:tab/>
        </w:r>
        <w:r w:rsidR="009E24ED" w:rsidRPr="00721380">
          <w:rPr>
            <w:rStyle w:val="Hipercze"/>
            <w:noProof/>
          </w:rPr>
          <w:t>Systemy IT</w:t>
        </w:r>
        <w:r w:rsidR="009E24ED">
          <w:rPr>
            <w:noProof/>
            <w:webHidden/>
          </w:rPr>
          <w:tab/>
        </w:r>
        <w:r>
          <w:rPr>
            <w:noProof/>
            <w:webHidden/>
          </w:rPr>
          <w:fldChar w:fldCharType="begin"/>
        </w:r>
        <w:r w:rsidR="009E24ED">
          <w:rPr>
            <w:noProof/>
            <w:webHidden/>
          </w:rPr>
          <w:instrText xml:space="preserve"> PAGEREF _Toc383521273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4" w:history="1">
        <w:r w:rsidR="009E24ED" w:rsidRPr="00721380">
          <w:rPr>
            <w:rStyle w:val="Hipercze"/>
            <w:noProof/>
          </w:rPr>
          <w:t>3.1.49.</w:t>
        </w:r>
        <w:r w:rsidR="009E24ED">
          <w:rPr>
            <w:rFonts w:asciiTheme="minorHAnsi" w:eastAsiaTheme="minorEastAsia" w:hAnsiTheme="minorHAnsi" w:cstheme="minorBidi"/>
            <w:noProof/>
            <w:lang w:val="pl-PL"/>
          </w:rPr>
          <w:tab/>
        </w:r>
        <w:r w:rsidR="009E24ED" w:rsidRPr="00721380">
          <w:rPr>
            <w:rStyle w:val="Hipercze"/>
            <w:noProof/>
          </w:rPr>
          <w:t>Systemy IT - biling</w:t>
        </w:r>
        <w:r w:rsidR="009E24ED">
          <w:rPr>
            <w:noProof/>
            <w:webHidden/>
          </w:rPr>
          <w:tab/>
        </w:r>
        <w:r>
          <w:rPr>
            <w:noProof/>
            <w:webHidden/>
          </w:rPr>
          <w:fldChar w:fldCharType="begin"/>
        </w:r>
        <w:r w:rsidR="009E24ED">
          <w:rPr>
            <w:noProof/>
            <w:webHidden/>
          </w:rPr>
          <w:instrText xml:space="preserve"> PAGEREF _Toc383521274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5" w:history="1">
        <w:r w:rsidR="009E24ED" w:rsidRPr="00721380">
          <w:rPr>
            <w:rStyle w:val="Hipercze"/>
            <w:noProof/>
          </w:rPr>
          <w:t>3.1.50.</w:t>
        </w:r>
        <w:r w:rsidR="009E24ED">
          <w:rPr>
            <w:rFonts w:asciiTheme="minorHAnsi" w:eastAsiaTheme="minorEastAsia" w:hAnsiTheme="minorHAnsi" w:cstheme="minorBidi"/>
            <w:noProof/>
            <w:lang w:val="pl-PL"/>
          </w:rPr>
          <w:tab/>
        </w:r>
        <w:r w:rsidR="009E24ED" w:rsidRPr="00721380">
          <w:rPr>
            <w:rStyle w:val="Hipercze"/>
            <w:noProof/>
          </w:rPr>
          <w:t>Systemy IT - fakturowanie</w:t>
        </w:r>
        <w:r w:rsidR="009E24ED">
          <w:rPr>
            <w:noProof/>
            <w:webHidden/>
          </w:rPr>
          <w:tab/>
        </w:r>
        <w:r>
          <w:rPr>
            <w:noProof/>
            <w:webHidden/>
          </w:rPr>
          <w:fldChar w:fldCharType="begin"/>
        </w:r>
        <w:r w:rsidR="009E24ED">
          <w:rPr>
            <w:noProof/>
            <w:webHidden/>
          </w:rPr>
          <w:instrText xml:space="preserve"> PAGEREF _Toc383521275 \h </w:instrText>
        </w:r>
        <w:r>
          <w:rPr>
            <w:noProof/>
            <w:webHidden/>
          </w:rPr>
        </w:r>
        <w:r>
          <w:rPr>
            <w:noProof/>
            <w:webHidden/>
          </w:rPr>
          <w:fldChar w:fldCharType="separate"/>
        </w:r>
        <w:r w:rsidR="009E24ED">
          <w:rPr>
            <w:noProof/>
            <w:webHidden/>
          </w:rPr>
          <w:t>53</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6" w:history="1">
        <w:r w:rsidR="009E24ED" w:rsidRPr="00721380">
          <w:rPr>
            <w:rStyle w:val="Hipercze"/>
            <w:noProof/>
          </w:rPr>
          <w:t>3.1.51.</w:t>
        </w:r>
        <w:r w:rsidR="009E24ED">
          <w:rPr>
            <w:rFonts w:asciiTheme="minorHAnsi" w:eastAsiaTheme="minorEastAsia" w:hAnsiTheme="minorHAnsi" w:cstheme="minorBidi"/>
            <w:noProof/>
            <w:lang w:val="pl-PL"/>
          </w:rPr>
          <w:tab/>
        </w:r>
        <w:r w:rsidR="009E24ED" w:rsidRPr="00721380">
          <w:rPr>
            <w:rStyle w:val="Hipercze"/>
            <w:noProof/>
          </w:rPr>
          <w:t>Systemy IT - systemy dedykowane na modelowe  elementy sieci</w:t>
        </w:r>
        <w:r w:rsidR="009E24ED">
          <w:rPr>
            <w:noProof/>
            <w:webHidden/>
          </w:rPr>
          <w:tab/>
        </w:r>
        <w:r>
          <w:rPr>
            <w:noProof/>
            <w:webHidden/>
          </w:rPr>
          <w:fldChar w:fldCharType="begin"/>
        </w:r>
        <w:r w:rsidR="009E24ED">
          <w:rPr>
            <w:noProof/>
            <w:webHidden/>
          </w:rPr>
          <w:instrText xml:space="preserve"> PAGEREF _Toc383521276 \h </w:instrText>
        </w:r>
        <w:r>
          <w:rPr>
            <w:noProof/>
            <w:webHidden/>
          </w:rPr>
        </w:r>
        <w:r>
          <w:rPr>
            <w:noProof/>
            <w:webHidden/>
          </w:rPr>
          <w:fldChar w:fldCharType="separate"/>
        </w:r>
        <w:r w:rsidR="009E24ED">
          <w:rPr>
            <w:noProof/>
            <w:webHidden/>
          </w:rPr>
          <w:t>54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7" w:history="1">
        <w:r w:rsidR="009E24ED" w:rsidRPr="00721380">
          <w:rPr>
            <w:rStyle w:val="Hipercze"/>
            <w:noProof/>
          </w:rPr>
          <w:t>3.1.52.</w:t>
        </w:r>
        <w:r w:rsidR="009E24ED">
          <w:rPr>
            <w:rFonts w:asciiTheme="minorHAnsi" w:eastAsiaTheme="minorEastAsia" w:hAnsiTheme="minorHAnsi" w:cstheme="minorBidi"/>
            <w:noProof/>
            <w:lang w:val="pl-PL"/>
          </w:rPr>
          <w:tab/>
        </w:r>
        <w:r w:rsidR="009E24ED" w:rsidRPr="00721380">
          <w:rPr>
            <w:rStyle w:val="Hipercze"/>
            <w:noProof/>
          </w:rPr>
          <w:t>Systemy IT - systemy obsługi finansowej</w:t>
        </w:r>
        <w:r w:rsidR="009E24ED">
          <w:rPr>
            <w:noProof/>
            <w:webHidden/>
          </w:rPr>
          <w:tab/>
        </w:r>
        <w:r>
          <w:rPr>
            <w:noProof/>
            <w:webHidden/>
          </w:rPr>
          <w:fldChar w:fldCharType="begin"/>
        </w:r>
        <w:r w:rsidR="009E24ED">
          <w:rPr>
            <w:noProof/>
            <w:webHidden/>
          </w:rPr>
          <w:instrText xml:space="preserve"> PAGEREF _Toc383521277 \h </w:instrText>
        </w:r>
        <w:r>
          <w:rPr>
            <w:noProof/>
            <w:webHidden/>
          </w:rPr>
        </w:r>
        <w:r>
          <w:rPr>
            <w:noProof/>
            <w:webHidden/>
          </w:rPr>
          <w:fldChar w:fldCharType="separate"/>
        </w:r>
        <w:r w:rsidR="009E24ED">
          <w:rPr>
            <w:noProof/>
            <w:webHidden/>
          </w:rPr>
          <w:t>54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8" w:history="1">
        <w:r w:rsidR="009E24ED" w:rsidRPr="00721380">
          <w:rPr>
            <w:rStyle w:val="Hipercze"/>
            <w:noProof/>
          </w:rPr>
          <w:t>3.1.53.</w:t>
        </w:r>
        <w:r w:rsidR="009E24ED">
          <w:rPr>
            <w:rFonts w:asciiTheme="minorHAnsi" w:eastAsiaTheme="minorEastAsia" w:hAnsiTheme="minorHAnsi" w:cstheme="minorBidi"/>
            <w:noProof/>
            <w:lang w:val="pl-PL"/>
          </w:rPr>
          <w:tab/>
        </w:r>
        <w:r w:rsidR="009E24ED" w:rsidRPr="00721380">
          <w:rPr>
            <w:rStyle w:val="Hipercze"/>
            <w:noProof/>
          </w:rPr>
          <w:t>Systemy IT - systemy zarządzania zasobami ludzkimi</w:t>
        </w:r>
        <w:r w:rsidR="009E24ED">
          <w:rPr>
            <w:noProof/>
            <w:webHidden/>
          </w:rPr>
          <w:tab/>
        </w:r>
        <w:r>
          <w:rPr>
            <w:noProof/>
            <w:webHidden/>
          </w:rPr>
          <w:fldChar w:fldCharType="begin"/>
        </w:r>
        <w:r w:rsidR="009E24ED">
          <w:rPr>
            <w:noProof/>
            <w:webHidden/>
          </w:rPr>
          <w:instrText xml:space="preserve"> PAGEREF _Toc383521278 \h </w:instrText>
        </w:r>
        <w:r>
          <w:rPr>
            <w:noProof/>
            <w:webHidden/>
          </w:rPr>
        </w:r>
        <w:r>
          <w:rPr>
            <w:noProof/>
            <w:webHidden/>
          </w:rPr>
          <w:fldChar w:fldCharType="separate"/>
        </w:r>
        <w:r w:rsidR="009E24ED">
          <w:rPr>
            <w:noProof/>
            <w:webHidden/>
          </w:rPr>
          <w:t>54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79" w:history="1">
        <w:r w:rsidR="009E24ED" w:rsidRPr="00721380">
          <w:rPr>
            <w:rStyle w:val="Hipercze"/>
            <w:noProof/>
          </w:rPr>
          <w:t>3.1.54.</w:t>
        </w:r>
        <w:r w:rsidR="009E24ED">
          <w:rPr>
            <w:rFonts w:asciiTheme="minorHAnsi" w:eastAsiaTheme="minorEastAsia" w:hAnsiTheme="minorHAnsi" w:cstheme="minorBidi"/>
            <w:noProof/>
            <w:lang w:val="pl-PL"/>
          </w:rPr>
          <w:tab/>
        </w:r>
        <w:r w:rsidR="009E24ED" w:rsidRPr="00721380">
          <w:rPr>
            <w:rStyle w:val="Hipercze"/>
            <w:noProof/>
          </w:rPr>
          <w:t>Systemy IT - systemy obsługi zaopatrzenia</w:t>
        </w:r>
        <w:r w:rsidR="009E24ED">
          <w:rPr>
            <w:noProof/>
            <w:webHidden/>
          </w:rPr>
          <w:tab/>
        </w:r>
        <w:r>
          <w:rPr>
            <w:noProof/>
            <w:webHidden/>
          </w:rPr>
          <w:fldChar w:fldCharType="begin"/>
        </w:r>
        <w:r w:rsidR="009E24ED">
          <w:rPr>
            <w:noProof/>
            <w:webHidden/>
          </w:rPr>
          <w:instrText xml:space="preserve"> PAGEREF _Toc383521279 \h </w:instrText>
        </w:r>
        <w:r>
          <w:rPr>
            <w:noProof/>
            <w:webHidden/>
          </w:rPr>
        </w:r>
        <w:r>
          <w:rPr>
            <w:noProof/>
            <w:webHidden/>
          </w:rPr>
          <w:fldChar w:fldCharType="separate"/>
        </w:r>
        <w:r w:rsidR="009E24ED">
          <w:rPr>
            <w:noProof/>
            <w:webHidden/>
          </w:rPr>
          <w:t>54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0" w:history="1">
        <w:r w:rsidR="009E24ED" w:rsidRPr="00721380">
          <w:rPr>
            <w:rStyle w:val="Hipercze"/>
            <w:noProof/>
          </w:rPr>
          <w:t>3.1.55.</w:t>
        </w:r>
        <w:r w:rsidR="009E24ED">
          <w:rPr>
            <w:rFonts w:asciiTheme="minorHAnsi" w:eastAsiaTheme="minorEastAsia" w:hAnsiTheme="minorHAnsi" w:cstheme="minorBidi"/>
            <w:noProof/>
            <w:lang w:val="pl-PL"/>
          </w:rPr>
          <w:tab/>
        </w:r>
        <w:r w:rsidR="009E24ED" w:rsidRPr="00721380">
          <w:rPr>
            <w:rStyle w:val="Hipercze"/>
            <w:noProof/>
          </w:rPr>
          <w:t>Systemy IT - aplikacje</w:t>
        </w:r>
        <w:r w:rsidR="009E24ED">
          <w:rPr>
            <w:noProof/>
            <w:webHidden/>
          </w:rPr>
          <w:tab/>
        </w:r>
        <w:r>
          <w:rPr>
            <w:noProof/>
            <w:webHidden/>
          </w:rPr>
          <w:fldChar w:fldCharType="begin"/>
        </w:r>
        <w:r w:rsidR="009E24ED">
          <w:rPr>
            <w:noProof/>
            <w:webHidden/>
          </w:rPr>
          <w:instrText xml:space="preserve"> PAGEREF _Toc383521280 \h </w:instrText>
        </w:r>
        <w:r>
          <w:rPr>
            <w:noProof/>
            <w:webHidden/>
          </w:rPr>
        </w:r>
        <w:r>
          <w:rPr>
            <w:noProof/>
            <w:webHidden/>
          </w:rPr>
          <w:fldChar w:fldCharType="separate"/>
        </w:r>
        <w:r w:rsidR="009E24ED">
          <w:rPr>
            <w:noProof/>
            <w:webHidden/>
          </w:rPr>
          <w:t>54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1" w:history="1">
        <w:r w:rsidR="009E24ED" w:rsidRPr="00721380">
          <w:rPr>
            <w:rStyle w:val="Hipercze"/>
            <w:noProof/>
          </w:rPr>
          <w:t>3.1.56.</w:t>
        </w:r>
        <w:r w:rsidR="009E24ED">
          <w:rPr>
            <w:rFonts w:asciiTheme="minorHAnsi" w:eastAsiaTheme="minorEastAsia" w:hAnsiTheme="minorHAnsi" w:cstheme="minorBidi"/>
            <w:noProof/>
            <w:lang w:val="pl-PL"/>
          </w:rPr>
          <w:tab/>
        </w:r>
        <w:r w:rsidR="009E24ED" w:rsidRPr="00721380">
          <w:rPr>
            <w:rStyle w:val="Hipercze"/>
            <w:noProof/>
          </w:rPr>
          <w:t>Systemy IT –urządzenia</w:t>
        </w:r>
        <w:r w:rsidR="009E24ED">
          <w:rPr>
            <w:noProof/>
            <w:webHidden/>
          </w:rPr>
          <w:tab/>
        </w:r>
        <w:r>
          <w:rPr>
            <w:noProof/>
            <w:webHidden/>
          </w:rPr>
          <w:fldChar w:fldCharType="begin"/>
        </w:r>
        <w:r w:rsidR="009E24ED">
          <w:rPr>
            <w:noProof/>
            <w:webHidden/>
          </w:rPr>
          <w:instrText xml:space="preserve"> PAGEREF _Toc383521281 \h </w:instrText>
        </w:r>
        <w:r>
          <w:rPr>
            <w:noProof/>
            <w:webHidden/>
          </w:rPr>
        </w:r>
        <w:r>
          <w:rPr>
            <w:noProof/>
            <w:webHidden/>
          </w:rPr>
          <w:fldChar w:fldCharType="separate"/>
        </w:r>
        <w:r w:rsidR="009E24ED">
          <w:rPr>
            <w:noProof/>
            <w:webHidden/>
          </w:rPr>
          <w:t>54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2" w:history="1">
        <w:r w:rsidR="009E24ED" w:rsidRPr="00721380">
          <w:rPr>
            <w:rStyle w:val="Hipercze"/>
            <w:noProof/>
          </w:rPr>
          <w:t>3.1.57.</w:t>
        </w:r>
        <w:r w:rsidR="009E24ED">
          <w:rPr>
            <w:rFonts w:asciiTheme="minorHAnsi" w:eastAsiaTheme="minorEastAsia" w:hAnsiTheme="minorHAnsi" w:cstheme="minorBidi"/>
            <w:noProof/>
            <w:lang w:val="pl-PL"/>
          </w:rPr>
          <w:tab/>
        </w:r>
        <w:r w:rsidR="009E24ED" w:rsidRPr="00721380">
          <w:rPr>
            <w:rStyle w:val="Hipercze"/>
            <w:noProof/>
          </w:rPr>
          <w:t>Systemy IT - sieć korporacyjna</w:t>
        </w:r>
        <w:r w:rsidR="009E24ED">
          <w:rPr>
            <w:noProof/>
            <w:webHidden/>
          </w:rPr>
          <w:tab/>
        </w:r>
        <w:r>
          <w:rPr>
            <w:noProof/>
            <w:webHidden/>
          </w:rPr>
          <w:fldChar w:fldCharType="begin"/>
        </w:r>
        <w:r w:rsidR="009E24ED">
          <w:rPr>
            <w:noProof/>
            <w:webHidden/>
          </w:rPr>
          <w:instrText xml:space="preserve"> PAGEREF _Toc383521282 \h </w:instrText>
        </w:r>
        <w:r>
          <w:rPr>
            <w:noProof/>
            <w:webHidden/>
          </w:rPr>
        </w:r>
        <w:r>
          <w:rPr>
            <w:noProof/>
            <w:webHidden/>
          </w:rPr>
          <w:fldChar w:fldCharType="separate"/>
        </w:r>
        <w:r w:rsidR="009E24ED">
          <w:rPr>
            <w:noProof/>
            <w:webHidden/>
          </w:rPr>
          <w:t>54</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3" w:history="1">
        <w:r w:rsidR="009E24ED" w:rsidRPr="00721380">
          <w:rPr>
            <w:rStyle w:val="Hipercze"/>
            <w:noProof/>
          </w:rPr>
          <w:t>3.1.58.</w:t>
        </w:r>
        <w:r w:rsidR="009E24ED">
          <w:rPr>
            <w:rFonts w:asciiTheme="minorHAnsi" w:eastAsiaTheme="minorEastAsia" w:hAnsiTheme="minorHAnsi" w:cstheme="minorBidi"/>
            <w:noProof/>
            <w:lang w:val="pl-PL"/>
          </w:rPr>
          <w:tab/>
        </w:r>
        <w:r w:rsidR="009E24ED" w:rsidRPr="00721380">
          <w:rPr>
            <w:rStyle w:val="Hipercze"/>
            <w:noProof/>
          </w:rPr>
          <w:t>Komputery osobiste</w:t>
        </w:r>
        <w:r w:rsidR="009E24ED">
          <w:rPr>
            <w:noProof/>
            <w:webHidden/>
          </w:rPr>
          <w:tab/>
        </w:r>
        <w:r>
          <w:rPr>
            <w:noProof/>
            <w:webHidden/>
          </w:rPr>
          <w:fldChar w:fldCharType="begin"/>
        </w:r>
        <w:r w:rsidR="009E24ED">
          <w:rPr>
            <w:noProof/>
            <w:webHidden/>
          </w:rPr>
          <w:instrText xml:space="preserve"> PAGEREF _Toc383521283 \h </w:instrText>
        </w:r>
        <w:r>
          <w:rPr>
            <w:noProof/>
            <w:webHidden/>
          </w:rPr>
        </w:r>
        <w:r>
          <w:rPr>
            <w:noProof/>
            <w:webHidden/>
          </w:rPr>
          <w:fldChar w:fldCharType="separate"/>
        </w:r>
        <w:r w:rsidR="009E24ED">
          <w:rPr>
            <w:noProof/>
            <w:webHidden/>
          </w:rPr>
          <w:t>55</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4" w:history="1">
        <w:r w:rsidR="009E24ED" w:rsidRPr="00721380">
          <w:rPr>
            <w:rStyle w:val="Hipercze"/>
            <w:noProof/>
          </w:rPr>
          <w:t>3.1.59.</w:t>
        </w:r>
        <w:r w:rsidR="009E24ED">
          <w:rPr>
            <w:rFonts w:asciiTheme="minorHAnsi" w:eastAsiaTheme="minorEastAsia" w:hAnsiTheme="minorHAnsi" w:cstheme="minorBidi"/>
            <w:noProof/>
            <w:lang w:val="pl-PL"/>
          </w:rPr>
          <w:tab/>
        </w:r>
        <w:r w:rsidR="009E24ED" w:rsidRPr="00721380">
          <w:rPr>
            <w:rStyle w:val="Hipercze"/>
            <w:noProof/>
          </w:rPr>
          <w:t>Pozostałe</w:t>
        </w:r>
        <w:r w:rsidR="009E24ED">
          <w:rPr>
            <w:noProof/>
            <w:webHidden/>
          </w:rPr>
          <w:tab/>
        </w:r>
        <w:r>
          <w:rPr>
            <w:noProof/>
            <w:webHidden/>
          </w:rPr>
          <w:fldChar w:fldCharType="begin"/>
        </w:r>
        <w:r w:rsidR="009E24ED">
          <w:rPr>
            <w:noProof/>
            <w:webHidden/>
          </w:rPr>
          <w:instrText xml:space="preserve"> PAGEREF _Toc383521284 \h </w:instrText>
        </w:r>
        <w:r>
          <w:rPr>
            <w:noProof/>
            <w:webHidden/>
          </w:rPr>
        </w:r>
        <w:r>
          <w:rPr>
            <w:noProof/>
            <w:webHidden/>
          </w:rPr>
          <w:fldChar w:fldCharType="separate"/>
        </w:r>
        <w:r w:rsidR="009E24ED">
          <w:rPr>
            <w:noProof/>
            <w:webHidden/>
          </w:rPr>
          <w:t>55</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5" w:history="1">
        <w:r w:rsidR="009E24ED" w:rsidRPr="00721380">
          <w:rPr>
            <w:rStyle w:val="Hipercze"/>
            <w:noProof/>
          </w:rPr>
          <w:t>3.1.60.</w:t>
        </w:r>
        <w:r w:rsidR="009E24ED">
          <w:rPr>
            <w:rFonts w:asciiTheme="minorHAnsi" w:eastAsiaTheme="minorEastAsia" w:hAnsiTheme="minorHAnsi" w:cstheme="minorBidi"/>
            <w:noProof/>
            <w:lang w:val="pl-PL"/>
          </w:rPr>
          <w:tab/>
        </w:r>
        <w:r w:rsidR="009E24ED" w:rsidRPr="00721380">
          <w:rPr>
            <w:rStyle w:val="Hipercze"/>
            <w:noProof/>
          </w:rPr>
          <w:t>PAS</w:t>
        </w:r>
        <w:r w:rsidR="009E24ED">
          <w:rPr>
            <w:noProof/>
            <w:webHidden/>
          </w:rPr>
          <w:tab/>
        </w:r>
        <w:r>
          <w:rPr>
            <w:noProof/>
            <w:webHidden/>
          </w:rPr>
          <w:fldChar w:fldCharType="begin"/>
        </w:r>
        <w:r w:rsidR="009E24ED">
          <w:rPr>
            <w:noProof/>
            <w:webHidden/>
          </w:rPr>
          <w:instrText xml:space="preserve"> PAGEREF _Toc383521285 \h </w:instrText>
        </w:r>
        <w:r>
          <w:rPr>
            <w:noProof/>
            <w:webHidden/>
          </w:rPr>
        </w:r>
        <w:r>
          <w:rPr>
            <w:noProof/>
            <w:webHidden/>
          </w:rPr>
          <w:fldChar w:fldCharType="separate"/>
        </w:r>
        <w:r w:rsidR="009E24ED">
          <w:rPr>
            <w:noProof/>
            <w:webHidden/>
          </w:rPr>
          <w:t>55</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6" w:history="1">
        <w:r w:rsidR="009E24ED" w:rsidRPr="00721380">
          <w:rPr>
            <w:rStyle w:val="Hipercze"/>
            <w:noProof/>
          </w:rPr>
          <w:t>3.1.61.</w:t>
        </w:r>
        <w:r w:rsidR="009E24ED">
          <w:rPr>
            <w:rFonts w:asciiTheme="minorHAnsi" w:eastAsiaTheme="minorEastAsia" w:hAnsiTheme="minorHAnsi" w:cstheme="minorBidi"/>
            <w:noProof/>
            <w:lang w:val="pl-PL"/>
          </w:rPr>
          <w:tab/>
        </w:r>
        <w:r w:rsidR="009E24ED" w:rsidRPr="00721380">
          <w:rPr>
            <w:rStyle w:val="Hipercze"/>
            <w:noProof/>
          </w:rPr>
          <w:t>Środki transportu</w:t>
        </w:r>
        <w:r w:rsidR="009E24ED">
          <w:rPr>
            <w:noProof/>
            <w:webHidden/>
          </w:rPr>
          <w:tab/>
        </w:r>
        <w:r>
          <w:rPr>
            <w:noProof/>
            <w:webHidden/>
          </w:rPr>
          <w:fldChar w:fldCharType="begin"/>
        </w:r>
        <w:r w:rsidR="009E24ED">
          <w:rPr>
            <w:noProof/>
            <w:webHidden/>
          </w:rPr>
          <w:instrText xml:space="preserve"> PAGEREF _Toc383521286 \h </w:instrText>
        </w:r>
        <w:r>
          <w:rPr>
            <w:noProof/>
            <w:webHidden/>
          </w:rPr>
        </w:r>
        <w:r>
          <w:rPr>
            <w:noProof/>
            <w:webHidden/>
          </w:rPr>
          <w:fldChar w:fldCharType="separate"/>
        </w:r>
        <w:r w:rsidR="009E24ED">
          <w:rPr>
            <w:noProof/>
            <w:webHidden/>
          </w:rPr>
          <w:t>55</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7" w:history="1">
        <w:r w:rsidR="009E24ED" w:rsidRPr="00721380">
          <w:rPr>
            <w:rStyle w:val="Hipercze"/>
            <w:noProof/>
          </w:rPr>
          <w:t>3.1.62.</w:t>
        </w:r>
        <w:r w:rsidR="009E24ED">
          <w:rPr>
            <w:rFonts w:asciiTheme="minorHAnsi" w:eastAsiaTheme="minorEastAsia" w:hAnsiTheme="minorHAnsi" w:cstheme="minorBidi"/>
            <w:noProof/>
            <w:lang w:val="pl-PL"/>
          </w:rPr>
          <w:tab/>
        </w:r>
        <w:r w:rsidR="009E24ED" w:rsidRPr="00721380">
          <w:rPr>
            <w:rStyle w:val="Hipercze"/>
            <w:noProof/>
          </w:rPr>
          <w:t>Meble, urządzenia biurowe i inne wyposażenie</w:t>
        </w:r>
        <w:r w:rsidR="009E24ED">
          <w:rPr>
            <w:noProof/>
            <w:webHidden/>
          </w:rPr>
          <w:tab/>
        </w:r>
        <w:r>
          <w:rPr>
            <w:noProof/>
            <w:webHidden/>
          </w:rPr>
          <w:fldChar w:fldCharType="begin"/>
        </w:r>
        <w:r w:rsidR="009E24ED">
          <w:rPr>
            <w:noProof/>
            <w:webHidden/>
          </w:rPr>
          <w:instrText xml:space="preserve"> PAGEREF _Toc383521287 \h </w:instrText>
        </w:r>
        <w:r>
          <w:rPr>
            <w:noProof/>
            <w:webHidden/>
          </w:rPr>
        </w:r>
        <w:r>
          <w:rPr>
            <w:noProof/>
            <w:webHidden/>
          </w:rPr>
          <w:fldChar w:fldCharType="separate"/>
        </w:r>
        <w:r w:rsidR="009E24ED">
          <w:rPr>
            <w:noProof/>
            <w:webHidden/>
          </w:rPr>
          <w:t>55</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8" w:history="1">
        <w:r w:rsidR="009E24ED" w:rsidRPr="00721380">
          <w:rPr>
            <w:rStyle w:val="Hipercze"/>
            <w:noProof/>
          </w:rPr>
          <w:t>3.1.63.</w:t>
        </w:r>
        <w:r w:rsidR="009E24ED">
          <w:rPr>
            <w:rFonts w:asciiTheme="minorHAnsi" w:eastAsiaTheme="minorEastAsia" w:hAnsiTheme="minorHAnsi" w:cstheme="minorBidi"/>
            <w:noProof/>
            <w:lang w:val="pl-PL"/>
          </w:rPr>
          <w:tab/>
        </w:r>
        <w:r w:rsidR="009E24ED" w:rsidRPr="00721380">
          <w:rPr>
            <w:rStyle w:val="Hipercze"/>
            <w:noProof/>
          </w:rPr>
          <w:t>Budynki</w:t>
        </w:r>
        <w:r w:rsidR="009E24ED">
          <w:rPr>
            <w:noProof/>
            <w:webHidden/>
          </w:rPr>
          <w:tab/>
        </w:r>
        <w:r>
          <w:rPr>
            <w:noProof/>
            <w:webHidden/>
          </w:rPr>
          <w:fldChar w:fldCharType="begin"/>
        </w:r>
        <w:r w:rsidR="009E24ED">
          <w:rPr>
            <w:noProof/>
            <w:webHidden/>
          </w:rPr>
          <w:instrText xml:space="preserve"> PAGEREF _Toc383521288 \h </w:instrText>
        </w:r>
        <w:r>
          <w:rPr>
            <w:noProof/>
            <w:webHidden/>
          </w:rPr>
        </w:r>
        <w:r>
          <w:rPr>
            <w:noProof/>
            <w:webHidden/>
          </w:rPr>
          <w:fldChar w:fldCharType="separate"/>
        </w:r>
        <w:r w:rsidR="009E24ED">
          <w:rPr>
            <w:noProof/>
            <w:webHidden/>
          </w:rPr>
          <w:t>55</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89" w:history="1">
        <w:r w:rsidR="009E24ED" w:rsidRPr="00721380">
          <w:rPr>
            <w:rStyle w:val="Hipercze"/>
            <w:noProof/>
          </w:rPr>
          <w:t>3.1.64.</w:t>
        </w:r>
        <w:r w:rsidR="009E24ED">
          <w:rPr>
            <w:rFonts w:asciiTheme="minorHAnsi" w:eastAsiaTheme="minorEastAsia" w:hAnsiTheme="minorHAnsi" w:cstheme="minorBidi"/>
            <w:noProof/>
            <w:lang w:val="pl-PL"/>
          </w:rPr>
          <w:tab/>
        </w:r>
        <w:r w:rsidR="009E24ED" w:rsidRPr="00721380">
          <w:rPr>
            <w:rStyle w:val="Hipercze"/>
            <w:noProof/>
          </w:rPr>
          <w:t>Pozostałe środki trwałe i wartości niematerialne i prawne – sieciowe</w:t>
        </w:r>
        <w:r w:rsidR="009E24ED">
          <w:rPr>
            <w:noProof/>
            <w:webHidden/>
          </w:rPr>
          <w:tab/>
        </w:r>
        <w:r>
          <w:rPr>
            <w:noProof/>
            <w:webHidden/>
          </w:rPr>
          <w:fldChar w:fldCharType="begin"/>
        </w:r>
        <w:r w:rsidR="009E24ED">
          <w:rPr>
            <w:noProof/>
            <w:webHidden/>
          </w:rPr>
          <w:instrText xml:space="preserve"> PAGEREF _Toc383521289 \h </w:instrText>
        </w:r>
        <w:r>
          <w:rPr>
            <w:noProof/>
            <w:webHidden/>
          </w:rPr>
        </w:r>
        <w:r>
          <w:rPr>
            <w:noProof/>
            <w:webHidden/>
          </w:rPr>
          <w:fldChar w:fldCharType="separate"/>
        </w:r>
        <w:r w:rsidR="009E24ED">
          <w:rPr>
            <w:noProof/>
            <w:webHidden/>
          </w:rPr>
          <w:t>56</w:t>
        </w:r>
        <w:r>
          <w:rPr>
            <w:noProof/>
            <w:webHidden/>
          </w:rPr>
          <w:fldChar w:fldCharType="end"/>
        </w:r>
      </w:hyperlink>
    </w:p>
    <w:p w:rsidR="009E24ED" w:rsidRDefault="00977728">
      <w:pPr>
        <w:pStyle w:val="Spistreci3"/>
        <w:tabs>
          <w:tab w:val="left" w:pos="1588"/>
          <w:tab w:val="right" w:leader="dot" w:pos="9062"/>
        </w:tabs>
        <w:rPr>
          <w:rFonts w:asciiTheme="minorHAnsi" w:eastAsiaTheme="minorEastAsia" w:hAnsiTheme="minorHAnsi" w:cstheme="minorBidi"/>
          <w:noProof/>
          <w:lang w:val="pl-PL"/>
        </w:rPr>
      </w:pPr>
      <w:hyperlink w:anchor="_Toc383521290" w:history="1">
        <w:r w:rsidR="009E24ED" w:rsidRPr="00721380">
          <w:rPr>
            <w:rStyle w:val="Hipercze"/>
            <w:noProof/>
          </w:rPr>
          <w:t>3.1.65.</w:t>
        </w:r>
        <w:r w:rsidR="009E24ED">
          <w:rPr>
            <w:rFonts w:asciiTheme="minorHAnsi" w:eastAsiaTheme="minorEastAsia" w:hAnsiTheme="minorHAnsi" w:cstheme="minorBidi"/>
            <w:noProof/>
            <w:lang w:val="pl-PL"/>
          </w:rPr>
          <w:tab/>
        </w:r>
        <w:r w:rsidR="009E24ED" w:rsidRPr="00721380">
          <w:rPr>
            <w:rStyle w:val="Hipercze"/>
            <w:noProof/>
          </w:rPr>
          <w:t>Pozostałe środki trwałe i wartości niematerialne i prawne – niesieciowe</w:t>
        </w:r>
        <w:r w:rsidR="009E24ED">
          <w:rPr>
            <w:noProof/>
            <w:webHidden/>
          </w:rPr>
          <w:tab/>
        </w:r>
        <w:r>
          <w:rPr>
            <w:noProof/>
            <w:webHidden/>
          </w:rPr>
          <w:fldChar w:fldCharType="begin"/>
        </w:r>
        <w:r w:rsidR="009E24ED">
          <w:rPr>
            <w:noProof/>
            <w:webHidden/>
          </w:rPr>
          <w:instrText xml:space="preserve"> PAGEREF _Toc383521290 \h </w:instrText>
        </w:r>
        <w:r>
          <w:rPr>
            <w:noProof/>
            <w:webHidden/>
          </w:rPr>
        </w:r>
        <w:r>
          <w:rPr>
            <w:noProof/>
            <w:webHidden/>
          </w:rPr>
          <w:fldChar w:fldCharType="separate"/>
        </w:r>
        <w:r w:rsidR="009E24ED">
          <w:rPr>
            <w:noProof/>
            <w:webHidden/>
          </w:rPr>
          <w:t>57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91" w:history="1">
        <w:r w:rsidR="009E24ED" w:rsidRPr="00721380">
          <w:rPr>
            <w:rStyle w:val="Hipercze"/>
            <w:noProof/>
            <w:lang w:val="pl-PL"/>
          </w:rPr>
          <w:t>4.</w:t>
        </w:r>
        <w:r w:rsidR="009E24ED">
          <w:rPr>
            <w:rFonts w:asciiTheme="minorHAnsi" w:eastAsiaTheme="minorEastAsia" w:hAnsiTheme="minorHAnsi" w:cstheme="minorBidi"/>
            <w:b w:val="0"/>
            <w:bCs w:val="0"/>
            <w:noProof/>
            <w:lang w:val="pl-PL"/>
          </w:rPr>
          <w:tab/>
        </w:r>
        <w:r w:rsidR="009E24ED" w:rsidRPr="00721380">
          <w:rPr>
            <w:rStyle w:val="Hipercze"/>
            <w:noProof/>
            <w:lang w:val="pl-PL"/>
          </w:rPr>
          <w:t>Metody przeszacowania składników kapitału zaangażowanego innych niż środki trwałe i wartości niematerialne i prawne</w:t>
        </w:r>
        <w:r w:rsidR="009E24ED">
          <w:rPr>
            <w:noProof/>
            <w:webHidden/>
          </w:rPr>
          <w:tab/>
        </w:r>
        <w:r>
          <w:rPr>
            <w:noProof/>
            <w:webHidden/>
          </w:rPr>
          <w:fldChar w:fldCharType="begin"/>
        </w:r>
        <w:r w:rsidR="009E24ED">
          <w:rPr>
            <w:noProof/>
            <w:webHidden/>
          </w:rPr>
          <w:instrText xml:space="preserve"> PAGEREF _Toc383521291 \h </w:instrText>
        </w:r>
        <w:r>
          <w:rPr>
            <w:noProof/>
            <w:webHidden/>
          </w:rPr>
        </w:r>
        <w:r>
          <w:rPr>
            <w:noProof/>
            <w:webHidden/>
          </w:rPr>
          <w:fldChar w:fldCharType="separate"/>
        </w:r>
        <w:r w:rsidR="009E24ED">
          <w:rPr>
            <w:noProof/>
            <w:webHidden/>
          </w:rPr>
          <w:t>57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92" w:history="1">
        <w:r w:rsidR="009E24ED" w:rsidRPr="00721380">
          <w:rPr>
            <w:rStyle w:val="Hipercze"/>
            <w:noProof/>
            <w:lang w:val="pl-PL"/>
          </w:rPr>
          <w:t>5.</w:t>
        </w:r>
        <w:r w:rsidR="009E24ED">
          <w:rPr>
            <w:rFonts w:asciiTheme="minorHAnsi" w:eastAsiaTheme="minorEastAsia" w:hAnsiTheme="minorHAnsi" w:cstheme="minorBidi"/>
            <w:b w:val="0"/>
            <w:bCs w:val="0"/>
            <w:noProof/>
            <w:lang w:val="pl-PL"/>
          </w:rPr>
          <w:tab/>
        </w:r>
        <w:r w:rsidR="009E24ED" w:rsidRPr="00721380">
          <w:rPr>
            <w:rStyle w:val="Hipercze"/>
            <w:noProof/>
            <w:lang w:val="pl-PL"/>
          </w:rPr>
          <w:t>(</w:t>
        </w:r>
        <w:r w:rsidR="009E24ED" w:rsidRPr="00721380">
          <w:rPr>
            <w:rStyle w:val="Hipercze"/>
            <w:noProof/>
          </w:rPr>
          <w:sym w:font="Wingdings 2" w:char="0026"/>
        </w:r>
        <w:r w:rsidR="009E24ED" w:rsidRPr="00721380">
          <w:rPr>
            <w:rStyle w:val="Hipercze"/>
            <w:noProof/>
            <w:lang w:val="pl-PL"/>
          </w:rPr>
          <w:t xml:space="preserve">Tajemnica przedsiębiorstwa </w:t>
        </w:r>
        <w:r w:rsidR="009E24ED" w:rsidRPr="00721380">
          <w:rPr>
            <w:rStyle w:val="Hipercze"/>
            <w:noProof/>
          </w:rPr>
          <w:sym w:font="Wingdings 2" w:char="0026"/>
        </w:r>
        <w:r w:rsidR="009E24ED" w:rsidRPr="00721380">
          <w:rPr>
            <w:rStyle w:val="Hipercze"/>
            <w:noProof/>
            <w:lang w:val="pl-PL"/>
          </w:rPr>
          <w:t>)</w:t>
        </w:r>
        <w:r w:rsidR="009E24ED">
          <w:rPr>
            <w:noProof/>
            <w:webHidden/>
          </w:rPr>
          <w:tab/>
        </w:r>
        <w:r>
          <w:rPr>
            <w:noProof/>
            <w:webHidden/>
          </w:rPr>
          <w:fldChar w:fldCharType="begin"/>
        </w:r>
        <w:r w:rsidR="009E24ED">
          <w:rPr>
            <w:noProof/>
            <w:webHidden/>
          </w:rPr>
          <w:instrText xml:space="preserve"> PAGEREF _Toc383521292 \h </w:instrText>
        </w:r>
        <w:r>
          <w:rPr>
            <w:noProof/>
            <w:webHidden/>
          </w:rPr>
        </w:r>
        <w:r>
          <w:rPr>
            <w:noProof/>
            <w:webHidden/>
          </w:rPr>
          <w:fldChar w:fldCharType="separate"/>
        </w:r>
        <w:r w:rsidR="009E24ED">
          <w:rPr>
            <w:noProof/>
            <w:webHidden/>
          </w:rPr>
          <w:t>57</w:t>
        </w:r>
        <w:r>
          <w:rPr>
            <w:noProof/>
            <w:webHidden/>
          </w:rPr>
          <w:fldChar w:fldCharType="end"/>
        </w:r>
      </w:hyperlink>
    </w:p>
    <w:p w:rsidR="009E24ED" w:rsidRDefault="00977728">
      <w:pPr>
        <w:pStyle w:val="Spistreci2"/>
        <w:tabs>
          <w:tab w:val="right" w:leader="dot" w:pos="9062"/>
        </w:tabs>
        <w:rPr>
          <w:rFonts w:asciiTheme="minorHAnsi" w:eastAsiaTheme="minorEastAsia" w:hAnsiTheme="minorHAnsi" w:cstheme="minorBidi"/>
          <w:b w:val="0"/>
          <w:bCs w:val="0"/>
          <w:noProof/>
          <w:lang w:val="pl-PL"/>
        </w:rPr>
      </w:pPr>
      <w:hyperlink w:anchor="_Toc383521293" w:history="1">
        <w:r w:rsidR="009E24ED" w:rsidRPr="00721380">
          <w:rPr>
            <w:rStyle w:val="Hipercze"/>
            <w:noProof/>
            <w:lang w:val="pl-PL"/>
          </w:rPr>
          <w:t>Część II – Przeszacowanie środków trwałych i wartości niematerialnych i prawnych dla potrzeb Sprawozdania  z prowadzenia rachunkowości regulacyjnej za rok 2013 oraz wyznaczanie wartości kosztów od wartości bieżących składników kapitału zaangażowanego za rok 2013</w:t>
        </w:r>
        <w:r w:rsidR="009E24ED">
          <w:rPr>
            <w:noProof/>
            <w:webHidden/>
          </w:rPr>
          <w:tab/>
        </w:r>
        <w:r>
          <w:rPr>
            <w:noProof/>
            <w:webHidden/>
          </w:rPr>
          <w:fldChar w:fldCharType="begin"/>
        </w:r>
        <w:r w:rsidR="009E24ED">
          <w:rPr>
            <w:noProof/>
            <w:webHidden/>
          </w:rPr>
          <w:instrText xml:space="preserve"> PAGEREF _Toc383521293 \h </w:instrText>
        </w:r>
        <w:r>
          <w:rPr>
            <w:noProof/>
            <w:webHidden/>
          </w:rPr>
        </w:r>
        <w:r>
          <w:rPr>
            <w:noProof/>
            <w:webHidden/>
          </w:rPr>
          <w:fldChar w:fldCharType="separate"/>
        </w:r>
        <w:r w:rsidR="009E24ED">
          <w:rPr>
            <w:noProof/>
            <w:webHidden/>
          </w:rPr>
          <w:t>57</w:t>
        </w:r>
        <w:r>
          <w:rPr>
            <w:noProof/>
            <w:webHidden/>
          </w:rPr>
          <w:fldChar w:fldCharType="end"/>
        </w:r>
      </w:hyperlink>
    </w:p>
    <w:p w:rsidR="009E24ED" w:rsidRDefault="00977728">
      <w:pPr>
        <w:pStyle w:val="Spistreci1"/>
        <w:rPr>
          <w:rFonts w:asciiTheme="minorHAnsi" w:eastAsiaTheme="minorEastAsia" w:hAnsiTheme="minorHAnsi" w:cstheme="minorBidi"/>
          <w:b w:val="0"/>
          <w:bCs w:val="0"/>
          <w:lang w:val="pl-PL"/>
        </w:rPr>
      </w:pPr>
      <w:hyperlink w:anchor="_Toc383521294" w:history="1">
        <w:r w:rsidR="009E24ED" w:rsidRPr="00721380">
          <w:rPr>
            <w:rStyle w:val="Hipercze"/>
          </w:rPr>
          <w:t>Część III – Przeszacowanie środków trwałych i wartości niematerialnych i prawnych dla potrzeb kalkulacji kosztów usług na rok 2015 oraz wyznaczanie wartości kosztów  od wartości bieżących składników kapitału zaangażowanego na rok 2015.</w:t>
        </w:r>
        <w:r w:rsidR="009E24ED">
          <w:rPr>
            <w:webHidden/>
          </w:rPr>
          <w:tab/>
        </w:r>
        <w:r>
          <w:rPr>
            <w:webHidden/>
          </w:rPr>
          <w:fldChar w:fldCharType="begin"/>
        </w:r>
        <w:r w:rsidR="009E24ED">
          <w:rPr>
            <w:webHidden/>
          </w:rPr>
          <w:instrText xml:space="preserve"> PAGEREF _Toc383521294 \h </w:instrText>
        </w:r>
        <w:r>
          <w:rPr>
            <w:webHidden/>
          </w:rPr>
        </w:r>
        <w:r>
          <w:rPr>
            <w:webHidden/>
          </w:rPr>
          <w:fldChar w:fldCharType="separate"/>
        </w:r>
        <w:r w:rsidR="009E24ED">
          <w:rPr>
            <w:webHidden/>
          </w:rPr>
          <w:t>62</w:t>
        </w:r>
        <w:r>
          <w:rPr>
            <w:webHidden/>
          </w:rPr>
          <w:fldChar w:fldCharType="end"/>
        </w:r>
      </w:hyperlink>
    </w:p>
    <w:p w:rsidR="001326EF" w:rsidRPr="00A37BE6" w:rsidRDefault="00977728" w:rsidP="00EB6C89">
      <w:pPr>
        <w:spacing w:before="120" w:line="240" w:lineRule="auto"/>
        <w:rPr>
          <w:b/>
          <w:sz w:val="28"/>
          <w:szCs w:val="28"/>
          <w:lang w:val="pl-PL"/>
        </w:rPr>
      </w:pPr>
      <w:r w:rsidRPr="00183706">
        <w:rPr>
          <w:b/>
          <w:bCs/>
          <w:lang w:val="pl-PL"/>
        </w:rPr>
        <w:fldChar w:fldCharType="end"/>
      </w:r>
      <w:r w:rsidR="00B92BFC" w:rsidRPr="00183706">
        <w:rPr>
          <w:lang w:val="pl-PL"/>
        </w:rPr>
        <w:br w:type="page"/>
      </w:r>
      <w:bookmarkStart w:id="1" w:name="_Toc314727566"/>
      <w:bookmarkEnd w:id="0"/>
      <w:r w:rsidR="001326EF" w:rsidRPr="00A37BE6">
        <w:rPr>
          <w:b/>
          <w:sz w:val="28"/>
          <w:szCs w:val="28"/>
          <w:lang w:val="pl-PL"/>
        </w:rPr>
        <w:lastRenderedPageBreak/>
        <w:t>Wprowadzenie</w:t>
      </w:r>
      <w:bookmarkEnd w:id="1"/>
    </w:p>
    <w:p w:rsidR="00D02C06" w:rsidRPr="00183706" w:rsidRDefault="00D02C06" w:rsidP="00EB6C89">
      <w:pPr>
        <w:spacing w:before="120" w:line="240" w:lineRule="auto"/>
        <w:rPr>
          <w:snapToGrid w:val="0"/>
          <w:color w:val="000000"/>
          <w:lang w:val="pl-PL"/>
        </w:rPr>
      </w:pPr>
      <w:r w:rsidRPr="00183706">
        <w:rPr>
          <w:snapToGrid w:val="0"/>
          <w:color w:val="000000"/>
          <w:lang w:val="pl-PL"/>
        </w:rPr>
        <w:t xml:space="preserve">31 grudnia 2013r. Sąd Rejonowy dla m.st. Warszawy, XII Wydział Gospodarczy Krajowego Rejestru Sądowego dokonał wpisu połączenia Telekomunikacji Polskiej S.A. (jako spółki przejmującej), Polskiej Telefonii Komórkowej - Centertel sp. z o.o. oraz Orange Polska </w:t>
      </w:r>
      <w:r w:rsidR="0042417B" w:rsidRPr="00183706">
        <w:rPr>
          <w:snapToGrid w:val="0"/>
          <w:color w:val="000000"/>
          <w:lang w:val="pl-PL"/>
        </w:rPr>
        <w:br/>
      </w:r>
      <w:r w:rsidRPr="00183706">
        <w:rPr>
          <w:snapToGrid w:val="0"/>
          <w:color w:val="000000"/>
          <w:lang w:val="pl-PL"/>
        </w:rPr>
        <w:t xml:space="preserve">sp. z o.o. (jako spółek przejmowanych) do rejestru przedsiębiorców. </w:t>
      </w:r>
    </w:p>
    <w:p w:rsidR="00D02C06" w:rsidRPr="00183706" w:rsidRDefault="00D02C06" w:rsidP="00EB6C89">
      <w:pPr>
        <w:spacing w:before="120" w:line="240" w:lineRule="auto"/>
        <w:rPr>
          <w:snapToGrid w:val="0"/>
          <w:color w:val="000000"/>
          <w:lang w:val="pl-PL"/>
        </w:rPr>
      </w:pPr>
      <w:r w:rsidRPr="00183706">
        <w:rPr>
          <w:snapToGrid w:val="0"/>
          <w:color w:val="000000"/>
          <w:lang w:val="pl-PL"/>
        </w:rPr>
        <w:t xml:space="preserve">Sąd dokonał również rejestracji zmian statutu Spółki w zakresie zmian w przedmiocie działalności Spółki jak również zmiany firmy z Telekomunikacja Polska Spółka Akcyjna </w:t>
      </w:r>
      <w:r w:rsidR="0042417B" w:rsidRPr="00183706">
        <w:rPr>
          <w:snapToGrid w:val="0"/>
          <w:color w:val="000000"/>
          <w:lang w:val="pl-PL"/>
        </w:rPr>
        <w:br/>
      </w:r>
      <w:r w:rsidRPr="00183706">
        <w:rPr>
          <w:snapToGrid w:val="0"/>
          <w:color w:val="000000"/>
          <w:lang w:val="pl-PL"/>
        </w:rPr>
        <w:t>na Orange Polska Spółka Akcyjna. Zmiany zostały dokonane na mocy uchwał nr 3,</w:t>
      </w:r>
      <w:r w:rsidR="0042417B" w:rsidRPr="00183706">
        <w:rPr>
          <w:snapToGrid w:val="0"/>
          <w:color w:val="000000"/>
          <w:lang w:val="pl-PL"/>
        </w:rPr>
        <w:t xml:space="preserve"> </w:t>
      </w:r>
      <w:r w:rsidRPr="00183706">
        <w:rPr>
          <w:snapToGrid w:val="0"/>
          <w:color w:val="000000"/>
          <w:lang w:val="pl-PL"/>
        </w:rPr>
        <w:t xml:space="preserve">4 </w:t>
      </w:r>
      <w:r w:rsidR="0042417B" w:rsidRPr="00183706">
        <w:rPr>
          <w:snapToGrid w:val="0"/>
          <w:color w:val="000000"/>
          <w:lang w:val="pl-PL"/>
        </w:rPr>
        <w:br/>
      </w:r>
      <w:r w:rsidRPr="00183706">
        <w:rPr>
          <w:snapToGrid w:val="0"/>
          <w:color w:val="000000"/>
          <w:lang w:val="pl-PL"/>
        </w:rPr>
        <w:t xml:space="preserve">oraz 5 Nadzwyczajnego Walnego Zgromadzenia Akcjonariuszy Telekomunikacji Polskiej S.A. z dnia 7 listopada 2013 roku. </w:t>
      </w:r>
    </w:p>
    <w:p w:rsidR="00D02C06" w:rsidRPr="00183706" w:rsidRDefault="00D02C06" w:rsidP="00EB6C89">
      <w:pPr>
        <w:spacing w:before="120" w:line="240" w:lineRule="auto"/>
        <w:rPr>
          <w:snapToGrid w:val="0"/>
          <w:color w:val="000000"/>
          <w:lang w:val="pl-PL"/>
        </w:rPr>
      </w:pPr>
      <w:r w:rsidRPr="00183706">
        <w:rPr>
          <w:snapToGrid w:val="0"/>
          <w:color w:val="000000"/>
          <w:lang w:val="pl-PL"/>
        </w:rPr>
        <w:t xml:space="preserve">Połączenie nastąpiło w trybie art. 492 § 1 </w:t>
      </w:r>
      <w:proofErr w:type="spellStart"/>
      <w:r w:rsidRPr="00183706">
        <w:rPr>
          <w:snapToGrid w:val="0"/>
          <w:color w:val="000000"/>
          <w:lang w:val="pl-PL"/>
        </w:rPr>
        <w:t>pkt</w:t>
      </w:r>
      <w:proofErr w:type="spellEnd"/>
      <w:r w:rsidRPr="00183706">
        <w:rPr>
          <w:snapToGrid w:val="0"/>
          <w:color w:val="000000"/>
          <w:lang w:val="pl-PL"/>
        </w:rPr>
        <w:t xml:space="preserve"> 1 Kodeksu Spółek Handlowych poprzez przeniesienie całego majątku spółek Polska Telefonia Komórkowa - Centertel spółka z o.o. oraz Orange Polska spółka z o.o. na spółkę Telekomunikacja Polska S.A. jako jedynego wspólnika przejmowanych spółek. </w:t>
      </w:r>
    </w:p>
    <w:p w:rsidR="00D02C06" w:rsidRPr="00183706" w:rsidRDefault="00D02C06" w:rsidP="00EB6C89">
      <w:pPr>
        <w:spacing w:before="120" w:line="240" w:lineRule="auto"/>
        <w:rPr>
          <w:snapToGrid w:val="0"/>
          <w:color w:val="000000"/>
          <w:lang w:val="pl-PL"/>
        </w:rPr>
      </w:pPr>
      <w:r w:rsidRPr="00183706">
        <w:rPr>
          <w:snapToGrid w:val="0"/>
          <w:color w:val="000000"/>
          <w:lang w:val="pl-PL"/>
        </w:rPr>
        <w:t xml:space="preserve">W efekcie powyższego od dnia 31 grudnia 2013r. Orange Polska S.A. (dalej „OPL” </w:t>
      </w:r>
      <w:r w:rsidR="0042417B" w:rsidRPr="00183706">
        <w:rPr>
          <w:snapToGrid w:val="0"/>
          <w:color w:val="000000"/>
          <w:lang w:val="pl-PL"/>
        </w:rPr>
        <w:br/>
      </w:r>
      <w:r w:rsidRPr="00183706">
        <w:rPr>
          <w:snapToGrid w:val="0"/>
          <w:color w:val="000000"/>
          <w:lang w:val="pl-PL"/>
        </w:rPr>
        <w:t xml:space="preserve">lub „Spółka”) jest zobowiązana do kalkulacji kosztów uzasadnionych dla usług określonych </w:t>
      </w:r>
      <w:r w:rsidR="001A2FA4" w:rsidRPr="00183706">
        <w:rPr>
          <w:snapToGrid w:val="0"/>
          <w:color w:val="000000"/>
          <w:lang w:val="pl-PL"/>
        </w:rPr>
        <w:br/>
      </w:r>
      <w:r w:rsidRPr="00183706">
        <w:rPr>
          <w:snapToGrid w:val="0"/>
          <w:color w:val="000000"/>
          <w:lang w:val="pl-PL"/>
        </w:rPr>
        <w:t>w decyzjach Prezesa UKE.</w:t>
      </w:r>
    </w:p>
    <w:p w:rsidR="00B92BFC" w:rsidRPr="00183706" w:rsidRDefault="00B92BFC" w:rsidP="00EB6C89">
      <w:pPr>
        <w:spacing w:before="120" w:line="240" w:lineRule="auto"/>
        <w:rPr>
          <w:snapToGrid w:val="0"/>
          <w:lang w:val="pl-PL"/>
        </w:rPr>
      </w:pPr>
      <w:r w:rsidRPr="00183706">
        <w:rPr>
          <w:lang w:val="pl-PL"/>
        </w:rPr>
        <w:t xml:space="preserve">Celem niniejszego dokumentu jest wytyczenie zasad i metod przeszacowania środków trwałych i wartości niematerialnych i prawnych w </w:t>
      </w:r>
      <w:r w:rsidR="001101A1" w:rsidRPr="00183706">
        <w:rPr>
          <w:lang w:val="pl-PL"/>
        </w:rPr>
        <w:t>Orange Polska</w:t>
      </w:r>
      <w:r w:rsidRPr="00183706">
        <w:rPr>
          <w:lang w:val="pl-PL"/>
        </w:rPr>
        <w:t xml:space="preserve"> S.A.</w:t>
      </w:r>
      <w:r w:rsidRPr="00183706">
        <w:rPr>
          <w:snapToGrid w:val="0"/>
          <w:lang w:val="pl-PL"/>
        </w:rPr>
        <w:t xml:space="preserve"> </w:t>
      </w:r>
    </w:p>
    <w:p w:rsidR="00B92BFC" w:rsidRPr="00183706" w:rsidRDefault="00B92BFC" w:rsidP="00EB6C89">
      <w:pPr>
        <w:spacing w:before="120" w:line="240" w:lineRule="auto"/>
        <w:rPr>
          <w:lang w:val="pl-PL"/>
        </w:rPr>
      </w:pPr>
      <w:r w:rsidRPr="00183706">
        <w:rPr>
          <w:lang w:val="pl-PL"/>
        </w:rPr>
        <w:t xml:space="preserve">Niniejszy dokument składa się z </w:t>
      </w:r>
      <w:r w:rsidR="006B737A" w:rsidRPr="00183706">
        <w:rPr>
          <w:lang w:val="pl-PL"/>
        </w:rPr>
        <w:t>trzech</w:t>
      </w:r>
      <w:r w:rsidRPr="00183706">
        <w:rPr>
          <w:lang w:val="pl-PL"/>
        </w:rPr>
        <w:t xml:space="preserve"> części:</w:t>
      </w:r>
    </w:p>
    <w:p w:rsidR="00B92BFC" w:rsidRPr="00183706" w:rsidRDefault="00B92BFC" w:rsidP="00EB6C89">
      <w:pPr>
        <w:tabs>
          <w:tab w:val="clear" w:pos="567"/>
          <w:tab w:val="left" w:pos="1080"/>
        </w:tabs>
        <w:spacing w:before="120" w:line="240" w:lineRule="auto"/>
        <w:ind w:left="1080" w:hanging="1080"/>
        <w:rPr>
          <w:lang w:val="pl-PL"/>
        </w:rPr>
      </w:pPr>
      <w:r w:rsidRPr="00183706">
        <w:rPr>
          <w:lang w:val="pl-PL"/>
        </w:rPr>
        <w:t xml:space="preserve">Część I, </w:t>
      </w:r>
      <w:r w:rsidR="009D7DE7" w:rsidRPr="00183706">
        <w:rPr>
          <w:lang w:val="pl-PL"/>
        </w:rPr>
        <w:tab/>
      </w:r>
      <w:r w:rsidRPr="00183706">
        <w:rPr>
          <w:lang w:val="pl-PL"/>
        </w:rPr>
        <w:t xml:space="preserve">która reguluje sposoby przeszacowania środków trwałych i wartości niematerialnych i prawnych </w:t>
      </w:r>
      <w:r w:rsidR="0022177C" w:rsidRPr="00183706">
        <w:rPr>
          <w:lang w:val="pl-PL"/>
        </w:rPr>
        <w:t xml:space="preserve">oraz pozostałych składników kapitału zaangażowanego </w:t>
      </w:r>
      <w:r w:rsidRPr="00183706">
        <w:rPr>
          <w:lang w:val="pl-PL"/>
        </w:rPr>
        <w:t xml:space="preserve">na dzień 31 grudnia </w:t>
      </w:r>
      <w:r w:rsidR="005B24B6" w:rsidRPr="00183706">
        <w:rPr>
          <w:lang w:val="pl-PL"/>
        </w:rPr>
        <w:t>2013</w:t>
      </w:r>
      <w:r w:rsidR="006B737A" w:rsidRPr="00183706">
        <w:rPr>
          <w:lang w:val="pl-PL"/>
        </w:rPr>
        <w:t xml:space="preserve"> roku;</w:t>
      </w:r>
      <w:r w:rsidRPr="00183706">
        <w:rPr>
          <w:lang w:val="pl-PL"/>
        </w:rPr>
        <w:t xml:space="preserve"> </w:t>
      </w:r>
    </w:p>
    <w:p w:rsidR="00B92BFC" w:rsidRPr="00183706" w:rsidRDefault="00B92BFC" w:rsidP="00EB6C89">
      <w:pPr>
        <w:tabs>
          <w:tab w:val="clear" w:pos="567"/>
          <w:tab w:val="left" w:pos="1080"/>
        </w:tabs>
        <w:spacing w:before="120" w:line="240" w:lineRule="auto"/>
        <w:ind w:left="1080" w:hanging="1080"/>
        <w:rPr>
          <w:lang w:val="pl-PL"/>
        </w:rPr>
      </w:pPr>
      <w:r w:rsidRPr="00183706">
        <w:rPr>
          <w:lang w:val="pl-PL"/>
        </w:rPr>
        <w:t xml:space="preserve">Część II, </w:t>
      </w:r>
      <w:r w:rsidR="002C7F8A" w:rsidRPr="00183706">
        <w:rPr>
          <w:lang w:val="pl-PL"/>
        </w:rPr>
        <w:tab/>
      </w:r>
      <w:r w:rsidRPr="00183706">
        <w:rPr>
          <w:lang w:val="pl-PL"/>
        </w:rPr>
        <w:t>która reguluje dostosowanie wyceny środków trwałych i wartości niematerialnych i prawnych dokon</w:t>
      </w:r>
      <w:r w:rsidR="006B737A" w:rsidRPr="00183706">
        <w:rPr>
          <w:lang w:val="pl-PL"/>
        </w:rPr>
        <w:t xml:space="preserve">ywanej </w:t>
      </w:r>
      <w:r w:rsidRPr="00183706">
        <w:rPr>
          <w:lang w:val="pl-PL"/>
        </w:rPr>
        <w:t xml:space="preserve">na dzień 31 grudnia </w:t>
      </w:r>
      <w:r w:rsidR="005B24B6" w:rsidRPr="00183706">
        <w:rPr>
          <w:lang w:val="pl-PL"/>
        </w:rPr>
        <w:t>2013</w:t>
      </w:r>
      <w:r w:rsidRPr="00183706">
        <w:rPr>
          <w:lang w:val="pl-PL"/>
        </w:rPr>
        <w:t xml:space="preserve"> roku </w:t>
      </w:r>
      <w:r w:rsidR="00C70B78" w:rsidRPr="00183706">
        <w:rPr>
          <w:lang w:val="pl-PL"/>
        </w:rPr>
        <w:t xml:space="preserve">dla potrzeb Sprawozdania z prowadzenia rachunkowości regulacyjnej za rok </w:t>
      </w:r>
      <w:r w:rsidR="005B24B6" w:rsidRPr="00183706">
        <w:rPr>
          <w:lang w:val="pl-PL"/>
        </w:rPr>
        <w:t>2013</w:t>
      </w:r>
      <w:r w:rsidR="006B737A" w:rsidRPr="00183706">
        <w:rPr>
          <w:lang w:val="pl-PL"/>
        </w:rPr>
        <w:t xml:space="preserve">; </w:t>
      </w:r>
    </w:p>
    <w:p w:rsidR="00D01B51" w:rsidRPr="00183706" w:rsidRDefault="009D7DE7" w:rsidP="00EB6C89">
      <w:pPr>
        <w:tabs>
          <w:tab w:val="left" w:pos="1080"/>
        </w:tabs>
        <w:spacing w:before="120" w:line="240" w:lineRule="auto"/>
        <w:ind w:left="1080" w:hanging="1080"/>
        <w:rPr>
          <w:lang w:val="pl-PL"/>
        </w:rPr>
      </w:pPr>
      <w:r w:rsidRPr="00183706">
        <w:rPr>
          <w:lang w:val="pl-PL"/>
        </w:rPr>
        <w:t xml:space="preserve">Część III, </w:t>
      </w:r>
      <w:r w:rsidR="002C7F8A" w:rsidRPr="00183706">
        <w:rPr>
          <w:lang w:val="pl-PL"/>
        </w:rPr>
        <w:tab/>
      </w:r>
      <w:r w:rsidRPr="00183706">
        <w:rPr>
          <w:lang w:val="pl-PL"/>
        </w:rPr>
        <w:t xml:space="preserve">która reguluje dostosowanie wyceny środków trwałych i wartości niematerialnych i prawnych oraz pozostałych składników kapitału zaangażowanego dokonanej </w:t>
      </w:r>
      <w:r w:rsidR="0042417B" w:rsidRPr="00183706">
        <w:rPr>
          <w:lang w:val="pl-PL"/>
        </w:rPr>
        <w:br/>
      </w:r>
      <w:r w:rsidRPr="00183706">
        <w:rPr>
          <w:lang w:val="pl-PL"/>
        </w:rPr>
        <w:t xml:space="preserve">na dzień 31 grudnia </w:t>
      </w:r>
      <w:r w:rsidR="005B24B6" w:rsidRPr="00183706">
        <w:rPr>
          <w:lang w:val="pl-PL"/>
        </w:rPr>
        <w:t>2013</w:t>
      </w:r>
      <w:r w:rsidRPr="00183706">
        <w:rPr>
          <w:lang w:val="pl-PL"/>
        </w:rPr>
        <w:t xml:space="preserve"> roku dla potrzeb kalkulacji kosztów usług na rok </w:t>
      </w:r>
      <w:r w:rsidR="005B24B6" w:rsidRPr="00183706">
        <w:rPr>
          <w:lang w:val="pl-PL"/>
        </w:rPr>
        <w:t>2015</w:t>
      </w:r>
      <w:r w:rsidRPr="00183706">
        <w:rPr>
          <w:lang w:val="pl-PL"/>
        </w:rPr>
        <w:t xml:space="preserve"> oraz określa sposoby określenia wartości kosztów od wartości bieżącej składników kapitału zaangażowanego. </w:t>
      </w:r>
    </w:p>
    <w:p w:rsidR="00B92BFC" w:rsidRPr="00183706" w:rsidRDefault="001326EF" w:rsidP="00EB6C89">
      <w:pPr>
        <w:pStyle w:val="MIKNagwek0"/>
        <w:spacing w:before="120" w:after="0" w:line="240" w:lineRule="auto"/>
      </w:pPr>
      <w:bookmarkStart w:id="2" w:name="_Toc314727567"/>
      <w:bookmarkStart w:id="3" w:name="_Toc383521129"/>
      <w:r w:rsidRPr="00183706">
        <w:t>Podstawa prawna</w:t>
      </w:r>
      <w:bookmarkEnd w:id="2"/>
      <w:bookmarkEnd w:id="3"/>
    </w:p>
    <w:p w:rsidR="001326EF" w:rsidRPr="00183706" w:rsidRDefault="001326EF" w:rsidP="00EB6C89">
      <w:pPr>
        <w:spacing w:before="120" w:line="240" w:lineRule="auto"/>
        <w:rPr>
          <w:lang w:val="pl-PL"/>
        </w:rPr>
      </w:pPr>
      <w:bookmarkStart w:id="4" w:name="_Toc122859275"/>
      <w:r w:rsidRPr="00183706">
        <w:rPr>
          <w:lang w:val="pl-PL"/>
        </w:rPr>
        <w:t>Dokumentem regulującym kwestie związane z przeszacowaniem wartości składników kapitału zaangażowanego jest Rozporządzenie Ministra Transportu i Budownictwa z dnia 15 grudnia 2005 roku w sprawie prowadzenia przez przedsiębiorcę telekomunikacyjnego rachunkowości regulacyjnej i kalkulacji kosztów usług („Rozporządzenie”).</w:t>
      </w:r>
      <w:r w:rsidR="00694563" w:rsidRPr="00183706">
        <w:rPr>
          <w:lang w:val="pl-PL"/>
        </w:rPr>
        <w:t xml:space="preserve"> </w:t>
      </w:r>
    </w:p>
    <w:p w:rsidR="001326EF" w:rsidRPr="00183706" w:rsidRDefault="001326EF" w:rsidP="00EB6C89">
      <w:pPr>
        <w:spacing w:before="120" w:line="240" w:lineRule="auto"/>
        <w:rPr>
          <w:lang w:val="pl-PL"/>
        </w:rPr>
      </w:pPr>
      <w:r w:rsidRPr="00183706">
        <w:rPr>
          <w:lang w:val="pl-PL"/>
        </w:rPr>
        <w:t xml:space="preserve">Zgodnie z rozdziałem trzecim „Sposób i termin dokonywania aktualizacji wyceny środków trwałych oraz wartości niematerialnych i prawnych” wyżej wymienionego rozporządzenia </w:t>
      </w:r>
      <w:r w:rsidR="00D17183" w:rsidRPr="00183706">
        <w:rPr>
          <w:lang w:val="pl-PL"/>
        </w:rPr>
        <w:t xml:space="preserve">Orange </w:t>
      </w:r>
      <w:r w:rsidRPr="00183706">
        <w:rPr>
          <w:lang w:val="pl-PL"/>
        </w:rPr>
        <w:t xml:space="preserve">Polska zobowiązana jest do corocznego dokonywania przeszacowania środków trwałych oraz wartości niematerialnych i prawnych oraz pozostałych składników kapitału zaangażowanego, będących składnikami związanymi ze świadczeniem usług telekomunikacyjnych, do ich wartości bieżących. </w:t>
      </w:r>
    </w:p>
    <w:p w:rsidR="001326EF" w:rsidRPr="00183706" w:rsidRDefault="001326EF" w:rsidP="00EB6C89">
      <w:pPr>
        <w:spacing w:before="120" w:line="240" w:lineRule="auto"/>
        <w:rPr>
          <w:lang w:val="pl-PL"/>
        </w:rPr>
      </w:pPr>
      <w:r w:rsidRPr="00183706">
        <w:rPr>
          <w:lang w:val="pl-PL"/>
        </w:rPr>
        <w:t>Wartość bieżącą stanowi:</w:t>
      </w:r>
      <w:r w:rsidR="00D01B51" w:rsidRPr="00183706">
        <w:rPr>
          <w:lang w:val="pl-PL"/>
        </w:rPr>
        <w:t xml:space="preserve"> </w:t>
      </w:r>
    </w:p>
    <w:p w:rsidR="001326EF" w:rsidRPr="00183706" w:rsidRDefault="001326EF" w:rsidP="00EB6C89">
      <w:pPr>
        <w:numPr>
          <w:ilvl w:val="0"/>
          <w:numId w:val="47"/>
        </w:numPr>
        <w:spacing w:before="120" w:line="240" w:lineRule="auto"/>
        <w:rPr>
          <w:lang w:val="pl-PL"/>
        </w:rPr>
      </w:pPr>
      <w:r w:rsidRPr="00183706">
        <w:rPr>
          <w:lang w:val="pl-PL"/>
        </w:rPr>
        <w:t>dla środków trwałych oraz wartości niematerialnych i prawnych - koszt odtworzenia składnika aktywów lub grupy składników o podobnej funkcji i przeznaczeniu;</w:t>
      </w:r>
    </w:p>
    <w:p w:rsidR="001326EF" w:rsidRPr="00183706" w:rsidRDefault="001326EF" w:rsidP="00EB6C89">
      <w:pPr>
        <w:numPr>
          <w:ilvl w:val="0"/>
          <w:numId w:val="47"/>
        </w:numPr>
        <w:spacing w:before="120" w:line="240" w:lineRule="auto"/>
        <w:rPr>
          <w:lang w:val="pl-PL"/>
        </w:rPr>
      </w:pPr>
      <w:r w:rsidRPr="00183706">
        <w:rPr>
          <w:lang w:val="pl-PL"/>
        </w:rPr>
        <w:lastRenderedPageBreak/>
        <w:t xml:space="preserve">dla pozostałych składników kapitału zaangażowanego - wartość ustalona w sposób, </w:t>
      </w:r>
      <w:r w:rsidR="0042417B" w:rsidRPr="00183706">
        <w:rPr>
          <w:lang w:val="pl-PL"/>
        </w:rPr>
        <w:br/>
      </w:r>
      <w:r w:rsidRPr="00183706">
        <w:rPr>
          <w:lang w:val="pl-PL"/>
        </w:rPr>
        <w:t>o którym mowa w § 12 Rozporządzenia, i na zasadach wyceny określonych w rozdziale 4 ustawy z dnia 29 września 1994 r. o rachunkowości.</w:t>
      </w:r>
    </w:p>
    <w:p w:rsidR="001326EF" w:rsidRPr="00183706" w:rsidRDefault="001326EF" w:rsidP="00EB6C89">
      <w:pPr>
        <w:spacing w:before="120" w:line="240" w:lineRule="auto"/>
        <w:rPr>
          <w:lang w:val="pl-PL"/>
        </w:rPr>
      </w:pPr>
      <w:r w:rsidRPr="00183706">
        <w:rPr>
          <w:lang w:val="pl-PL"/>
        </w:rPr>
        <w:t>Wartość bieżącą dla środków trwałych oraz wartości niematerialnych i prawnych stanowi koszt odtworzenia składnika aktywów lub grupy składników o podobnej funkcji i przeznaczeniu.</w:t>
      </w:r>
    </w:p>
    <w:p w:rsidR="001326EF" w:rsidRPr="00183706" w:rsidRDefault="001326EF" w:rsidP="00EB6C89">
      <w:pPr>
        <w:spacing w:before="120" w:line="240" w:lineRule="auto"/>
        <w:rPr>
          <w:lang w:val="pl-PL"/>
        </w:rPr>
      </w:pPr>
      <w:r w:rsidRPr="00183706">
        <w:rPr>
          <w:lang w:val="pl-PL"/>
        </w:rPr>
        <w:t xml:space="preserve">Wartość bieżącą netto pozostałych składników kapitału zaangażowanego stanowi wartość bieżąca krótkoterminowych zobowiązań, rezerw i rozliczeń międzyokresowych oraz wartość bieżąca aktywów innych niż środki trwałe i wartości niematerialne i prawne skorygowana </w:t>
      </w:r>
      <w:r w:rsidR="0042417B" w:rsidRPr="00183706">
        <w:rPr>
          <w:lang w:val="pl-PL"/>
        </w:rPr>
        <w:br/>
      </w:r>
      <w:r w:rsidRPr="00183706">
        <w:rPr>
          <w:lang w:val="pl-PL"/>
        </w:rPr>
        <w:t xml:space="preserve">o odpisy amortyzacyjne i odpisy aktualizujące, a w przypadku zobowiązań finansowych </w:t>
      </w:r>
      <w:r w:rsidR="0042417B" w:rsidRPr="00183706">
        <w:rPr>
          <w:lang w:val="pl-PL"/>
        </w:rPr>
        <w:br/>
      </w:r>
      <w:r w:rsidRPr="00183706">
        <w:rPr>
          <w:lang w:val="pl-PL"/>
        </w:rPr>
        <w:t xml:space="preserve">i aktywów finansowych także po kompensacie, o której mowa w art. 46 ust. 2a ustawy </w:t>
      </w:r>
      <w:r w:rsidR="0042417B" w:rsidRPr="00183706">
        <w:rPr>
          <w:lang w:val="pl-PL"/>
        </w:rPr>
        <w:br/>
      </w:r>
      <w:r w:rsidRPr="00183706">
        <w:rPr>
          <w:lang w:val="pl-PL"/>
        </w:rPr>
        <w:t>z dnia 29 września 1994 r. o rachunkowości.</w:t>
      </w:r>
    </w:p>
    <w:p w:rsidR="001326EF" w:rsidRPr="00183706" w:rsidRDefault="001326EF" w:rsidP="00EB6C89">
      <w:pPr>
        <w:spacing w:before="120" w:line="240" w:lineRule="auto"/>
        <w:rPr>
          <w:lang w:val="pl-PL"/>
        </w:rPr>
      </w:pPr>
      <w:r w:rsidRPr="00183706">
        <w:rPr>
          <w:lang w:val="pl-PL"/>
        </w:rPr>
        <w:t xml:space="preserve">Aktualizacji wartości początkowej środków trwałych i wartości niematerialnych i prawnych </w:t>
      </w:r>
      <w:r w:rsidR="00581B03" w:rsidRPr="00183706">
        <w:rPr>
          <w:lang w:val="pl-PL"/>
        </w:rPr>
        <w:t xml:space="preserve">dokonuje się na dzień przeprowadzania kalkulacji. Aktualizacji wartości początkowej </w:t>
      </w:r>
      <w:r w:rsidRPr="00183706">
        <w:rPr>
          <w:lang w:val="pl-PL"/>
        </w:rPr>
        <w:t>pozostałych składników kapitału zaangażowanego</w:t>
      </w:r>
      <w:r w:rsidR="00DB4726" w:rsidRPr="00183706">
        <w:rPr>
          <w:lang w:val="pl-PL"/>
        </w:rPr>
        <w:t>, nie będących środkami trwałymi ani wartościami niematerialnymi i prawnymi,</w:t>
      </w:r>
      <w:r w:rsidRPr="00183706">
        <w:rPr>
          <w:lang w:val="pl-PL"/>
        </w:rPr>
        <w:t xml:space="preserve"> do ich wartości bieżącej dokonuje się na dzień kończący ostatni zakończony rok obrotowy.</w:t>
      </w:r>
      <w:r w:rsidR="007C57B4" w:rsidRPr="00183706">
        <w:rPr>
          <w:lang w:val="pl-PL"/>
        </w:rPr>
        <w:t xml:space="preserve"> </w:t>
      </w:r>
    </w:p>
    <w:p w:rsidR="001326EF" w:rsidRPr="00183706" w:rsidRDefault="001326EF" w:rsidP="00EB6C89">
      <w:pPr>
        <w:spacing w:before="120" w:line="240" w:lineRule="auto"/>
        <w:rPr>
          <w:lang w:val="pl-PL"/>
        </w:rPr>
      </w:pPr>
      <w:r w:rsidRPr="00183706">
        <w:rPr>
          <w:lang w:val="pl-PL"/>
        </w:rPr>
        <w:t>Koszt odtworzenia, stanowiący wartość bieżącą środków trwałych i wartości niematerialnych i prawnych, ustala się następującymi sposobami:</w:t>
      </w:r>
    </w:p>
    <w:p w:rsidR="001326EF" w:rsidRPr="00183706" w:rsidRDefault="001326EF" w:rsidP="00EB6C89">
      <w:pPr>
        <w:numPr>
          <w:ilvl w:val="1"/>
          <w:numId w:val="12"/>
        </w:numPr>
        <w:tabs>
          <w:tab w:val="clear" w:pos="567"/>
          <w:tab w:val="clear" w:pos="720"/>
        </w:tabs>
        <w:spacing w:before="120" w:line="240" w:lineRule="auto"/>
        <w:rPr>
          <w:lang w:val="pl-PL"/>
        </w:rPr>
      </w:pPr>
      <w:r w:rsidRPr="00183706">
        <w:rPr>
          <w:lang w:val="pl-PL"/>
        </w:rPr>
        <w:t>wycena bezpośrednia – jeżeli składnik jest dostępny na rynku i nie przeszedł znaczących zmian technologicznych - w wysokości aktualnej ceny nabycia lub kosztu wytworzenia istniejącego składnika aktywów;</w:t>
      </w:r>
    </w:p>
    <w:p w:rsidR="001326EF" w:rsidRPr="00183706" w:rsidRDefault="001326EF" w:rsidP="00EB6C89">
      <w:pPr>
        <w:numPr>
          <w:ilvl w:val="1"/>
          <w:numId w:val="12"/>
        </w:numPr>
        <w:tabs>
          <w:tab w:val="clear" w:pos="567"/>
          <w:tab w:val="clear" w:pos="720"/>
        </w:tabs>
        <w:spacing w:before="120" w:line="240" w:lineRule="auto"/>
        <w:rPr>
          <w:lang w:val="pl-PL"/>
        </w:rPr>
      </w:pPr>
      <w:r w:rsidRPr="00183706">
        <w:rPr>
          <w:lang w:val="pl-PL"/>
        </w:rPr>
        <w:t>wycena wg nowoczesnego odpowiednika – jeżeli składnik aktywów nie jest dostępny na rynku lub jego stosowanie nie jest uzasadnione ze względu na postęp technologiczny – na podstawie ceny nabycia lub kosztu wytworzenia nowoczesnego odpowiednika istniejącego składnika aktywów, przy uwzględnieniu ewentualnych korekt wynikających z różnic funkcjonalnych nowoczesnego odpowiednika oraz korekt kosztów operacyjnych, wynikających z wyższej efektywności nowoczesnego odpowiednika;</w:t>
      </w:r>
    </w:p>
    <w:p w:rsidR="001326EF" w:rsidRPr="00183706" w:rsidRDefault="001326EF" w:rsidP="00EB6C89">
      <w:pPr>
        <w:numPr>
          <w:ilvl w:val="1"/>
          <w:numId w:val="12"/>
        </w:numPr>
        <w:tabs>
          <w:tab w:val="clear" w:pos="567"/>
          <w:tab w:val="clear" w:pos="720"/>
        </w:tabs>
        <w:spacing w:before="120" w:line="240" w:lineRule="auto"/>
        <w:rPr>
          <w:lang w:val="pl-PL"/>
        </w:rPr>
      </w:pPr>
      <w:r w:rsidRPr="00183706">
        <w:rPr>
          <w:lang w:val="pl-PL"/>
        </w:rPr>
        <w:t>wycena metodą indeksacji – jeżeli wartość nabycia składników majątku podlegających aktualizacji wyceny nie została odnotowana w rejestrze środków trwałych w sposób pozwalający na kalkulację kosztu odtworzenia odrębnie dla każdego z tych składników za pomocą metod wymienionych w pkt. 1) i 2) - w oparciu o indeksy zmiany cen nabycia lub kosztu wytworzenia zgrupowanych składników.</w:t>
      </w:r>
    </w:p>
    <w:p w:rsidR="001326EF" w:rsidRPr="00183706" w:rsidRDefault="001326EF" w:rsidP="00EB6C89">
      <w:pPr>
        <w:spacing w:before="120" w:line="240" w:lineRule="auto"/>
        <w:rPr>
          <w:lang w:val="pl-PL"/>
        </w:rPr>
      </w:pPr>
      <w:r w:rsidRPr="00183706">
        <w:rPr>
          <w:lang w:val="pl-PL"/>
        </w:rPr>
        <w:t xml:space="preserve">Zgodnie z § 10 Rozporządzenia środki trwałe oraz wartości niematerialne i prawne o niskiej jednostkowej wartości początkowej lub o krótkim okresie użytkowania mogą być wyłączone z aktualizacji wyceny, jeżeli ich łączna wartość początkowa nie przekroczy 15% łącznej wartości początkowej środków trwałych i wartości niematerialnych i prawnych będących składnikami majątkowymi związanymi ze świadczeniem usług telekomunikacyjnych oraz jeżeli nie zniekształca to istotnie obrazu wartości bieżącej średniorocznego kapitału zaangażowanego. </w:t>
      </w:r>
    </w:p>
    <w:p w:rsidR="001326EF" w:rsidRPr="00183706" w:rsidRDefault="001326EF" w:rsidP="00EB6C89">
      <w:pPr>
        <w:spacing w:before="120" w:line="240" w:lineRule="auto"/>
        <w:rPr>
          <w:lang w:val="pl-PL"/>
        </w:rPr>
      </w:pPr>
      <w:r w:rsidRPr="00183706">
        <w:rPr>
          <w:lang w:val="pl-PL"/>
        </w:rPr>
        <w:t xml:space="preserve">Przy ustalaniu okresów amortyzacji od wartości bieżącej środków trwałych oraz wartości niematerialnych i prawnych przedsiębiorca stosuje okresy amortyzacji stosowane w swoich księgach rachunkowych. </w:t>
      </w:r>
    </w:p>
    <w:p w:rsidR="001326EF" w:rsidRPr="00183706" w:rsidRDefault="001326EF" w:rsidP="00EB6C89">
      <w:pPr>
        <w:spacing w:before="120" w:line="240" w:lineRule="auto"/>
        <w:rPr>
          <w:lang w:val="pl-PL"/>
        </w:rPr>
      </w:pPr>
      <w:r w:rsidRPr="00183706">
        <w:rPr>
          <w:lang w:val="pl-PL"/>
        </w:rPr>
        <w:t xml:space="preserve">Korekty do wartości bieżącej stanowią zmianę stanów różnicy pomiędzy wartością bieżącą netto aktywów a ich wartością księgową netto wynikającą z ksiąg rachunkowych, obliczonych na dzień kończący ostatni zakończony rok obrotowy i rok poprzedzający ostatni zakończony rok obrotowy. </w:t>
      </w:r>
    </w:p>
    <w:p w:rsidR="00D50333" w:rsidRPr="00183706" w:rsidRDefault="001326EF" w:rsidP="00EB6C89">
      <w:pPr>
        <w:spacing w:before="120" w:line="240" w:lineRule="auto"/>
        <w:rPr>
          <w:lang w:val="pl-PL"/>
        </w:rPr>
      </w:pPr>
      <w:r w:rsidRPr="00183706">
        <w:rPr>
          <w:lang w:val="pl-PL"/>
        </w:rPr>
        <w:lastRenderedPageBreak/>
        <w:t xml:space="preserve">Przy określaniu wartości kosztów zaangażowania kapitału, przedsiębiorca uwzględnia wskaźnik zwrotu kosztu zaangażowanego kapitału, ustalony w trybie określonym </w:t>
      </w:r>
      <w:r w:rsidR="0042417B" w:rsidRPr="00183706">
        <w:rPr>
          <w:lang w:val="pl-PL"/>
        </w:rPr>
        <w:br/>
      </w:r>
      <w:r w:rsidRPr="00183706">
        <w:rPr>
          <w:lang w:val="pl-PL"/>
        </w:rPr>
        <w:t xml:space="preserve">art. 53 ust. 1 ustawy z dnia 16 lipca 2004 r. Prawo telekomunikacyjne. </w:t>
      </w:r>
    </w:p>
    <w:p w:rsidR="00B92BFC" w:rsidRPr="00992AA5" w:rsidRDefault="00B92BFC" w:rsidP="00EB6C89">
      <w:pPr>
        <w:pStyle w:val="MIKNagwek0"/>
        <w:spacing w:before="120" w:after="0" w:line="240" w:lineRule="auto"/>
        <w:rPr>
          <w:b/>
        </w:rPr>
      </w:pPr>
      <w:r w:rsidRPr="00183706">
        <w:br w:type="page"/>
      </w:r>
      <w:bookmarkStart w:id="5" w:name="_Toc169500087"/>
      <w:bookmarkStart w:id="6" w:name="_Toc314727568"/>
      <w:bookmarkStart w:id="7" w:name="_Toc383521130"/>
      <w:r w:rsidRPr="00992AA5">
        <w:rPr>
          <w:b/>
        </w:rPr>
        <w:lastRenderedPageBreak/>
        <w:t xml:space="preserve">Część I – Przeszacowanie </w:t>
      </w:r>
      <w:r w:rsidR="00F52610" w:rsidRPr="00992AA5">
        <w:rPr>
          <w:b/>
        </w:rPr>
        <w:t>składników kapitału zaangażowanego</w:t>
      </w:r>
      <w:r w:rsidRPr="00992AA5">
        <w:rPr>
          <w:b/>
        </w:rPr>
        <w:t xml:space="preserve"> na dzień 31 grudnia </w:t>
      </w:r>
      <w:r w:rsidR="005B24B6" w:rsidRPr="00992AA5">
        <w:rPr>
          <w:b/>
        </w:rPr>
        <w:t>2013</w:t>
      </w:r>
      <w:r w:rsidRPr="00992AA5">
        <w:rPr>
          <w:b/>
        </w:rPr>
        <w:t> roku</w:t>
      </w:r>
      <w:bookmarkEnd w:id="4"/>
      <w:bookmarkEnd w:id="5"/>
      <w:bookmarkEnd w:id="6"/>
      <w:bookmarkEnd w:id="7"/>
    </w:p>
    <w:p w:rsidR="00B92BFC" w:rsidRPr="00992AA5" w:rsidRDefault="00B92BFC" w:rsidP="00EB6C89">
      <w:pPr>
        <w:pStyle w:val="MIKNagwek1"/>
        <w:spacing w:before="120" w:after="0" w:line="240" w:lineRule="auto"/>
        <w:rPr>
          <w:sz w:val="22"/>
          <w:szCs w:val="22"/>
          <w:lang w:val="pl-PL"/>
        </w:rPr>
      </w:pPr>
      <w:bookmarkStart w:id="8" w:name="_Toc108432774"/>
      <w:bookmarkStart w:id="9" w:name="_Toc169500089"/>
      <w:bookmarkStart w:id="10" w:name="_Toc314727569"/>
      <w:bookmarkStart w:id="11" w:name="_Toc306807591"/>
      <w:bookmarkStart w:id="12" w:name="_Toc383521131"/>
      <w:r w:rsidRPr="00992AA5">
        <w:rPr>
          <w:sz w:val="22"/>
          <w:szCs w:val="22"/>
          <w:lang w:val="pl-PL"/>
        </w:rPr>
        <w:t>Słownik terminów</w:t>
      </w:r>
      <w:bookmarkEnd w:id="8"/>
      <w:bookmarkEnd w:id="9"/>
      <w:bookmarkEnd w:id="10"/>
      <w:r w:rsidRPr="00992AA5">
        <w:rPr>
          <w:sz w:val="22"/>
          <w:szCs w:val="22"/>
          <w:lang w:val="pl-PL"/>
        </w:rPr>
        <w:t xml:space="preserve"> </w:t>
      </w:r>
      <w:r w:rsidR="00C8623A" w:rsidRPr="00992AA5">
        <w:rPr>
          <w:sz w:val="22"/>
          <w:szCs w:val="22"/>
          <w:lang w:val="pl-PL"/>
        </w:rPr>
        <w:t>dotyczących kalkulacji kosztów</w:t>
      </w:r>
      <w:bookmarkEnd w:id="11"/>
      <w:bookmarkEnd w:id="12"/>
    </w:p>
    <w:p w:rsidR="00B92BFC" w:rsidRPr="00992AA5" w:rsidRDefault="00B92BFC" w:rsidP="00EB6C89">
      <w:pPr>
        <w:pStyle w:val="Nagwek2"/>
        <w:spacing w:before="120" w:after="0" w:line="240" w:lineRule="auto"/>
        <w:rPr>
          <w:sz w:val="22"/>
          <w:szCs w:val="22"/>
        </w:rPr>
      </w:pPr>
      <w:bookmarkStart w:id="13" w:name="_Toc169500090"/>
      <w:bookmarkStart w:id="14" w:name="_Toc314727570"/>
      <w:bookmarkStart w:id="15" w:name="_Toc306807592"/>
      <w:bookmarkStart w:id="16" w:name="_Toc383521132"/>
      <w:r w:rsidRPr="00992AA5">
        <w:rPr>
          <w:sz w:val="22"/>
          <w:szCs w:val="22"/>
        </w:rPr>
        <w:t>Kluczowe pojęcia</w:t>
      </w:r>
      <w:bookmarkEnd w:id="13"/>
      <w:bookmarkEnd w:id="14"/>
      <w:bookmarkEnd w:id="15"/>
      <w:bookmarkEnd w:id="16"/>
    </w:p>
    <w:p w:rsidR="00042BF8" w:rsidRPr="00992AA5" w:rsidRDefault="00042BF8" w:rsidP="00EB6C89">
      <w:pPr>
        <w:spacing w:before="120" w:line="240" w:lineRule="auto"/>
        <w:rPr>
          <w:lang w:val="pl-PL"/>
        </w:rPr>
      </w:pPr>
      <w:bookmarkStart w:id="17" w:name="_Toc108432776"/>
      <w:r w:rsidRPr="00992AA5">
        <w:rPr>
          <w:lang w:val="pl-PL"/>
        </w:rPr>
        <w:t>Pojęcia występujące w dokumencie, których definicje nie są zamieszczone w niniejszym Słowniku, definiuje się zgodnie z przepisami ustawy Prawo telekomunikacyjne oraz odpowiednimi aktami wykonawczymi do tej ustawy.</w:t>
      </w:r>
    </w:p>
    <w:p w:rsidR="007A0A9B" w:rsidRPr="00992AA5" w:rsidRDefault="007A0A9B" w:rsidP="00EB6C89">
      <w:pPr>
        <w:spacing w:before="120" w:line="240" w:lineRule="auto"/>
        <w:rPr>
          <w:b/>
          <w:lang w:val="pl-PL"/>
        </w:rPr>
      </w:pPr>
      <w:r w:rsidRPr="00992AA5">
        <w:rPr>
          <w:b/>
          <w:lang w:val="pl-PL"/>
        </w:rPr>
        <w:t xml:space="preserve">ABC – Rachunek kosztów działań </w:t>
      </w:r>
    </w:p>
    <w:p w:rsidR="007A0A9B" w:rsidRPr="00992AA5" w:rsidRDefault="007A0A9B" w:rsidP="00EB6C89">
      <w:pPr>
        <w:spacing w:before="120" w:line="240" w:lineRule="auto"/>
        <w:rPr>
          <w:lang w:val="pl-PL"/>
        </w:rPr>
      </w:pPr>
      <w:proofErr w:type="spellStart"/>
      <w:r w:rsidRPr="00992AA5">
        <w:rPr>
          <w:lang w:val="pl-PL"/>
        </w:rPr>
        <w:t>Activity</w:t>
      </w:r>
      <w:proofErr w:type="spellEnd"/>
      <w:r w:rsidRPr="00992AA5">
        <w:rPr>
          <w:lang w:val="pl-PL"/>
        </w:rPr>
        <w:t xml:space="preserve"> </w:t>
      </w:r>
      <w:proofErr w:type="spellStart"/>
      <w:r w:rsidRPr="00992AA5">
        <w:rPr>
          <w:lang w:val="pl-PL"/>
        </w:rPr>
        <w:t>Based</w:t>
      </w:r>
      <w:proofErr w:type="spellEnd"/>
      <w:r w:rsidRPr="00992AA5">
        <w:rPr>
          <w:lang w:val="pl-PL"/>
        </w:rPr>
        <w:t xml:space="preserve"> </w:t>
      </w:r>
      <w:proofErr w:type="spellStart"/>
      <w:r w:rsidRPr="00992AA5">
        <w:rPr>
          <w:lang w:val="pl-PL"/>
        </w:rPr>
        <w:t>Costing</w:t>
      </w:r>
      <w:proofErr w:type="spellEnd"/>
      <w:r w:rsidRPr="00992AA5">
        <w:rPr>
          <w:lang w:val="pl-PL"/>
        </w:rPr>
        <w:t xml:space="preserve"> – koncepcja rachunku kosztów działań, która polega na dostarczaniu </w:t>
      </w:r>
      <w:proofErr w:type="spellStart"/>
      <w:r w:rsidRPr="00992AA5">
        <w:rPr>
          <w:lang w:val="pl-PL"/>
        </w:rPr>
        <w:t>informacji</w:t>
      </w:r>
      <w:proofErr w:type="spellEnd"/>
      <w:r w:rsidRPr="00992AA5">
        <w:rPr>
          <w:lang w:val="pl-PL"/>
        </w:rPr>
        <w:t xml:space="preserve"> kosztowych i operacyjnych będących odzwierciedleniem układu procesowego. Rachunek kosztów działań dostarcza danych o rzeczywistych kosztach usług, procesów, działań, kanałów dystrybucji, segmentów rynku, kontraktów i przedsięwzięć. </w:t>
      </w:r>
    </w:p>
    <w:p w:rsidR="007A0A9B" w:rsidRPr="00992AA5" w:rsidRDefault="007A0A9B" w:rsidP="00EB6C89">
      <w:pPr>
        <w:spacing w:before="120" w:line="240" w:lineRule="auto"/>
        <w:rPr>
          <w:b/>
          <w:lang w:val="pl-PL"/>
        </w:rPr>
      </w:pPr>
      <w:proofErr w:type="spellStart"/>
      <w:r w:rsidRPr="00992AA5">
        <w:rPr>
          <w:b/>
          <w:lang w:val="pl-PL"/>
        </w:rPr>
        <w:t>Accounting</w:t>
      </w:r>
      <w:proofErr w:type="spellEnd"/>
      <w:r w:rsidRPr="00992AA5">
        <w:rPr>
          <w:b/>
          <w:lang w:val="pl-PL"/>
        </w:rPr>
        <w:t xml:space="preserve"> systemów </w:t>
      </w:r>
      <w:proofErr w:type="spellStart"/>
      <w:r w:rsidRPr="00992AA5">
        <w:rPr>
          <w:b/>
          <w:lang w:val="pl-PL"/>
        </w:rPr>
        <w:t>autentykacyjnych</w:t>
      </w:r>
      <w:proofErr w:type="spellEnd"/>
    </w:p>
    <w:p w:rsidR="007A0A9B" w:rsidRPr="00992AA5" w:rsidRDefault="007A0A9B" w:rsidP="00EB6C89">
      <w:pPr>
        <w:spacing w:before="120" w:line="240" w:lineRule="auto"/>
        <w:rPr>
          <w:lang w:val="pl-PL"/>
        </w:rPr>
      </w:pPr>
      <w:r w:rsidRPr="00992AA5">
        <w:rPr>
          <w:lang w:val="pl-PL"/>
        </w:rPr>
        <w:t xml:space="preserve">Raport na temat wykorzystania zasobów sieciowych przez użytkowników, których dostęp </w:t>
      </w:r>
      <w:r w:rsidR="0042417B" w:rsidRPr="00992AA5">
        <w:rPr>
          <w:lang w:val="pl-PL"/>
        </w:rPr>
        <w:br/>
      </w:r>
      <w:r w:rsidRPr="00992AA5">
        <w:rPr>
          <w:lang w:val="pl-PL"/>
        </w:rPr>
        <w:t xml:space="preserve">do sieci uzależniony jest od procesu autoryzacji. Proces </w:t>
      </w:r>
      <w:proofErr w:type="spellStart"/>
      <w:r w:rsidRPr="00992AA5">
        <w:rPr>
          <w:lang w:val="pl-PL"/>
        </w:rPr>
        <w:t>accountingu</w:t>
      </w:r>
      <w:proofErr w:type="spellEnd"/>
      <w:r w:rsidRPr="00992AA5">
        <w:rPr>
          <w:lang w:val="pl-PL"/>
        </w:rPr>
        <w:t xml:space="preserve"> współpracuje z systemem autoryzacji, rejestruje dane na temat czasu rozpoczęcia, zakończenia, ilości przesłanych danych każdej sesji połączeniowej wykonanej przez </w:t>
      </w:r>
      <w:proofErr w:type="spellStart"/>
      <w:r w:rsidRPr="00992AA5">
        <w:rPr>
          <w:lang w:val="pl-PL"/>
        </w:rPr>
        <w:t>zautentykowanych</w:t>
      </w:r>
      <w:proofErr w:type="spellEnd"/>
      <w:r w:rsidRPr="00992AA5">
        <w:rPr>
          <w:lang w:val="pl-PL"/>
        </w:rPr>
        <w:t xml:space="preserve"> wcześniej użytkowników.</w:t>
      </w:r>
    </w:p>
    <w:p w:rsidR="007A0A9B" w:rsidRPr="00992AA5" w:rsidRDefault="007A0A9B" w:rsidP="00EB6C89">
      <w:pPr>
        <w:spacing w:before="120" w:line="240" w:lineRule="auto"/>
        <w:rPr>
          <w:lang w:val="pl-PL"/>
        </w:rPr>
      </w:pPr>
      <w:r w:rsidRPr="00992AA5">
        <w:rPr>
          <w:b/>
          <w:lang w:val="pl-PL"/>
        </w:rPr>
        <w:t>Alokacja</w:t>
      </w:r>
      <w:r w:rsidRPr="00992AA5">
        <w:rPr>
          <w:b/>
          <w:lang w:val="pl-PL"/>
        </w:rPr>
        <w:tab/>
      </w:r>
      <w:r w:rsidRPr="00992AA5">
        <w:rPr>
          <w:b/>
          <w:lang w:val="pl-PL"/>
        </w:rPr>
        <w:br/>
      </w:r>
      <w:r w:rsidRPr="00992AA5">
        <w:rPr>
          <w:lang w:val="pl-PL"/>
        </w:rPr>
        <w:t>Przypisanie składników średniorocznego kapitału zaangażowanego, przychodów i kosztów do modelowych elementów sieci, usługi lub procesów.</w:t>
      </w:r>
    </w:p>
    <w:p w:rsidR="007A0A9B" w:rsidRPr="00992AA5" w:rsidRDefault="007A0A9B" w:rsidP="00EB6C89">
      <w:pPr>
        <w:spacing w:before="120" w:line="240" w:lineRule="auto"/>
        <w:rPr>
          <w:lang w:val="pl-PL"/>
        </w:rPr>
      </w:pPr>
      <w:r w:rsidRPr="00992AA5">
        <w:rPr>
          <w:b/>
          <w:lang w:val="pl-PL"/>
        </w:rPr>
        <w:t>Ankieta</w:t>
      </w:r>
      <w:r w:rsidRPr="00992AA5">
        <w:rPr>
          <w:b/>
          <w:lang w:val="pl-PL"/>
        </w:rPr>
        <w:tab/>
      </w:r>
      <w:r w:rsidRPr="00992AA5">
        <w:rPr>
          <w:b/>
          <w:lang w:val="pl-PL"/>
        </w:rPr>
        <w:br/>
      </w:r>
      <w:r w:rsidRPr="00992AA5">
        <w:rPr>
          <w:lang w:val="pl-PL"/>
        </w:rPr>
        <w:t xml:space="preserve">Tabelaryczne zestawienie określonych </w:t>
      </w:r>
      <w:proofErr w:type="spellStart"/>
      <w:r w:rsidRPr="00992AA5">
        <w:rPr>
          <w:lang w:val="pl-PL"/>
        </w:rPr>
        <w:t>informacji</w:t>
      </w:r>
      <w:proofErr w:type="spellEnd"/>
      <w:r w:rsidRPr="00992AA5">
        <w:rPr>
          <w:lang w:val="pl-PL"/>
        </w:rPr>
        <w:t xml:space="preserve"> gromadzące kompletne dane z systemów informacyjnych i operacyjnych TP, jak również danych </w:t>
      </w:r>
      <w:proofErr w:type="spellStart"/>
      <w:r w:rsidRPr="00992AA5">
        <w:rPr>
          <w:lang w:val="pl-PL"/>
        </w:rPr>
        <w:t>pozasystemowych</w:t>
      </w:r>
      <w:proofErr w:type="spellEnd"/>
      <w:r w:rsidRPr="00992AA5">
        <w:rPr>
          <w:lang w:val="pl-PL"/>
        </w:rPr>
        <w:t xml:space="preserve"> wykorzystywanych do kalkulacji.</w:t>
      </w:r>
    </w:p>
    <w:p w:rsidR="007A0A9B" w:rsidRPr="00992AA5" w:rsidRDefault="007A0A9B" w:rsidP="00EB6C89">
      <w:pPr>
        <w:spacing w:before="120" w:line="240" w:lineRule="auto"/>
        <w:rPr>
          <w:lang w:val="pl-PL"/>
        </w:rPr>
      </w:pPr>
      <w:r w:rsidRPr="00992AA5">
        <w:rPr>
          <w:b/>
          <w:lang w:val="pl-PL"/>
        </w:rPr>
        <w:t>Bezpośrednie koszty stałe</w:t>
      </w:r>
      <w:r w:rsidRPr="00992AA5">
        <w:rPr>
          <w:b/>
          <w:lang w:val="pl-PL"/>
        </w:rPr>
        <w:tab/>
      </w:r>
      <w:r w:rsidRPr="00992AA5">
        <w:rPr>
          <w:b/>
          <w:lang w:val="pl-PL"/>
        </w:rPr>
        <w:br/>
      </w:r>
      <w:r w:rsidRPr="00992AA5">
        <w:rPr>
          <w:lang w:val="pl-PL"/>
        </w:rPr>
        <w:t>Koszty, które nie zmieniają się wraz ze zmianą wolumenu świadczenia usługi i które mogą być bezpośrednio przypisane do tej usługi lub elementu sieci wykorzystywanego przez daną usługę.</w:t>
      </w:r>
    </w:p>
    <w:p w:rsidR="007A0A9B" w:rsidRPr="00992AA5" w:rsidRDefault="007A0A9B" w:rsidP="00EB6C89">
      <w:pPr>
        <w:spacing w:before="120" w:line="240" w:lineRule="auto"/>
        <w:rPr>
          <w:b/>
          <w:lang w:val="pl-PL"/>
        </w:rPr>
      </w:pPr>
      <w:r w:rsidRPr="00992AA5">
        <w:rPr>
          <w:b/>
          <w:lang w:val="pl-PL"/>
        </w:rPr>
        <w:t>Bezpośrednie koszty zmienne</w:t>
      </w:r>
    </w:p>
    <w:p w:rsidR="007A0A9B" w:rsidRPr="00992AA5" w:rsidRDefault="007A0A9B" w:rsidP="00EB6C89">
      <w:pPr>
        <w:spacing w:before="120" w:line="240" w:lineRule="auto"/>
        <w:rPr>
          <w:lang w:val="pl-PL"/>
        </w:rPr>
      </w:pPr>
      <w:r w:rsidRPr="00992AA5">
        <w:rPr>
          <w:lang w:val="pl-PL"/>
        </w:rPr>
        <w:t>Koszty, które ulegają zmianie wraz z wolumenem świadczenia usługi lub użyciem elementu sieci wykorzystywanego przez daną usługę.</w:t>
      </w:r>
    </w:p>
    <w:p w:rsidR="007A0A9B" w:rsidRPr="00992AA5" w:rsidRDefault="007A0A9B" w:rsidP="00EB6C89">
      <w:pPr>
        <w:spacing w:before="120" w:line="240" w:lineRule="auto"/>
        <w:rPr>
          <w:lang w:val="pl-PL"/>
        </w:rPr>
      </w:pPr>
      <w:r w:rsidRPr="00992AA5">
        <w:rPr>
          <w:b/>
          <w:lang w:val="pl-PL"/>
        </w:rPr>
        <w:t>CVR</w:t>
      </w:r>
    </w:p>
    <w:p w:rsidR="007A0A9B" w:rsidRPr="00992AA5" w:rsidRDefault="007A0A9B" w:rsidP="00EB6C89">
      <w:pPr>
        <w:spacing w:before="120" w:line="240" w:lineRule="auto"/>
        <w:rPr>
          <w:lang w:val="pl-PL"/>
        </w:rPr>
      </w:pPr>
      <w:r w:rsidRPr="00992AA5">
        <w:rPr>
          <w:lang w:val="pl-PL"/>
        </w:rPr>
        <w:t>Zależność koszt-wolumen, określająca zmienność danej kategorii kosztu pod wpływem zmian wolumenu nośnika.</w:t>
      </w:r>
    </w:p>
    <w:p w:rsidR="007A0A9B" w:rsidRPr="00992AA5" w:rsidRDefault="007A0A9B" w:rsidP="00EB6C89">
      <w:pPr>
        <w:spacing w:before="120" w:line="240" w:lineRule="auto"/>
        <w:rPr>
          <w:b/>
          <w:lang w:val="pl-PL"/>
        </w:rPr>
      </w:pPr>
      <w:r w:rsidRPr="00992AA5">
        <w:rPr>
          <w:b/>
          <w:lang w:val="pl-PL"/>
        </w:rPr>
        <w:t>Część detaliczna OPL</w:t>
      </w:r>
    </w:p>
    <w:p w:rsidR="007A0A9B" w:rsidRPr="00992AA5" w:rsidRDefault="007A0A9B" w:rsidP="00EB6C89">
      <w:pPr>
        <w:spacing w:before="120" w:line="240" w:lineRule="auto"/>
        <w:rPr>
          <w:lang w:val="pl-PL"/>
        </w:rPr>
      </w:pPr>
      <w:r w:rsidRPr="00992AA5">
        <w:rPr>
          <w:lang w:val="pl-PL"/>
        </w:rPr>
        <w:t>Działalność OPL polegająca na świadczeniu usług w stacjonarnej publicznej sieci użytkownikom końcowym OPL.</w:t>
      </w:r>
    </w:p>
    <w:p w:rsidR="007A0A9B" w:rsidRPr="00992AA5" w:rsidRDefault="007A0A9B" w:rsidP="00EB6C89">
      <w:pPr>
        <w:spacing w:before="120" w:line="240" w:lineRule="auto"/>
        <w:rPr>
          <w:b/>
          <w:lang w:val="pl-PL"/>
        </w:rPr>
      </w:pPr>
      <w:r w:rsidRPr="00992AA5">
        <w:rPr>
          <w:b/>
          <w:lang w:val="pl-PL"/>
        </w:rPr>
        <w:t>Część hurtowa OPL</w:t>
      </w:r>
    </w:p>
    <w:p w:rsidR="007A0A9B" w:rsidRPr="00992AA5" w:rsidRDefault="007A0A9B" w:rsidP="00EB6C89">
      <w:pPr>
        <w:spacing w:before="120" w:line="240" w:lineRule="auto"/>
        <w:rPr>
          <w:lang w:val="pl-PL"/>
        </w:rPr>
      </w:pPr>
      <w:r w:rsidRPr="00992AA5">
        <w:rPr>
          <w:lang w:val="pl-PL"/>
        </w:rPr>
        <w:t>Działalność OPL polegająca na świadczeniu usług hurtowych w stacjonarnej publicznej sieci telekomunikacyjnej na rzecz części detalicznej OPL, spółkom z Grupy Orange Polska oraz Operatorom Alternatywnym.</w:t>
      </w:r>
    </w:p>
    <w:p w:rsidR="007A0A9B" w:rsidRPr="00992AA5" w:rsidRDefault="007A0A9B" w:rsidP="00EB6C89">
      <w:pPr>
        <w:spacing w:before="120" w:line="240" w:lineRule="auto"/>
        <w:rPr>
          <w:b/>
          <w:lang w:val="pl-PL"/>
        </w:rPr>
      </w:pPr>
      <w:r w:rsidRPr="00992AA5">
        <w:rPr>
          <w:lang w:val="pl-PL"/>
        </w:rPr>
        <w:t xml:space="preserve"> </w:t>
      </w:r>
    </w:p>
    <w:p w:rsidR="007A0A9B" w:rsidRPr="00992AA5" w:rsidRDefault="007A0A9B" w:rsidP="00EB6C89">
      <w:pPr>
        <w:spacing w:before="120" w:line="240" w:lineRule="auto"/>
        <w:rPr>
          <w:lang w:val="pl-PL"/>
        </w:rPr>
      </w:pPr>
      <w:r w:rsidRPr="00992AA5">
        <w:rPr>
          <w:b/>
          <w:lang w:val="pl-PL"/>
        </w:rPr>
        <w:t>Dzierżawa łączy</w:t>
      </w:r>
      <w:r w:rsidRPr="00992AA5">
        <w:rPr>
          <w:b/>
          <w:lang w:val="pl-PL"/>
        </w:rPr>
        <w:tab/>
      </w:r>
      <w:r w:rsidRPr="00992AA5">
        <w:rPr>
          <w:b/>
          <w:lang w:val="pl-PL"/>
        </w:rPr>
        <w:br/>
      </w:r>
      <w:r w:rsidRPr="00992AA5">
        <w:rPr>
          <w:lang w:val="pl-PL"/>
        </w:rPr>
        <w:t xml:space="preserve">Usługa polegająca na udostępnieniu użytkownikowi końcowemu stałego dedykowanego </w:t>
      </w:r>
      <w:r w:rsidRPr="00992AA5">
        <w:rPr>
          <w:lang w:val="pl-PL"/>
        </w:rPr>
        <w:lastRenderedPageBreak/>
        <w:t>łącza telekomunikacyjnego o określonych parametrach transmisji sygnału, pomiędzy dwoma punktami sieci telekomunikacyjnej</w:t>
      </w:r>
    </w:p>
    <w:p w:rsidR="007A0A9B" w:rsidRPr="00992AA5" w:rsidRDefault="007A0A9B" w:rsidP="00EB6C89">
      <w:pPr>
        <w:spacing w:before="120" w:line="240" w:lineRule="auto"/>
        <w:rPr>
          <w:lang w:val="pl-PL"/>
        </w:rPr>
      </w:pPr>
      <w:r w:rsidRPr="00992AA5">
        <w:rPr>
          <w:b/>
          <w:lang w:val="pl-PL"/>
        </w:rPr>
        <w:t>Efektywnie działający przedsiębiorca</w:t>
      </w:r>
      <w:r w:rsidRPr="00992AA5">
        <w:rPr>
          <w:lang w:val="pl-PL"/>
        </w:rPr>
        <w:t xml:space="preserve"> </w:t>
      </w:r>
      <w:r w:rsidRPr="00992AA5">
        <w:rPr>
          <w:lang w:val="pl-PL"/>
        </w:rPr>
        <w:t xml:space="preserve"> </w:t>
      </w:r>
    </w:p>
    <w:p w:rsidR="007A0A9B" w:rsidRPr="00992AA5" w:rsidRDefault="007A0A9B" w:rsidP="00EB6C89">
      <w:pPr>
        <w:spacing w:before="120" w:line="240" w:lineRule="auto"/>
        <w:rPr>
          <w:lang w:val="pl-PL"/>
        </w:rPr>
      </w:pPr>
      <w:r w:rsidRPr="00992AA5">
        <w:rPr>
          <w:lang w:val="pl-PL"/>
        </w:rPr>
        <w:t>Hipotetyczny przedsiębiorca telekomunikacyjny, jaki funkcjonowałby na w pełni konkurencyjnym rynku, o porównywalnym zakresie działalności oraz popycie na jego usługi co rzeczywiście istniejący przedsiębiorca telekomunikacyjny obowiązany do prowadzenia kalkulacji kosztów.</w:t>
      </w:r>
    </w:p>
    <w:p w:rsidR="007A0A9B" w:rsidRPr="00992AA5" w:rsidRDefault="007A0A9B" w:rsidP="00EB6C89">
      <w:pPr>
        <w:spacing w:before="120" w:line="240" w:lineRule="auto"/>
        <w:rPr>
          <w:lang w:val="pl-PL"/>
        </w:rPr>
      </w:pPr>
      <w:r w:rsidRPr="00992AA5">
        <w:rPr>
          <w:b/>
          <w:lang w:val="pl-PL"/>
        </w:rPr>
        <w:t>Element sieci</w:t>
      </w:r>
      <w:r w:rsidRPr="00992AA5">
        <w:rPr>
          <w:b/>
          <w:lang w:val="pl-PL"/>
        </w:rPr>
        <w:tab/>
      </w:r>
      <w:r w:rsidRPr="00992AA5">
        <w:rPr>
          <w:b/>
          <w:lang w:val="pl-PL"/>
        </w:rPr>
        <w:br/>
      </w:r>
      <w:r w:rsidRPr="00992AA5">
        <w:rPr>
          <w:lang w:val="pl-PL"/>
        </w:rPr>
        <w:t>Urządzenie lub zespół urządzeń rzeczywistej sieci telekomunikacyjnej realizujące określone funkcje.</w:t>
      </w:r>
    </w:p>
    <w:p w:rsidR="007A0A9B" w:rsidRPr="00992AA5" w:rsidRDefault="007A0A9B" w:rsidP="00EB6C89">
      <w:pPr>
        <w:spacing w:before="120" w:line="240" w:lineRule="auto"/>
        <w:rPr>
          <w:b/>
          <w:lang w:val="pl-PL"/>
        </w:rPr>
      </w:pPr>
      <w:r w:rsidRPr="00992AA5">
        <w:rPr>
          <w:b/>
          <w:lang w:val="pl-PL"/>
        </w:rPr>
        <w:t>Fizyczny Punkt Styku Sieci (FPSS)</w:t>
      </w:r>
    </w:p>
    <w:p w:rsidR="007A0A9B" w:rsidRPr="00992AA5" w:rsidRDefault="007A0A9B" w:rsidP="00EB6C89">
      <w:pPr>
        <w:spacing w:before="120" w:line="240" w:lineRule="auto"/>
        <w:rPr>
          <w:lang w:val="pl-PL"/>
        </w:rPr>
      </w:pPr>
      <w:r w:rsidRPr="00992AA5">
        <w:rPr>
          <w:lang w:val="pl-PL"/>
        </w:rPr>
        <w:t>Miejsce (niebędące zakończeniem sieci), w którym do sieci OPL podłączone są urządzenia techniczne Przedsiębiorcy telekomunikacyjnego służące do utworzenia drogi transmisyjnej między siecią stacjonarną OPL, a siecią Przedsiębiorcy telekomunikacyjnego. W miejscu tym kończy się odpowiedzialność jednego, a zaczyna drugiego Przedsiębiorcy telekomunikacyjnego.</w:t>
      </w:r>
    </w:p>
    <w:p w:rsidR="007A0A9B" w:rsidRPr="00992AA5" w:rsidRDefault="007A0A9B" w:rsidP="00EB6C89">
      <w:pPr>
        <w:spacing w:before="120" w:line="240" w:lineRule="auto"/>
        <w:rPr>
          <w:lang w:val="pl-PL"/>
        </w:rPr>
      </w:pPr>
      <w:r w:rsidRPr="00992AA5">
        <w:rPr>
          <w:b/>
          <w:lang w:val="pl-PL"/>
        </w:rPr>
        <w:t>Kategorie kosztów zasobów</w:t>
      </w:r>
      <w:r w:rsidRPr="00992AA5">
        <w:rPr>
          <w:b/>
          <w:lang w:val="pl-PL"/>
        </w:rPr>
        <w:tab/>
      </w:r>
      <w:r w:rsidRPr="00992AA5">
        <w:rPr>
          <w:b/>
          <w:lang w:val="pl-PL"/>
        </w:rPr>
        <w:br/>
      </w:r>
      <w:r w:rsidRPr="00992AA5">
        <w:rPr>
          <w:lang w:val="pl-PL"/>
        </w:rPr>
        <w:t xml:space="preserve">Tworzą je odpowiednio pogrupowane, jednolite pod względem stosowanego nośnika </w:t>
      </w:r>
      <w:r w:rsidR="0042417B" w:rsidRPr="00992AA5">
        <w:rPr>
          <w:lang w:val="pl-PL"/>
        </w:rPr>
        <w:br/>
      </w:r>
      <w:r w:rsidRPr="00992AA5">
        <w:rPr>
          <w:lang w:val="pl-PL"/>
        </w:rPr>
        <w:t>lub metody alokacji, kategorie kosztów.</w:t>
      </w:r>
    </w:p>
    <w:p w:rsidR="007A0A9B" w:rsidRPr="00992AA5" w:rsidRDefault="007A0A9B" w:rsidP="00EB6C89">
      <w:pPr>
        <w:spacing w:before="120" w:line="240" w:lineRule="auto"/>
        <w:rPr>
          <w:b/>
          <w:lang w:val="pl-PL"/>
        </w:rPr>
      </w:pPr>
      <w:r w:rsidRPr="00992AA5">
        <w:rPr>
          <w:b/>
          <w:lang w:val="pl-PL"/>
        </w:rPr>
        <w:t>Komponent</w:t>
      </w:r>
    </w:p>
    <w:p w:rsidR="007A0A9B" w:rsidRPr="00992AA5" w:rsidRDefault="007A0A9B" w:rsidP="00EB6C89">
      <w:pPr>
        <w:spacing w:before="120" w:line="240" w:lineRule="auto"/>
        <w:rPr>
          <w:lang w:val="pl-PL"/>
        </w:rPr>
      </w:pPr>
      <w:r w:rsidRPr="00992AA5">
        <w:rPr>
          <w:lang w:val="pl-PL"/>
        </w:rPr>
        <w:t>Obiekt o przypisanym koszcie. Zgodnie ze stosowaną metodologią ABC, istnieją następujące zbiory komponentów: zasoby, procesy, usługi.</w:t>
      </w:r>
    </w:p>
    <w:p w:rsidR="007A0A9B" w:rsidRPr="00992AA5" w:rsidRDefault="007A0A9B" w:rsidP="00EB6C89">
      <w:pPr>
        <w:spacing w:before="120" w:line="240" w:lineRule="auto"/>
        <w:rPr>
          <w:b/>
          <w:lang w:val="pl-PL"/>
        </w:rPr>
      </w:pPr>
      <w:r w:rsidRPr="00992AA5">
        <w:rPr>
          <w:b/>
          <w:lang w:val="pl-PL"/>
        </w:rPr>
        <w:t>Koszt ogólny</w:t>
      </w:r>
    </w:p>
    <w:p w:rsidR="007A0A9B" w:rsidRPr="00992AA5" w:rsidRDefault="007A0A9B" w:rsidP="00EB6C89">
      <w:pPr>
        <w:spacing w:before="120" w:line="240" w:lineRule="auto"/>
        <w:rPr>
          <w:lang w:val="pl-PL"/>
        </w:rPr>
      </w:pPr>
      <w:r w:rsidRPr="00992AA5">
        <w:rPr>
          <w:lang w:val="pl-PL"/>
        </w:rPr>
        <w:t>Koszty związane ze wszystkimi usługami świadczonymi przez operatora.</w:t>
      </w:r>
    </w:p>
    <w:p w:rsidR="007A0A9B" w:rsidRPr="00992AA5" w:rsidRDefault="007A0A9B" w:rsidP="00EB6C89">
      <w:pPr>
        <w:spacing w:before="120" w:line="240" w:lineRule="auto"/>
        <w:rPr>
          <w:lang w:val="pl-PL"/>
        </w:rPr>
      </w:pPr>
      <w:r w:rsidRPr="00992AA5">
        <w:rPr>
          <w:b/>
          <w:lang w:val="pl-PL"/>
        </w:rPr>
        <w:t>Koszt przyrostowy</w:t>
      </w:r>
      <w:r w:rsidRPr="00992AA5">
        <w:rPr>
          <w:b/>
          <w:lang w:val="pl-PL"/>
        </w:rPr>
        <w:tab/>
      </w:r>
      <w:r w:rsidRPr="00992AA5">
        <w:rPr>
          <w:b/>
          <w:lang w:val="pl-PL"/>
        </w:rPr>
        <w:br/>
      </w:r>
      <w:r w:rsidRPr="00992AA5">
        <w:rPr>
          <w:lang w:val="pl-PL"/>
        </w:rPr>
        <w:t>Zorientowany przyszłościowo długookresowy koszt świadczenia określonej usługi lub grupy usług, którego efektywnie działający przedsiębiorca uniknąłby w sytuacji zaprzestania świadczenia tej usługi lub tej grupy usług, przy założeniu, że zakres pozostałych usług przedsiębiorcy nie uległby zmianie. Koszty przyrostowe usługi składają się z kosztów zmiennych oraz kosztów specyficznych stałych, które ze względu na długookresowy horyzont czasowy analizy wykazują specyfikę kosztów zmiennych i zależą od wolumenu określonej usługi, grupy usług lub modelowych elementów sieci.</w:t>
      </w:r>
    </w:p>
    <w:p w:rsidR="007A0A9B" w:rsidRPr="00992AA5" w:rsidRDefault="007A0A9B" w:rsidP="00EB6C89">
      <w:pPr>
        <w:spacing w:before="120" w:line="240" w:lineRule="auto"/>
        <w:rPr>
          <w:b/>
          <w:lang w:val="pl-PL"/>
        </w:rPr>
      </w:pPr>
      <w:r w:rsidRPr="00992AA5">
        <w:rPr>
          <w:b/>
          <w:lang w:val="pl-PL"/>
        </w:rPr>
        <w:t>Koszty wspólne</w:t>
      </w:r>
    </w:p>
    <w:p w:rsidR="007A0A9B" w:rsidRPr="00992AA5" w:rsidRDefault="007A0A9B" w:rsidP="00EB6C89">
      <w:pPr>
        <w:spacing w:before="120" w:line="240" w:lineRule="auto"/>
        <w:rPr>
          <w:lang w:val="pl-PL"/>
        </w:rPr>
      </w:pPr>
      <w:r w:rsidRPr="00992AA5">
        <w:rPr>
          <w:lang w:val="pl-PL"/>
        </w:rPr>
        <w:t>Suma stałych kosztów wspólnych i zmiennych kosztów wspólnych.</w:t>
      </w:r>
    </w:p>
    <w:p w:rsidR="007A0A9B" w:rsidRPr="00992AA5" w:rsidRDefault="007A0A9B" w:rsidP="00EB6C89">
      <w:pPr>
        <w:spacing w:before="120" w:line="240" w:lineRule="auto"/>
        <w:rPr>
          <w:b/>
          <w:lang w:val="pl-PL"/>
        </w:rPr>
      </w:pPr>
      <w:r w:rsidRPr="00992AA5">
        <w:rPr>
          <w:b/>
          <w:lang w:val="pl-PL"/>
        </w:rPr>
        <w:t>Metodologia TELRIC</w:t>
      </w:r>
    </w:p>
    <w:p w:rsidR="007A0A9B" w:rsidRPr="00992AA5" w:rsidRDefault="007A0A9B" w:rsidP="00EB6C89">
      <w:pPr>
        <w:spacing w:before="120" w:line="240" w:lineRule="auto"/>
        <w:rPr>
          <w:lang w:val="pl-PL"/>
        </w:rPr>
      </w:pPr>
      <w:r w:rsidRPr="00992AA5">
        <w:rPr>
          <w:lang w:val="pl-PL"/>
        </w:rPr>
        <w:t>Koncepcja kalkulacji zorientowanych przyszłościowo długookresowych kosztów przyrostowych w oparciu o modelowe elementy sieci.</w:t>
      </w:r>
    </w:p>
    <w:p w:rsidR="007A0A9B" w:rsidRPr="00992AA5" w:rsidRDefault="007A0A9B" w:rsidP="00EB6C89">
      <w:pPr>
        <w:spacing w:before="120" w:line="240" w:lineRule="auto"/>
        <w:rPr>
          <w:b/>
          <w:lang w:val="pl-PL"/>
        </w:rPr>
      </w:pPr>
      <w:r w:rsidRPr="00992AA5">
        <w:rPr>
          <w:b/>
          <w:lang w:val="pl-PL"/>
        </w:rPr>
        <w:t>Model (kalkulacyjny)</w:t>
      </w:r>
    </w:p>
    <w:p w:rsidR="007A0A9B" w:rsidRPr="00992AA5" w:rsidRDefault="007A0A9B" w:rsidP="00EB6C89">
      <w:pPr>
        <w:spacing w:before="120" w:line="240" w:lineRule="auto"/>
        <w:rPr>
          <w:lang w:val="pl-PL"/>
        </w:rPr>
      </w:pPr>
      <w:r w:rsidRPr="00992AA5">
        <w:rPr>
          <w:lang w:val="pl-PL"/>
        </w:rPr>
        <w:t>System wzajemnych współzależności, odzwierciedlający alokację kosztów na obiekty kosztowe zgodnie z ich przyczynowością.</w:t>
      </w:r>
    </w:p>
    <w:p w:rsidR="007A0A9B" w:rsidRPr="00992AA5" w:rsidRDefault="007A0A9B" w:rsidP="00EB6C89">
      <w:pPr>
        <w:spacing w:before="120" w:line="240" w:lineRule="auto"/>
        <w:rPr>
          <w:b/>
          <w:lang w:val="pl-PL"/>
        </w:rPr>
      </w:pPr>
    </w:p>
    <w:p w:rsidR="007A0A9B" w:rsidRPr="00992AA5" w:rsidRDefault="007A0A9B" w:rsidP="00EB6C89">
      <w:pPr>
        <w:spacing w:before="120" w:line="240" w:lineRule="auto"/>
        <w:rPr>
          <w:b/>
          <w:lang w:val="pl-PL"/>
        </w:rPr>
      </w:pPr>
      <w:r w:rsidRPr="00992AA5">
        <w:rPr>
          <w:b/>
          <w:lang w:val="pl-PL"/>
        </w:rPr>
        <w:t>Modelowy element sieci</w:t>
      </w:r>
    </w:p>
    <w:p w:rsidR="007A0A9B" w:rsidRPr="00992AA5" w:rsidRDefault="007A0A9B" w:rsidP="00EB6C89">
      <w:pPr>
        <w:spacing w:before="120" w:line="240" w:lineRule="auto"/>
        <w:rPr>
          <w:lang w:val="pl-PL"/>
        </w:rPr>
      </w:pPr>
      <w:r w:rsidRPr="00992AA5">
        <w:rPr>
          <w:lang w:val="pl-PL"/>
        </w:rPr>
        <w:t>Logiczny odpowiednik elementu lub grupy elementów sieci stworzony na potrzeby modelu kalkulacyjnego.</w:t>
      </w:r>
    </w:p>
    <w:p w:rsidR="007A0A9B" w:rsidRPr="00992AA5" w:rsidRDefault="007A0A9B" w:rsidP="00EB6C89">
      <w:pPr>
        <w:spacing w:before="120" w:line="240" w:lineRule="auto"/>
        <w:rPr>
          <w:lang w:val="pl-PL"/>
        </w:rPr>
      </w:pPr>
      <w:r w:rsidRPr="00992AA5">
        <w:rPr>
          <w:b/>
          <w:lang w:val="pl-PL"/>
        </w:rPr>
        <w:lastRenderedPageBreak/>
        <w:t>Nośnik</w:t>
      </w:r>
      <w:r w:rsidRPr="00992AA5">
        <w:rPr>
          <w:b/>
          <w:lang w:val="pl-PL"/>
        </w:rPr>
        <w:br/>
      </w:r>
      <w:r w:rsidRPr="00992AA5">
        <w:rPr>
          <w:lang w:val="pl-PL"/>
        </w:rPr>
        <w:t>Miara odzwierciedlająca wykorzystanie aktywów lub powstanie zobowiązań, przychodów lub kosztów w wyniku prowadzenia określonej działalności lub świadczenia usługi, wyznaczona na podstawie danych z ksiąg rachunkowych, a także innych dokumentów i zbiorów informacyjnych operatora, w tym danych statystycznych pochodzących z badań wyrywkowych oraz algorytmów opartych na tych danych.</w:t>
      </w:r>
    </w:p>
    <w:p w:rsidR="007A0A9B" w:rsidRPr="00992AA5" w:rsidRDefault="007A0A9B" w:rsidP="00EB6C89">
      <w:pPr>
        <w:spacing w:before="120" w:line="240" w:lineRule="auto"/>
        <w:rPr>
          <w:b/>
          <w:lang w:val="pl-PL"/>
        </w:rPr>
      </w:pPr>
      <w:r w:rsidRPr="00992AA5">
        <w:rPr>
          <w:b/>
          <w:lang w:val="pl-PL"/>
        </w:rPr>
        <w:t>Operator Alternatywny</w:t>
      </w:r>
      <w:r w:rsidRPr="00992AA5">
        <w:rPr>
          <w:b/>
          <w:lang w:val="pl-PL"/>
        </w:rPr>
        <w:tab/>
      </w:r>
      <w:r w:rsidRPr="00992AA5">
        <w:rPr>
          <w:b/>
          <w:lang w:val="pl-PL"/>
        </w:rPr>
        <w:br/>
      </w:r>
      <w:r w:rsidRPr="00992AA5">
        <w:rPr>
          <w:lang w:val="pl-PL"/>
        </w:rPr>
        <w:t>Przedsiębiorca telekomunikacyjny świadczący obecnie lub w przyszłości usługi telekomunikacyjne w oparciu o usługi hurtowe OPL realizowane przez stacjonarną publiczną sieć telekomunikacyjną.</w:t>
      </w:r>
    </w:p>
    <w:p w:rsidR="007A0A9B" w:rsidRPr="00992AA5" w:rsidRDefault="007A0A9B" w:rsidP="00EB6C89">
      <w:pPr>
        <w:spacing w:before="120" w:line="240" w:lineRule="auto"/>
        <w:rPr>
          <w:b/>
          <w:lang w:val="pl-PL"/>
        </w:rPr>
      </w:pPr>
      <w:r w:rsidRPr="00992AA5">
        <w:rPr>
          <w:b/>
          <w:lang w:val="pl-PL"/>
        </w:rPr>
        <w:t>Obszar Tranzytowy</w:t>
      </w:r>
    </w:p>
    <w:p w:rsidR="007A0A9B" w:rsidRPr="00992AA5" w:rsidRDefault="007A0A9B" w:rsidP="00EB6C89">
      <w:pPr>
        <w:spacing w:before="120" w:line="240" w:lineRule="auto"/>
        <w:rPr>
          <w:lang w:val="pl-PL"/>
        </w:rPr>
      </w:pPr>
      <w:r w:rsidRPr="00992AA5">
        <w:rPr>
          <w:lang w:val="pl-PL"/>
        </w:rPr>
        <w:t>Obszar geograficzny składający się z określonych stref numeracyjnych, obsługiwany przez co najmniej jedną centralę międzystrefową tranzytową.</w:t>
      </w:r>
    </w:p>
    <w:p w:rsidR="007A0A9B" w:rsidRPr="00992AA5" w:rsidRDefault="007A0A9B" w:rsidP="00EB6C89">
      <w:pPr>
        <w:spacing w:before="120" w:line="240" w:lineRule="auto"/>
        <w:rPr>
          <w:b/>
          <w:lang w:val="pl-PL"/>
        </w:rPr>
      </w:pPr>
      <w:r w:rsidRPr="00992AA5">
        <w:rPr>
          <w:b/>
          <w:lang w:val="pl-PL"/>
        </w:rPr>
        <w:t>Poziomy modelu</w:t>
      </w:r>
      <w:r w:rsidRPr="00992AA5">
        <w:rPr>
          <w:b/>
          <w:lang w:val="pl-PL"/>
        </w:rPr>
        <w:tab/>
      </w:r>
      <w:r w:rsidRPr="00992AA5">
        <w:rPr>
          <w:b/>
          <w:lang w:val="pl-PL"/>
        </w:rPr>
        <w:br/>
      </w:r>
      <w:r w:rsidRPr="00992AA5">
        <w:rPr>
          <w:lang w:val="pl-PL"/>
        </w:rPr>
        <w:t>Poszczególne etapy kalkulacji i alokacji kosztów w modelu.</w:t>
      </w:r>
      <w:r w:rsidRPr="00992AA5" w:rsidDel="00813C93">
        <w:rPr>
          <w:lang w:val="pl-PL"/>
        </w:rPr>
        <w:t xml:space="preserve"> </w:t>
      </w:r>
    </w:p>
    <w:p w:rsidR="007A0A9B" w:rsidRPr="00992AA5" w:rsidRDefault="007A0A9B" w:rsidP="00EB6C89">
      <w:pPr>
        <w:spacing w:before="120" w:line="240" w:lineRule="auto"/>
        <w:rPr>
          <w:lang w:val="pl-PL"/>
        </w:rPr>
      </w:pPr>
      <w:r w:rsidRPr="00992AA5">
        <w:rPr>
          <w:b/>
          <w:lang w:val="pl-PL"/>
        </w:rPr>
        <w:t xml:space="preserve">Procesy </w:t>
      </w:r>
      <w:r w:rsidRPr="00992AA5">
        <w:rPr>
          <w:b/>
          <w:lang w:val="pl-PL"/>
        </w:rPr>
        <w:tab/>
      </w:r>
      <w:r w:rsidRPr="00992AA5">
        <w:rPr>
          <w:b/>
          <w:lang w:val="pl-PL"/>
        </w:rPr>
        <w:br/>
      </w:r>
      <w:r w:rsidRPr="00992AA5">
        <w:rPr>
          <w:lang w:val="pl-PL"/>
        </w:rPr>
        <w:t>Powiązane ze sobą i powtarzane działania, czynności wykonywane w celu osiągnięcia określonego efektu.</w:t>
      </w:r>
    </w:p>
    <w:p w:rsidR="007A0A9B" w:rsidRPr="00992AA5" w:rsidRDefault="007A0A9B" w:rsidP="00EB6C89">
      <w:pPr>
        <w:spacing w:before="120" w:line="240" w:lineRule="auto"/>
        <w:outlineLvl w:val="0"/>
        <w:rPr>
          <w:b/>
          <w:lang w:val="pl-PL"/>
        </w:rPr>
      </w:pPr>
      <w:r w:rsidRPr="00992AA5">
        <w:rPr>
          <w:b/>
          <w:lang w:val="pl-PL"/>
        </w:rPr>
        <w:t>Procesy modelowe</w:t>
      </w:r>
    </w:p>
    <w:p w:rsidR="007A0A9B" w:rsidRPr="00992AA5" w:rsidRDefault="007A0A9B" w:rsidP="00EB6C89">
      <w:pPr>
        <w:spacing w:before="120" w:line="240" w:lineRule="auto"/>
        <w:rPr>
          <w:lang w:val="pl-PL"/>
        </w:rPr>
      </w:pPr>
      <w:r w:rsidRPr="00992AA5">
        <w:rPr>
          <w:lang w:val="pl-PL"/>
        </w:rPr>
        <w:t>Procesy stanowiące obiekty kosztowe, na które alokowane są koszty modelowych elementów sieci.</w:t>
      </w:r>
    </w:p>
    <w:p w:rsidR="007A0A9B" w:rsidRPr="00992AA5" w:rsidRDefault="007A0A9B" w:rsidP="00EB6C89">
      <w:pPr>
        <w:spacing w:before="120" w:line="240" w:lineRule="auto"/>
        <w:rPr>
          <w:lang w:val="pl-PL"/>
        </w:rPr>
      </w:pPr>
      <w:r w:rsidRPr="00992AA5">
        <w:rPr>
          <w:b/>
          <w:lang w:val="pl-PL"/>
        </w:rPr>
        <w:t>Procesy rzeczywiste</w:t>
      </w:r>
      <w:r w:rsidRPr="00992AA5">
        <w:rPr>
          <w:b/>
          <w:lang w:val="pl-PL"/>
        </w:rPr>
        <w:tab/>
      </w:r>
      <w:r w:rsidRPr="00992AA5">
        <w:rPr>
          <w:b/>
          <w:lang w:val="pl-PL"/>
        </w:rPr>
        <w:br/>
      </w:r>
      <w:r w:rsidRPr="00992AA5">
        <w:rPr>
          <w:lang w:val="pl-PL"/>
        </w:rPr>
        <w:t>Procesy odzwierciedlające rzeczywiste działania zachodzące w spółce w ramach prowadzonej działalności gospodarczej.</w:t>
      </w:r>
    </w:p>
    <w:p w:rsidR="007A0A9B" w:rsidRPr="00992AA5" w:rsidRDefault="007A0A9B" w:rsidP="00EB6C89">
      <w:pPr>
        <w:spacing w:before="120" w:line="240" w:lineRule="auto"/>
        <w:rPr>
          <w:b/>
          <w:lang w:val="pl-PL"/>
        </w:rPr>
      </w:pPr>
      <w:r w:rsidRPr="00992AA5">
        <w:rPr>
          <w:b/>
          <w:lang w:val="pl-PL"/>
        </w:rPr>
        <w:t>Procesy specjalne</w:t>
      </w:r>
    </w:p>
    <w:p w:rsidR="007A0A9B" w:rsidRPr="00992AA5" w:rsidRDefault="007A0A9B" w:rsidP="00EB6C89">
      <w:pPr>
        <w:spacing w:before="120" w:line="240" w:lineRule="auto"/>
        <w:rPr>
          <w:lang w:val="pl-PL"/>
        </w:rPr>
      </w:pPr>
      <w:r w:rsidRPr="00992AA5">
        <w:rPr>
          <w:lang w:val="pl-PL"/>
        </w:rPr>
        <w:t>Procesy zdefiniowane w modelu kalkulacji długookresowych kosztów przyrostowych, charakteryzujące się jednorodnością względem nośnika i CVR.</w:t>
      </w:r>
    </w:p>
    <w:p w:rsidR="007A0A9B" w:rsidRPr="00992AA5" w:rsidRDefault="007A0A9B" w:rsidP="00EB6C89">
      <w:pPr>
        <w:spacing w:before="120" w:line="240" w:lineRule="auto"/>
        <w:rPr>
          <w:lang w:val="pl-PL"/>
        </w:rPr>
      </w:pPr>
      <w:r w:rsidRPr="00992AA5">
        <w:rPr>
          <w:b/>
          <w:bCs/>
          <w:lang w:val="pl-PL"/>
        </w:rPr>
        <w:t>Przenośność numerów</w:t>
      </w:r>
      <w:r w:rsidRPr="00992AA5">
        <w:rPr>
          <w:lang w:val="pl-PL"/>
        </w:rPr>
        <w:t xml:space="preserve"> (ang. </w:t>
      </w:r>
      <w:proofErr w:type="spellStart"/>
      <w:r w:rsidRPr="00992AA5">
        <w:rPr>
          <w:iCs/>
          <w:lang w:val="pl-PL"/>
        </w:rPr>
        <w:t>number</w:t>
      </w:r>
      <w:proofErr w:type="spellEnd"/>
      <w:r w:rsidRPr="00992AA5">
        <w:rPr>
          <w:iCs/>
          <w:lang w:val="pl-PL"/>
        </w:rPr>
        <w:t xml:space="preserve"> </w:t>
      </w:r>
      <w:proofErr w:type="spellStart"/>
      <w:r w:rsidRPr="00992AA5">
        <w:rPr>
          <w:iCs/>
          <w:lang w:val="pl-PL"/>
        </w:rPr>
        <w:t>portability</w:t>
      </w:r>
      <w:proofErr w:type="spellEnd"/>
      <w:r w:rsidRPr="00992AA5">
        <w:rPr>
          <w:lang w:val="pl-PL"/>
        </w:rPr>
        <w:t>)</w:t>
      </w:r>
    </w:p>
    <w:p w:rsidR="007A0A9B" w:rsidRPr="00992AA5" w:rsidRDefault="007A0A9B" w:rsidP="00EB6C89">
      <w:pPr>
        <w:spacing w:before="120" w:line="240" w:lineRule="auto"/>
        <w:rPr>
          <w:b/>
          <w:lang w:val="pl-PL"/>
        </w:rPr>
      </w:pPr>
      <w:r w:rsidRPr="00992AA5">
        <w:rPr>
          <w:lang w:val="pl-PL"/>
        </w:rPr>
        <w:t>Uprawnienie abonentów do zachowania posiadanego numeru w stacjonarnej publicznej sieci telekomunikacyjnej w przypadku zmiany operatora, zmiany miejsca korzystania z usługi lub zmiany rodzaju usługi.</w:t>
      </w:r>
    </w:p>
    <w:p w:rsidR="007A0A9B" w:rsidRPr="00992AA5" w:rsidRDefault="007A0A9B" w:rsidP="00EB6C89">
      <w:pPr>
        <w:spacing w:before="120" w:line="240" w:lineRule="auto"/>
        <w:rPr>
          <w:b/>
          <w:lang w:val="pl-PL"/>
        </w:rPr>
      </w:pPr>
      <w:r w:rsidRPr="00992AA5">
        <w:rPr>
          <w:b/>
          <w:lang w:val="pl-PL"/>
        </w:rPr>
        <w:t>Specyficzne koszty stałe</w:t>
      </w:r>
    </w:p>
    <w:p w:rsidR="007A0A9B" w:rsidRPr="00992AA5" w:rsidRDefault="007A0A9B" w:rsidP="00EB6C89">
      <w:pPr>
        <w:spacing w:before="120" w:line="240" w:lineRule="auto"/>
        <w:rPr>
          <w:lang w:val="pl-PL"/>
        </w:rPr>
      </w:pPr>
      <w:r w:rsidRPr="00992AA5">
        <w:rPr>
          <w:lang w:val="pl-PL"/>
        </w:rPr>
        <w:t>Stałe koszty, które mogą być bezpośrednio przypisane do danej usługi bądź grupy usług lub do modelowego elementu sieci wykorzystywanego przez te usługi.</w:t>
      </w:r>
    </w:p>
    <w:p w:rsidR="007A0A9B" w:rsidRPr="00992AA5" w:rsidRDefault="007A0A9B" w:rsidP="00EB6C89">
      <w:pPr>
        <w:spacing w:before="120" w:line="240" w:lineRule="auto"/>
        <w:rPr>
          <w:b/>
          <w:lang w:val="pl-PL"/>
        </w:rPr>
      </w:pPr>
      <w:r w:rsidRPr="00992AA5">
        <w:rPr>
          <w:b/>
          <w:lang w:val="pl-PL"/>
        </w:rPr>
        <w:t>Spółki przejęte</w:t>
      </w:r>
    </w:p>
    <w:p w:rsidR="007A0A9B" w:rsidRPr="00992AA5" w:rsidRDefault="007A0A9B" w:rsidP="00EB6C89">
      <w:pPr>
        <w:spacing w:before="120" w:line="240" w:lineRule="auto"/>
        <w:rPr>
          <w:bCs/>
          <w:lang w:val="pl-PL"/>
        </w:rPr>
      </w:pPr>
      <w:r w:rsidRPr="00992AA5">
        <w:rPr>
          <w:bCs/>
          <w:lang w:val="pl-PL"/>
        </w:rPr>
        <w:t>Polska Telefonia Komórkowa - Centertel sp. z o.o. oraz Orange Polska sp. z o.o.</w:t>
      </w:r>
    </w:p>
    <w:p w:rsidR="007A0A9B" w:rsidRPr="00992AA5" w:rsidRDefault="007A0A9B" w:rsidP="00EB6C89">
      <w:pPr>
        <w:spacing w:before="120" w:line="240" w:lineRule="auto"/>
        <w:rPr>
          <w:b/>
          <w:lang w:val="pl-PL"/>
        </w:rPr>
      </w:pPr>
      <w:r w:rsidRPr="00992AA5">
        <w:rPr>
          <w:b/>
          <w:lang w:val="pl-PL"/>
        </w:rPr>
        <w:t>Stałe koszty</w:t>
      </w:r>
    </w:p>
    <w:p w:rsidR="007A0A9B" w:rsidRPr="009E24ED" w:rsidRDefault="007A0A9B" w:rsidP="00EB6C89">
      <w:pPr>
        <w:spacing w:before="120" w:line="240" w:lineRule="auto"/>
        <w:rPr>
          <w:lang w:val="pl-PL"/>
        </w:rPr>
      </w:pPr>
      <w:r w:rsidRPr="00992AA5">
        <w:rPr>
          <w:lang w:val="pl-PL"/>
        </w:rPr>
        <w:t>Koszty, których wartość nie zmienia się wraz ze zmianą wolumenu usług, których dotyczą.</w:t>
      </w:r>
    </w:p>
    <w:p w:rsidR="007A0A9B" w:rsidRPr="00992AA5" w:rsidRDefault="007A0A9B" w:rsidP="00EB6C89">
      <w:pPr>
        <w:spacing w:before="120" w:line="240" w:lineRule="auto"/>
        <w:rPr>
          <w:lang w:val="pl-PL"/>
        </w:rPr>
      </w:pPr>
      <w:r w:rsidRPr="00992AA5">
        <w:rPr>
          <w:b/>
          <w:lang w:val="pl-PL"/>
        </w:rPr>
        <w:t>Stałe koszty wspólne</w:t>
      </w:r>
      <w:r w:rsidRPr="00992AA5">
        <w:rPr>
          <w:b/>
          <w:lang w:val="pl-PL"/>
        </w:rPr>
        <w:tab/>
      </w:r>
      <w:r w:rsidRPr="00992AA5">
        <w:rPr>
          <w:b/>
          <w:lang w:val="pl-PL"/>
        </w:rPr>
        <w:br/>
      </w:r>
      <w:r w:rsidRPr="00992AA5">
        <w:rPr>
          <w:lang w:val="pl-PL"/>
        </w:rPr>
        <w:t xml:space="preserve">Stałe koszty, które są wspólne dla dwóch lub więcej usług lub modelowych elementów sieci. Uniknięcie stałych kosztów wspólnych jest możliwe tylko w wypadku zaprzestania świadczenia wszystkich usług, których te koszty dotyczą. </w:t>
      </w:r>
    </w:p>
    <w:p w:rsidR="007A0A9B" w:rsidRPr="00992AA5" w:rsidRDefault="007A0A9B" w:rsidP="00EB6C89">
      <w:pPr>
        <w:spacing w:before="120" w:line="240" w:lineRule="auto"/>
        <w:rPr>
          <w:b/>
          <w:lang w:val="pl-PL"/>
        </w:rPr>
      </w:pPr>
      <w:r w:rsidRPr="00992AA5">
        <w:rPr>
          <w:b/>
          <w:lang w:val="pl-PL"/>
        </w:rPr>
        <w:t>Statystyki nośnika</w:t>
      </w:r>
    </w:p>
    <w:p w:rsidR="007A0A9B" w:rsidRPr="00992AA5" w:rsidRDefault="007A0A9B" w:rsidP="00EB6C89">
      <w:pPr>
        <w:spacing w:before="120" w:line="240" w:lineRule="auto"/>
        <w:rPr>
          <w:lang w:val="pl-PL"/>
        </w:rPr>
      </w:pPr>
      <w:r w:rsidRPr="00992AA5">
        <w:rPr>
          <w:lang w:val="pl-PL"/>
        </w:rPr>
        <w:t>Zbiór danych określających proporcje alokacji kosztów zasobu lub procesu.</w:t>
      </w:r>
    </w:p>
    <w:p w:rsidR="007A0A9B" w:rsidRPr="00992AA5" w:rsidRDefault="007A0A9B" w:rsidP="00EB6C89">
      <w:pPr>
        <w:spacing w:before="120" w:line="240" w:lineRule="auto"/>
        <w:rPr>
          <w:b/>
          <w:lang w:val="pl-PL"/>
        </w:rPr>
      </w:pPr>
      <w:r w:rsidRPr="00992AA5">
        <w:rPr>
          <w:b/>
          <w:lang w:val="pl-PL"/>
        </w:rPr>
        <w:lastRenderedPageBreak/>
        <w:t>Strefa Numeracyjna</w:t>
      </w:r>
    </w:p>
    <w:p w:rsidR="007A0A9B" w:rsidRPr="00992AA5" w:rsidRDefault="007A0A9B" w:rsidP="00EB6C89">
      <w:pPr>
        <w:spacing w:before="120" w:line="240" w:lineRule="auto"/>
        <w:rPr>
          <w:lang w:val="pl-PL"/>
        </w:rPr>
      </w:pPr>
      <w:r w:rsidRPr="00992AA5">
        <w:rPr>
          <w:lang w:val="pl-PL"/>
        </w:rPr>
        <w:t>Obszar geograficzny, dla którego ustalono wskaźnik strefy numeracyjnej w Planie Numeracji Krajowej.</w:t>
      </w:r>
    </w:p>
    <w:p w:rsidR="007A0A9B" w:rsidRPr="00992AA5" w:rsidRDefault="007A0A9B" w:rsidP="00EB6C89">
      <w:pPr>
        <w:spacing w:before="120" w:line="240" w:lineRule="auto"/>
        <w:rPr>
          <w:b/>
          <w:lang w:val="pl-PL"/>
        </w:rPr>
      </w:pPr>
      <w:r w:rsidRPr="00992AA5">
        <w:rPr>
          <w:b/>
          <w:lang w:val="pl-PL"/>
        </w:rPr>
        <w:t>Struktura połączeń</w:t>
      </w:r>
    </w:p>
    <w:p w:rsidR="007A0A9B" w:rsidRPr="00992AA5" w:rsidRDefault="007A0A9B" w:rsidP="00EB6C89">
      <w:pPr>
        <w:spacing w:before="120" w:line="240" w:lineRule="auto"/>
        <w:rPr>
          <w:lang w:val="pl-PL"/>
        </w:rPr>
      </w:pPr>
      <w:r w:rsidRPr="00992AA5">
        <w:rPr>
          <w:lang w:val="pl-PL"/>
        </w:rPr>
        <w:t>Fizyczna realizacja połączeń dotycząca wszystkich usług dostępnych w stacjonarnej publicznej sieci OPL.</w:t>
      </w:r>
    </w:p>
    <w:p w:rsidR="007A0A9B" w:rsidRPr="00992AA5" w:rsidRDefault="007A0A9B" w:rsidP="00EB6C89">
      <w:pPr>
        <w:spacing w:before="120" w:line="240" w:lineRule="auto"/>
        <w:rPr>
          <w:b/>
          <w:lang w:val="pl-PL"/>
        </w:rPr>
      </w:pPr>
      <w:r w:rsidRPr="00992AA5">
        <w:rPr>
          <w:b/>
          <w:lang w:val="pl-PL"/>
        </w:rPr>
        <w:t>Transfer wewnętrzny</w:t>
      </w:r>
    </w:p>
    <w:p w:rsidR="007A0A9B" w:rsidRPr="00992AA5" w:rsidRDefault="007A0A9B" w:rsidP="00EB6C89">
      <w:pPr>
        <w:spacing w:before="120" w:line="240" w:lineRule="auto"/>
        <w:rPr>
          <w:lang w:val="pl-PL"/>
        </w:rPr>
      </w:pPr>
      <w:r w:rsidRPr="00992AA5">
        <w:rPr>
          <w:lang w:val="pl-PL"/>
        </w:rPr>
        <w:t>Wartość transakcji między wyodrębnionymi rodzajami działalności rachunkowości regulacyjnej.</w:t>
      </w:r>
    </w:p>
    <w:p w:rsidR="007A0A9B" w:rsidRPr="00992AA5" w:rsidRDefault="007A0A9B" w:rsidP="00EB6C89">
      <w:pPr>
        <w:spacing w:before="120" w:line="240" w:lineRule="auto"/>
        <w:outlineLvl w:val="0"/>
        <w:rPr>
          <w:b/>
          <w:lang w:val="pl-PL"/>
        </w:rPr>
      </w:pPr>
      <w:r w:rsidRPr="00992AA5">
        <w:rPr>
          <w:b/>
          <w:lang w:val="pl-PL"/>
        </w:rPr>
        <w:t>Wolumen usługi</w:t>
      </w:r>
    </w:p>
    <w:p w:rsidR="007A0A9B" w:rsidRPr="00992AA5" w:rsidRDefault="007A0A9B" w:rsidP="00EB6C89">
      <w:pPr>
        <w:spacing w:before="120" w:line="240" w:lineRule="auto"/>
        <w:rPr>
          <w:lang w:val="pl-PL"/>
        </w:rPr>
      </w:pPr>
      <w:r w:rsidRPr="00992AA5">
        <w:rPr>
          <w:lang w:val="pl-PL"/>
        </w:rPr>
        <w:t>Liczba jednostkowych usług danego rodzaju sprzedanych przez OPL w wybranym okresie.</w:t>
      </w:r>
    </w:p>
    <w:p w:rsidR="007A0A9B" w:rsidRPr="00992AA5" w:rsidRDefault="007A0A9B" w:rsidP="00EB6C89">
      <w:pPr>
        <w:spacing w:before="120" w:line="240" w:lineRule="auto"/>
        <w:rPr>
          <w:lang w:val="pl-PL"/>
        </w:rPr>
      </w:pPr>
      <w:r w:rsidRPr="00992AA5">
        <w:rPr>
          <w:b/>
          <w:lang w:val="pl-PL"/>
        </w:rPr>
        <w:t>Zasoby</w:t>
      </w:r>
      <w:r w:rsidRPr="00992AA5">
        <w:rPr>
          <w:b/>
          <w:lang w:val="pl-PL"/>
        </w:rPr>
        <w:br/>
      </w:r>
      <w:r w:rsidRPr="00992AA5">
        <w:rPr>
          <w:lang w:val="pl-PL"/>
        </w:rPr>
        <w:t>Jednolite kategorie kosztów rodzajowych utworzone w wyniku pogrupowania odpowiednich kont kosztowych.</w:t>
      </w:r>
    </w:p>
    <w:p w:rsidR="007A0A9B" w:rsidRPr="00992AA5" w:rsidRDefault="007A0A9B" w:rsidP="00EB6C89">
      <w:pPr>
        <w:spacing w:before="120" w:line="240" w:lineRule="auto"/>
        <w:rPr>
          <w:b/>
          <w:lang w:val="pl-PL"/>
        </w:rPr>
      </w:pPr>
      <w:r w:rsidRPr="00992AA5">
        <w:rPr>
          <w:b/>
          <w:lang w:val="pl-PL"/>
        </w:rPr>
        <w:t>Zmienne koszty</w:t>
      </w:r>
    </w:p>
    <w:p w:rsidR="007A0A9B" w:rsidRPr="00992AA5" w:rsidRDefault="007A0A9B" w:rsidP="00EB6C89">
      <w:pPr>
        <w:spacing w:before="120" w:line="240" w:lineRule="auto"/>
        <w:rPr>
          <w:lang w:val="pl-PL"/>
        </w:rPr>
      </w:pPr>
      <w:r w:rsidRPr="00992AA5">
        <w:rPr>
          <w:lang w:val="pl-PL"/>
        </w:rPr>
        <w:t>Koszty, które zmieniają się w zależności od wolumenu usługi.</w:t>
      </w:r>
    </w:p>
    <w:p w:rsidR="007A0A9B" w:rsidRPr="00992AA5" w:rsidRDefault="007A0A9B" w:rsidP="00EB6C89">
      <w:pPr>
        <w:spacing w:before="120" w:line="240" w:lineRule="auto"/>
        <w:rPr>
          <w:lang w:val="pl-PL"/>
        </w:rPr>
      </w:pPr>
      <w:r w:rsidRPr="00992AA5">
        <w:rPr>
          <w:b/>
          <w:lang w:val="pl-PL"/>
        </w:rPr>
        <w:t>Zmienne koszty wspólne</w:t>
      </w:r>
      <w:r w:rsidRPr="00992AA5">
        <w:rPr>
          <w:b/>
          <w:lang w:val="pl-PL"/>
        </w:rPr>
        <w:tab/>
      </w:r>
      <w:r w:rsidRPr="00992AA5">
        <w:rPr>
          <w:b/>
          <w:lang w:val="pl-PL"/>
        </w:rPr>
        <w:br/>
      </w:r>
      <w:r w:rsidRPr="00992AA5">
        <w:rPr>
          <w:lang w:val="pl-PL"/>
        </w:rPr>
        <w:t>Zmienne koszty, które są wspólne dla dwóch lub więcej usług lub modelowych elementów sieci.</w:t>
      </w:r>
    </w:p>
    <w:p w:rsidR="007A0A9B" w:rsidRPr="00992AA5" w:rsidRDefault="007A0A9B" w:rsidP="00EB6C89">
      <w:pPr>
        <w:pStyle w:val="Nagwek2"/>
        <w:numPr>
          <w:ilvl w:val="1"/>
          <w:numId w:val="0"/>
        </w:numPr>
        <w:tabs>
          <w:tab w:val="num" w:pos="858"/>
        </w:tabs>
        <w:spacing w:before="120" w:after="0" w:line="240" w:lineRule="auto"/>
        <w:ind w:left="576" w:hanging="576"/>
        <w:rPr>
          <w:sz w:val="22"/>
          <w:szCs w:val="22"/>
        </w:rPr>
      </w:pPr>
      <w:bookmarkStart w:id="18" w:name="_Toc306807593"/>
      <w:bookmarkStart w:id="19" w:name="_Toc322094657"/>
      <w:bookmarkStart w:id="20" w:name="_Toc322602832"/>
      <w:bookmarkStart w:id="21" w:name="_Toc322594052"/>
      <w:bookmarkStart w:id="22" w:name="_Toc372542001"/>
      <w:bookmarkStart w:id="23" w:name="_Toc379969093"/>
      <w:bookmarkStart w:id="24" w:name="_Toc383521133"/>
      <w:r w:rsidRPr="00992AA5">
        <w:rPr>
          <w:sz w:val="22"/>
          <w:szCs w:val="22"/>
        </w:rPr>
        <w:t>Definicje elementów sieci</w:t>
      </w:r>
      <w:bookmarkEnd w:id="18"/>
      <w:bookmarkEnd w:id="19"/>
      <w:bookmarkEnd w:id="20"/>
      <w:bookmarkEnd w:id="21"/>
      <w:bookmarkEnd w:id="22"/>
      <w:bookmarkEnd w:id="23"/>
      <w:bookmarkEnd w:id="24"/>
    </w:p>
    <w:p w:rsidR="007A0A9B" w:rsidRPr="00992AA5" w:rsidRDefault="007A0A9B" w:rsidP="00EB6C89">
      <w:pPr>
        <w:spacing w:before="120" w:line="240" w:lineRule="auto"/>
        <w:rPr>
          <w:lang w:val="pl-PL"/>
        </w:rPr>
      </w:pPr>
      <w:r w:rsidRPr="00992AA5">
        <w:rPr>
          <w:b/>
          <w:lang w:val="pl-PL"/>
        </w:rPr>
        <w:t>Agregaty prądotwórcze</w:t>
      </w:r>
      <w:r w:rsidRPr="00992AA5">
        <w:rPr>
          <w:b/>
          <w:lang w:val="pl-PL"/>
        </w:rPr>
        <w:tab/>
      </w:r>
      <w:r w:rsidRPr="00992AA5">
        <w:rPr>
          <w:b/>
          <w:lang w:val="pl-PL"/>
        </w:rPr>
        <w:br/>
      </w:r>
      <w:r w:rsidRPr="00992AA5">
        <w:rPr>
          <w:lang w:val="pl-PL"/>
        </w:rPr>
        <w:t xml:space="preserve">Urządzenia wytwarzające prąd, zapewniające zasilanie urządzeń telekomunikacyjnych </w:t>
      </w:r>
      <w:r w:rsidR="0042417B" w:rsidRPr="00992AA5">
        <w:rPr>
          <w:lang w:val="pl-PL"/>
        </w:rPr>
        <w:br/>
      </w:r>
      <w:r w:rsidRPr="00992AA5">
        <w:rPr>
          <w:lang w:val="pl-PL"/>
        </w:rPr>
        <w:t>w stacjonarnej publicznej sieci telekomunikacyjnej podczas awarii zasilania.</w:t>
      </w:r>
    </w:p>
    <w:p w:rsidR="007A0A9B" w:rsidRPr="00992AA5" w:rsidRDefault="007A0A9B" w:rsidP="00EB6C89">
      <w:pPr>
        <w:spacing w:before="120" w:line="240" w:lineRule="auto"/>
        <w:rPr>
          <w:b/>
          <w:lang w:val="pl-PL"/>
        </w:rPr>
      </w:pPr>
      <w:r w:rsidRPr="00992AA5">
        <w:rPr>
          <w:b/>
          <w:lang w:val="pl-PL"/>
        </w:rPr>
        <w:t>Baterie akumulatorów</w:t>
      </w:r>
    </w:p>
    <w:p w:rsidR="007A0A9B" w:rsidRPr="00992AA5" w:rsidRDefault="007A0A9B" w:rsidP="00EB6C89">
      <w:pPr>
        <w:spacing w:before="120" w:line="240" w:lineRule="auto"/>
        <w:rPr>
          <w:lang w:val="pl-PL"/>
        </w:rPr>
      </w:pPr>
      <w:r w:rsidRPr="00992AA5">
        <w:rPr>
          <w:lang w:val="pl-PL"/>
        </w:rPr>
        <w:t>Zapasowe baterie zapewniające zasilanie urządzeń telekomunikacyjnych w stacjonarnej publicznej sieci telekomunikacyjnej podczas awarii zasilania.</w:t>
      </w:r>
    </w:p>
    <w:p w:rsidR="007A0A9B" w:rsidRPr="00992AA5" w:rsidRDefault="007A0A9B" w:rsidP="00EB6C89">
      <w:pPr>
        <w:spacing w:before="120" w:line="240" w:lineRule="auto"/>
        <w:rPr>
          <w:b/>
          <w:lang w:val="pl-PL"/>
        </w:rPr>
      </w:pPr>
      <w:r w:rsidRPr="00992AA5">
        <w:rPr>
          <w:b/>
          <w:lang w:val="pl-PL"/>
        </w:rPr>
        <w:t>Centrale Końcowo – Tranzytowe (CKT)</w:t>
      </w:r>
    </w:p>
    <w:p w:rsidR="007A0A9B" w:rsidRPr="00992AA5" w:rsidRDefault="007A0A9B" w:rsidP="00EB6C89">
      <w:pPr>
        <w:spacing w:before="120" w:line="240" w:lineRule="auto"/>
        <w:rPr>
          <w:lang w:val="pl-PL"/>
        </w:rPr>
      </w:pPr>
      <w:r w:rsidRPr="00992AA5">
        <w:rPr>
          <w:lang w:val="pl-PL"/>
        </w:rPr>
        <w:t xml:space="preserve">Centrala w stacjonarnej publicznej sieci telekomunikacyjnej, do której dołączone są stacje telefoniczne za pośrednictwem łączy abonenckich oraz inne współpracujące centrale </w:t>
      </w:r>
      <w:r w:rsidR="0042417B" w:rsidRPr="00992AA5">
        <w:rPr>
          <w:lang w:val="pl-PL"/>
        </w:rPr>
        <w:br/>
      </w:r>
      <w:r w:rsidRPr="00992AA5">
        <w:rPr>
          <w:lang w:val="pl-PL"/>
        </w:rPr>
        <w:t>za pośrednictwem łączy międzycentralowych. CKT realizuje następujące połączenia:</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lokalne do/od abonentów podłączonych do niej za pomocą koncentratorów lokalnych lub wyniesionych stopni abonenckich;</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ruch wychodzący z własnej strefy numeracyjnej;</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 xml:space="preserve">ruch </w:t>
      </w:r>
      <w:proofErr w:type="spellStart"/>
      <w:r w:rsidRPr="00992AA5">
        <w:rPr>
          <w:lang w:val="pl-PL"/>
        </w:rPr>
        <w:t>tranzytowany</w:t>
      </w:r>
      <w:proofErr w:type="spellEnd"/>
      <w:r w:rsidRPr="00992AA5">
        <w:rPr>
          <w:lang w:val="pl-PL"/>
        </w:rPr>
        <w:t xml:space="preserve"> od/do abonentów central lokalnych;</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ruch przychodzący do własnej strefy numeracyjnej.</w:t>
      </w:r>
    </w:p>
    <w:p w:rsidR="007A0A9B" w:rsidRPr="00992AA5" w:rsidRDefault="007A0A9B" w:rsidP="00EB6C89">
      <w:pPr>
        <w:spacing w:before="120" w:line="240" w:lineRule="auto"/>
        <w:rPr>
          <w:b/>
          <w:lang w:val="pl-PL"/>
        </w:rPr>
      </w:pPr>
      <w:r w:rsidRPr="00992AA5">
        <w:rPr>
          <w:b/>
          <w:lang w:val="pl-PL"/>
        </w:rPr>
        <w:t>Centrale Lokalne (CL)</w:t>
      </w:r>
    </w:p>
    <w:p w:rsidR="007A0A9B" w:rsidRPr="00992AA5" w:rsidRDefault="007A0A9B" w:rsidP="00EB6C89">
      <w:pPr>
        <w:spacing w:before="120" w:line="240" w:lineRule="auto"/>
        <w:rPr>
          <w:lang w:val="pl-PL"/>
        </w:rPr>
      </w:pPr>
      <w:r w:rsidRPr="00992AA5">
        <w:rPr>
          <w:lang w:val="pl-PL"/>
        </w:rPr>
        <w:t xml:space="preserve">Centrala w stacjonarnej publicznej sieci telekomunikacyjnej, do której dołączone są stacje telefoniczne za pośrednictwem łączy abonenckich oraz inne współpracujące centrale </w:t>
      </w:r>
      <w:r w:rsidR="0042417B" w:rsidRPr="00992AA5">
        <w:rPr>
          <w:lang w:val="pl-PL"/>
        </w:rPr>
        <w:br/>
      </w:r>
      <w:r w:rsidRPr="00992AA5">
        <w:rPr>
          <w:lang w:val="pl-PL"/>
        </w:rPr>
        <w:t>za pośrednictwem łączy międzycentralowych. CL realizuje następujące połączenia:</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lokalne do/od abonentów podłączonych do niej za pomocą koncentratorów lokalnych lub wyniesionych stopni abonenckich;</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wychodzące do pozostałej sieci stacjonarnej lub ruchomej;</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przychodzące z pozostałej sieci stacjonarnej lub ruchomej.</w:t>
      </w:r>
    </w:p>
    <w:p w:rsidR="007A0A9B" w:rsidRPr="00992AA5" w:rsidRDefault="007A0A9B" w:rsidP="00EB6C89">
      <w:pPr>
        <w:spacing w:before="120" w:line="240" w:lineRule="auto"/>
        <w:rPr>
          <w:b/>
          <w:lang w:val="pl-PL"/>
        </w:rPr>
      </w:pPr>
      <w:r w:rsidRPr="00992AA5">
        <w:rPr>
          <w:b/>
          <w:lang w:val="pl-PL"/>
        </w:rPr>
        <w:lastRenderedPageBreak/>
        <w:t>Centrale Międzynarodowe (CMN)</w:t>
      </w:r>
    </w:p>
    <w:p w:rsidR="007A0A9B" w:rsidRPr="00992AA5" w:rsidRDefault="007A0A9B" w:rsidP="00EB6C89">
      <w:pPr>
        <w:spacing w:before="120" w:line="240" w:lineRule="auto"/>
        <w:rPr>
          <w:lang w:val="pl-PL"/>
        </w:rPr>
      </w:pPr>
      <w:r w:rsidRPr="00992AA5">
        <w:rPr>
          <w:lang w:val="pl-PL"/>
        </w:rPr>
        <w:t>Jednostki centralne (hosty) w stacjonarnej publicznej sieci telekomunikacyjnej realizujące wymianę ruchu telekomunikacyjnego z operatorami zagranicznymi.</w:t>
      </w:r>
    </w:p>
    <w:p w:rsidR="007A0A9B" w:rsidRPr="00992AA5" w:rsidRDefault="007A0A9B" w:rsidP="00EB6C89">
      <w:pPr>
        <w:spacing w:before="120" w:line="240" w:lineRule="auto"/>
        <w:rPr>
          <w:b/>
          <w:lang w:val="pl-PL"/>
        </w:rPr>
      </w:pPr>
      <w:r w:rsidRPr="00992AA5">
        <w:rPr>
          <w:b/>
          <w:lang w:val="pl-PL"/>
        </w:rPr>
        <w:t>Centrale Tranzytowe (CT)</w:t>
      </w:r>
    </w:p>
    <w:p w:rsidR="007A0A9B" w:rsidRPr="00992AA5" w:rsidRDefault="007A0A9B" w:rsidP="00EB6C89">
      <w:pPr>
        <w:spacing w:before="120" w:line="240" w:lineRule="auto"/>
        <w:rPr>
          <w:lang w:val="pl-PL"/>
        </w:rPr>
      </w:pPr>
      <w:r w:rsidRPr="00992AA5">
        <w:rPr>
          <w:lang w:val="pl-PL"/>
        </w:rPr>
        <w:t>Centrala w stacjonarnej publicznej sieci telekomunikacyjnej realizująca ruch (tranzyt ruchu):</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do/z sieci ruchomych;</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międzynarodowy (przy współpracy CMN);</w:t>
      </w:r>
    </w:p>
    <w:p w:rsidR="007A0A9B" w:rsidRPr="00992AA5" w:rsidRDefault="007A0A9B" w:rsidP="00EB6C89">
      <w:pPr>
        <w:numPr>
          <w:ilvl w:val="0"/>
          <w:numId w:val="27"/>
        </w:numPr>
        <w:tabs>
          <w:tab w:val="clear" w:pos="1068"/>
          <w:tab w:val="num" w:pos="1209"/>
        </w:tabs>
        <w:spacing w:before="120" w:line="240" w:lineRule="auto"/>
        <w:rPr>
          <w:lang w:val="pl-PL"/>
        </w:rPr>
      </w:pPr>
      <w:r w:rsidRPr="00992AA5">
        <w:rPr>
          <w:lang w:val="pl-PL"/>
        </w:rPr>
        <w:t xml:space="preserve"> wychodzący z CKT i CL/przychodzący do CKT i CL.</w:t>
      </w:r>
    </w:p>
    <w:p w:rsidR="007A0A9B" w:rsidRPr="00992AA5" w:rsidRDefault="007A0A9B" w:rsidP="00EB6C89">
      <w:pPr>
        <w:spacing w:before="120" w:line="240" w:lineRule="auto"/>
        <w:rPr>
          <w:b/>
          <w:lang w:val="pl-PL"/>
        </w:rPr>
      </w:pPr>
      <w:r w:rsidRPr="00992AA5">
        <w:rPr>
          <w:b/>
          <w:lang w:val="pl-PL"/>
        </w:rPr>
        <w:t>Dostęp bezprzewodowy</w:t>
      </w:r>
    </w:p>
    <w:p w:rsidR="007A0A9B" w:rsidRPr="00992AA5" w:rsidRDefault="007A0A9B" w:rsidP="00EB6C89">
      <w:pPr>
        <w:spacing w:before="120" w:line="240" w:lineRule="auto"/>
        <w:rPr>
          <w:lang w:val="pl-PL"/>
        </w:rPr>
      </w:pPr>
      <w:r w:rsidRPr="00992AA5">
        <w:rPr>
          <w:lang w:val="pl-PL"/>
        </w:rPr>
        <w:t>Systemy radiowego dostępu abonenckiego wykorzystujące elementy ruchomej publicznej sieci telekomunikacyjnej w celu realizacji usług na rzecz abonentów stacjonarnej publicznej sieci telekomunikacyjnej.</w:t>
      </w:r>
    </w:p>
    <w:p w:rsidR="007A0A9B" w:rsidRPr="00992AA5" w:rsidRDefault="007A0A9B" w:rsidP="00EB6C89">
      <w:pPr>
        <w:spacing w:before="120" w:line="240" w:lineRule="auto"/>
        <w:rPr>
          <w:b/>
          <w:lang w:val="pl-PL"/>
        </w:rPr>
      </w:pPr>
      <w:r w:rsidRPr="00992AA5">
        <w:rPr>
          <w:b/>
          <w:lang w:val="pl-PL"/>
        </w:rPr>
        <w:t>DSLAM</w:t>
      </w:r>
    </w:p>
    <w:p w:rsidR="007A0A9B" w:rsidRPr="00992AA5" w:rsidRDefault="007A0A9B" w:rsidP="00EB6C89">
      <w:pPr>
        <w:spacing w:before="120" w:line="240" w:lineRule="auto"/>
        <w:rPr>
          <w:lang w:val="pl-PL"/>
        </w:rPr>
      </w:pPr>
      <w:r w:rsidRPr="00992AA5">
        <w:rPr>
          <w:lang w:val="pl-PL"/>
        </w:rPr>
        <w:t xml:space="preserve">Multiplekser dostępowy instalowany w sieci operatora, zapewniający dostęp abonencki </w:t>
      </w:r>
      <w:r w:rsidR="0042417B" w:rsidRPr="00992AA5">
        <w:rPr>
          <w:lang w:val="pl-PL"/>
        </w:rPr>
        <w:br/>
      </w:r>
      <w:r w:rsidRPr="00992AA5">
        <w:rPr>
          <w:lang w:val="pl-PL"/>
        </w:rPr>
        <w:t>do szerokopasmowej sieci DSL.</w:t>
      </w:r>
    </w:p>
    <w:p w:rsidR="007A0A9B" w:rsidRPr="00992AA5" w:rsidRDefault="007A0A9B" w:rsidP="00EB6C89">
      <w:pPr>
        <w:spacing w:before="120" w:line="240" w:lineRule="auto"/>
        <w:rPr>
          <w:b/>
          <w:lang w:val="pl-PL"/>
        </w:rPr>
      </w:pPr>
      <w:proofErr w:type="spellStart"/>
      <w:r w:rsidRPr="00992AA5">
        <w:rPr>
          <w:b/>
          <w:lang w:val="pl-PL"/>
        </w:rPr>
        <w:t>Gateway</w:t>
      </w:r>
      <w:proofErr w:type="spellEnd"/>
      <w:r w:rsidRPr="00992AA5">
        <w:rPr>
          <w:b/>
          <w:lang w:val="pl-PL"/>
        </w:rPr>
        <w:t xml:space="preserve"> </w:t>
      </w:r>
      <w:proofErr w:type="spellStart"/>
      <w:r w:rsidRPr="00992AA5">
        <w:rPr>
          <w:b/>
          <w:lang w:val="pl-PL"/>
        </w:rPr>
        <w:t>PSTN-IP</w:t>
      </w:r>
      <w:proofErr w:type="spellEnd"/>
    </w:p>
    <w:p w:rsidR="007A0A9B" w:rsidRPr="00992AA5" w:rsidRDefault="007A0A9B" w:rsidP="00EB6C89">
      <w:pPr>
        <w:spacing w:before="120" w:line="240" w:lineRule="auto"/>
        <w:rPr>
          <w:lang w:val="pl-PL"/>
        </w:rPr>
      </w:pPr>
      <w:r w:rsidRPr="00992AA5">
        <w:rPr>
          <w:lang w:val="pl-PL"/>
        </w:rPr>
        <w:t>Urządzenia pośredniczące w realizacji połączeń pomiędzy sieciami PSTN i IP.</w:t>
      </w:r>
    </w:p>
    <w:p w:rsidR="007A0A9B" w:rsidRPr="00992AA5" w:rsidRDefault="007A0A9B" w:rsidP="00EB6C89">
      <w:pPr>
        <w:spacing w:before="120" w:line="240" w:lineRule="auto"/>
        <w:rPr>
          <w:lang w:val="pl-PL"/>
        </w:rPr>
      </w:pPr>
      <w:r w:rsidRPr="00992AA5">
        <w:rPr>
          <w:b/>
          <w:lang w:val="pl-PL"/>
        </w:rPr>
        <w:t>Infrastruktura linii napowietrznych</w:t>
      </w:r>
      <w:r w:rsidRPr="00992AA5">
        <w:rPr>
          <w:b/>
          <w:lang w:val="pl-PL"/>
        </w:rPr>
        <w:tab/>
      </w:r>
      <w:r w:rsidRPr="00992AA5">
        <w:rPr>
          <w:b/>
          <w:lang w:val="pl-PL"/>
        </w:rPr>
        <w:br/>
      </w:r>
      <w:r w:rsidRPr="00992AA5">
        <w:rPr>
          <w:lang w:val="pl-PL"/>
        </w:rPr>
        <w:t xml:space="preserve">Infrastruktura podtrzymująca linie napowietrzne (słupy, haki, mocowania do kabli, </w:t>
      </w:r>
      <w:r w:rsidR="0042417B" w:rsidRPr="00992AA5">
        <w:rPr>
          <w:lang w:val="pl-PL"/>
        </w:rPr>
        <w:br/>
      </w:r>
      <w:r w:rsidRPr="00992AA5">
        <w:rPr>
          <w:lang w:val="pl-PL"/>
        </w:rPr>
        <w:t>itp.) wykorzystywane do realizacji usług w stacjonarnej publicznej sieci telekomunikacyjnej.</w:t>
      </w:r>
    </w:p>
    <w:p w:rsidR="007A0A9B" w:rsidRPr="00992AA5" w:rsidRDefault="007A0A9B" w:rsidP="00EB6C89">
      <w:pPr>
        <w:spacing w:before="120" w:line="240" w:lineRule="auto"/>
        <w:jc w:val="left"/>
        <w:rPr>
          <w:b/>
          <w:lang w:val="pl-PL"/>
        </w:rPr>
      </w:pPr>
      <w:r w:rsidRPr="00992AA5">
        <w:rPr>
          <w:b/>
          <w:lang w:val="pl-PL"/>
        </w:rPr>
        <w:t>IP brzegowe</w:t>
      </w:r>
    </w:p>
    <w:p w:rsidR="007A0A9B" w:rsidRPr="00992AA5" w:rsidRDefault="007A0A9B" w:rsidP="00EB6C89">
      <w:pPr>
        <w:spacing w:before="120" w:line="240" w:lineRule="auto"/>
        <w:rPr>
          <w:lang w:val="pl-PL"/>
        </w:rPr>
      </w:pPr>
      <w:r w:rsidRPr="00992AA5">
        <w:rPr>
          <w:lang w:val="pl-PL"/>
        </w:rPr>
        <w:t>Routery IP warstwy brzegowej umożliwiające realizację dostępu do sieci pakietowej dla klientów usług IP w stacjonarnej publicznej sieci telekomunikacyjnej, zbieranie ruchu sieci ATM/FR oraz realizację kierowania ruchem do sieci warstwy IP szkielet.</w:t>
      </w:r>
    </w:p>
    <w:p w:rsidR="007A0A9B" w:rsidRPr="00992AA5" w:rsidRDefault="007A0A9B" w:rsidP="00EB6C89">
      <w:pPr>
        <w:spacing w:before="120" w:line="240" w:lineRule="auto"/>
        <w:rPr>
          <w:lang w:val="pl-PL"/>
        </w:rPr>
      </w:pPr>
      <w:r w:rsidRPr="00992AA5">
        <w:rPr>
          <w:b/>
          <w:lang w:val="pl-PL"/>
        </w:rPr>
        <w:t>IP szkieletowe</w:t>
      </w:r>
      <w:r w:rsidRPr="00992AA5">
        <w:rPr>
          <w:b/>
          <w:lang w:val="pl-PL"/>
        </w:rPr>
        <w:tab/>
      </w:r>
      <w:r w:rsidRPr="00992AA5">
        <w:rPr>
          <w:b/>
          <w:lang w:val="pl-PL"/>
        </w:rPr>
        <w:br/>
      </w:r>
      <w:r w:rsidRPr="00992AA5">
        <w:rPr>
          <w:lang w:val="pl-PL"/>
        </w:rPr>
        <w:t>Routery IP warstwy szkieletowej w stacjonarnej publicznej sieci telekomunikacyjnej, odpowiedzialne za kierowanie ruchu w warstwie szkieletowej IP oraz kierowanie ruchu do/z routerów IP warstwy usługowej i brzegowej, o ile te dwa ostatnie nie są ze sobą bezpośrednio połączone.</w:t>
      </w:r>
    </w:p>
    <w:p w:rsidR="007A0A9B" w:rsidRPr="00992AA5" w:rsidRDefault="007A0A9B" w:rsidP="00EB6C89">
      <w:pPr>
        <w:spacing w:before="120" w:line="240" w:lineRule="auto"/>
        <w:rPr>
          <w:b/>
          <w:lang w:val="pl-PL"/>
        </w:rPr>
      </w:pPr>
      <w:r w:rsidRPr="00992AA5">
        <w:rPr>
          <w:b/>
          <w:lang w:val="pl-PL"/>
        </w:rPr>
        <w:t>IP usługowe</w:t>
      </w:r>
    </w:p>
    <w:p w:rsidR="007A0A9B" w:rsidRPr="00992AA5" w:rsidRDefault="007A0A9B" w:rsidP="00EB6C89">
      <w:pPr>
        <w:spacing w:before="120" w:line="240" w:lineRule="auto"/>
        <w:rPr>
          <w:lang w:val="pl-PL"/>
        </w:rPr>
      </w:pPr>
      <w:r w:rsidRPr="00992AA5">
        <w:rPr>
          <w:lang w:val="pl-PL"/>
        </w:rPr>
        <w:t xml:space="preserve">Routery IP umożliwiające podłączenie abonentów usług szerokopasmowych w stacjonarnej publicznej sieci telekomunikacyjnej, przypisanie im adresacji oraz odpowiednich polityk </w:t>
      </w:r>
      <w:r w:rsidR="0042417B" w:rsidRPr="00992AA5">
        <w:rPr>
          <w:lang w:val="pl-PL"/>
        </w:rPr>
        <w:br/>
      </w:r>
      <w:r w:rsidRPr="00992AA5">
        <w:rPr>
          <w:lang w:val="pl-PL"/>
        </w:rPr>
        <w:t>w zależności od wykupionej przez abonenta opcji, agregację ruchu z warstwy dostępowej oraz dostęp do warstwy IP szkieletowej.</w:t>
      </w:r>
    </w:p>
    <w:p w:rsidR="007A0A9B" w:rsidRPr="00992AA5" w:rsidRDefault="007A0A9B" w:rsidP="00EB6C89">
      <w:pPr>
        <w:spacing w:before="120" w:line="240" w:lineRule="auto"/>
        <w:rPr>
          <w:b/>
          <w:lang w:val="pl-PL"/>
        </w:rPr>
      </w:pPr>
      <w:r w:rsidRPr="00992AA5">
        <w:rPr>
          <w:b/>
          <w:lang w:val="pl-PL"/>
        </w:rPr>
        <w:t>Kable miedziane sieci transmisyjnej</w:t>
      </w:r>
    </w:p>
    <w:p w:rsidR="007A0A9B" w:rsidRPr="00992AA5" w:rsidRDefault="007A0A9B" w:rsidP="00EB6C89">
      <w:pPr>
        <w:spacing w:before="120" w:line="240" w:lineRule="auto"/>
        <w:rPr>
          <w:lang w:val="pl-PL"/>
        </w:rPr>
      </w:pPr>
      <w:r w:rsidRPr="00992AA5">
        <w:rPr>
          <w:lang w:val="pl-PL"/>
        </w:rPr>
        <w:t>Wszelkiego rodzaju kable miedziane sieci transmisyjnej w stacjonarnej publicznej sieci telekomunikacyjnej.</w:t>
      </w:r>
    </w:p>
    <w:p w:rsidR="007A0A9B" w:rsidRPr="00992AA5" w:rsidRDefault="007A0A9B" w:rsidP="00EB6C89">
      <w:pPr>
        <w:spacing w:before="120" w:line="240" w:lineRule="auto"/>
        <w:rPr>
          <w:lang w:val="pl-PL"/>
        </w:rPr>
      </w:pPr>
      <w:r w:rsidRPr="00992AA5">
        <w:rPr>
          <w:b/>
          <w:lang w:val="pl-PL"/>
        </w:rPr>
        <w:t>Kable światłowodowe sieci transmisyjnej</w:t>
      </w:r>
      <w:r w:rsidRPr="00992AA5">
        <w:rPr>
          <w:b/>
          <w:lang w:val="pl-PL"/>
        </w:rPr>
        <w:tab/>
      </w:r>
      <w:r w:rsidRPr="00992AA5">
        <w:rPr>
          <w:b/>
          <w:lang w:val="pl-PL"/>
        </w:rPr>
        <w:br/>
      </w:r>
      <w:r w:rsidRPr="00992AA5">
        <w:rPr>
          <w:lang w:val="pl-PL"/>
        </w:rPr>
        <w:t>Wszelkiego rodzaju kable światłowodowe sieci transmisyjnej (bez kanalizacji) w stacjonarnej publicznej sieci telekomunikacyjnej i w ruchomej publicznej sieci telekomunikacyjnej..</w:t>
      </w:r>
    </w:p>
    <w:p w:rsidR="007A0A9B" w:rsidRPr="00992AA5" w:rsidRDefault="007A0A9B" w:rsidP="00EB6C89">
      <w:pPr>
        <w:spacing w:before="120" w:line="240" w:lineRule="auto"/>
        <w:rPr>
          <w:b/>
          <w:lang w:val="pl-PL"/>
        </w:rPr>
      </w:pPr>
      <w:r w:rsidRPr="00992AA5">
        <w:rPr>
          <w:b/>
          <w:lang w:val="pl-PL"/>
        </w:rPr>
        <w:t>Kanalizacja i infrastruktura</w:t>
      </w:r>
    </w:p>
    <w:p w:rsidR="007A0A9B" w:rsidRPr="00992AA5" w:rsidRDefault="007A0A9B" w:rsidP="00EB6C89">
      <w:pPr>
        <w:spacing w:before="120" w:line="240" w:lineRule="auto"/>
        <w:rPr>
          <w:lang w:val="pl-PL"/>
        </w:rPr>
      </w:pPr>
      <w:r w:rsidRPr="00992AA5">
        <w:rPr>
          <w:lang w:val="pl-PL"/>
        </w:rPr>
        <w:t>Infrastruktura teletechniczna, w której ułożone są kable telekomunikacyjne w stacjonarnej publicznej sieci telekomunikacyjnej, składająca się z rur PCV, studni kablowych magistralnych i rozdzielczych.</w:t>
      </w:r>
    </w:p>
    <w:p w:rsidR="007A0A9B" w:rsidRPr="00992AA5" w:rsidRDefault="007A0A9B" w:rsidP="00EB6C89">
      <w:pPr>
        <w:spacing w:before="120" w:line="240" w:lineRule="auto"/>
        <w:rPr>
          <w:lang w:val="pl-PL"/>
        </w:rPr>
      </w:pPr>
      <w:r w:rsidRPr="00992AA5">
        <w:rPr>
          <w:b/>
          <w:lang w:val="pl-PL"/>
        </w:rPr>
        <w:lastRenderedPageBreak/>
        <w:t>Kanalizacja sieci transmisyjnej</w:t>
      </w:r>
      <w:r w:rsidRPr="00992AA5">
        <w:rPr>
          <w:b/>
          <w:lang w:val="pl-PL"/>
        </w:rPr>
        <w:tab/>
      </w:r>
      <w:r w:rsidRPr="00992AA5">
        <w:rPr>
          <w:b/>
          <w:lang w:val="pl-PL"/>
        </w:rPr>
        <w:br/>
      </w:r>
      <w:r w:rsidRPr="00992AA5">
        <w:rPr>
          <w:lang w:val="pl-PL"/>
        </w:rPr>
        <w:t>Są to środki trwałe (rury PCV, HDPE) niezbędne do wybudowania linii światłowodowej (bez włókien światłowodowych) w stacjonarnej publicznej sieci telekomunikacyjnej i kabli miedzianych w tej sieci.</w:t>
      </w:r>
    </w:p>
    <w:p w:rsidR="007A0A9B" w:rsidRPr="00992AA5" w:rsidRDefault="007A0A9B" w:rsidP="00EB6C89">
      <w:pPr>
        <w:spacing w:before="120" w:line="240" w:lineRule="auto"/>
        <w:rPr>
          <w:b/>
          <w:lang w:val="pl-PL"/>
        </w:rPr>
      </w:pPr>
      <w:r w:rsidRPr="00992AA5">
        <w:rPr>
          <w:b/>
          <w:lang w:val="pl-PL"/>
        </w:rPr>
        <w:t>Koncentratory lokalne</w:t>
      </w:r>
    </w:p>
    <w:p w:rsidR="007A0A9B" w:rsidRPr="00992AA5" w:rsidRDefault="007A0A9B" w:rsidP="00EB6C89">
      <w:pPr>
        <w:spacing w:before="120" w:line="240" w:lineRule="auto"/>
        <w:rPr>
          <w:lang w:val="pl-PL"/>
        </w:rPr>
      </w:pPr>
      <w:r w:rsidRPr="00992AA5">
        <w:rPr>
          <w:lang w:val="pl-PL"/>
        </w:rPr>
        <w:t>Urządzenie umożliwiające włączenie wielu linii telefonicznych w stacjonarnej publicznej sieci telekomunikacyjnej w jeden cyfrowy tor telekomunikacyjny o podwyższonej przepływności, zlokalizowany przy hoście centrali telefonicznej.</w:t>
      </w:r>
    </w:p>
    <w:p w:rsidR="007A0A9B" w:rsidRPr="00992AA5" w:rsidRDefault="007A0A9B" w:rsidP="00EB6C89">
      <w:pPr>
        <w:spacing w:before="120" w:line="240" w:lineRule="auto"/>
        <w:rPr>
          <w:lang w:val="pl-PL"/>
        </w:rPr>
      </w:pPr>
      <w:r w:rsidRPr="00992AA5">
        <w:rPr>
          <w:b/>
          <w:lang w:val="pl-PL"/>
        </w:rPr>
        <w:t>Modemy optyczne</w:t>
      </w:r>
      <w:r w:rsidRPr="00992AA5">
        <w:rPr>
          <w:b/>
          <w:lang w:val="pl-PL"/>
        </w:rPr>
        <w:tab/>
      </w:r>
      <w:r w:rsidRPr="00992AA5">
        <w:rPr>
          <w:b/>
          <w:lang w:val="pl-PL"/>
        </w:rPr>
        <w:br/>
      </w:r>
      <w:r w:rsidRPr="00992AA5">
        <w:rPr>
          <w:lang w:val="pl-PL"/>
        </w:rPr>
        <w:t>Są to urządzenia transmisyjne wykorzystujące, jako medium transmisyjne kabel światłowodowy.</w:t>
      </w:r>
    </w:p>
    <w:p w:rsidR="007A0A9B" w:rsidRPr="00992AA5" w:rsidRDefault="007A0A9B" w:rsidP="00EB6C89">
      <w:pPr>
        <w:spacing w:before="120" w:line="240" w:lineRule="auto"/>
        <w:rPr>
          <w:b/>
          <w:lang w:val="pl-PL"/>
        </w:rPr>
      </w:pPr>
      <w:r w:rsidRPr="00992AA5">
        <w:rPr>
          <w:b/>
          <w:lang w:val="pl-PL"/>
        </w:rPr>
        <w:t>Obiekty wyniesione (Wyniesione stopnie abonenckie)</w:t>
      </w:r>
    </w:p>
    <w:p w:rsidR="007A0A9B" w:rsidRPr="00992AA5" w:rsidRDefault="007A0A9B" w:rsidP="00EB6C89">
      <w:pPr>
        <w:spacing w:before="120" w:line="240" w:lineRule="auto"/>
        <w:rPr>
          <w:lang w:val="pl-PL"/>
        </w:rPr>
      </w:pPr>
      <w:r w:rsidRPr="00992AA5">
        <w:rPr>
          <w:lang w:val="pl-PL"/>
        </w:rPr>
        <w:t>Są to wyniesione jednostki abonenckie central cyfrowych w stacjonarnej publicznej sieci telekomunikacyjnej.</w:t>
      </w:r>
    </w:p>
    <w:p w:rsidR="007A0A9B" w:rsidRPr="00992AA5" w:rsidRDefault="007A0A9B" w:rsidP="00EB6C89">
      <w:pPr>
        <w:spacing w:before="120" w:line="240" w:lineRule="auto"/>
        <w:rPr>
          <w:b/>
          <w:lang w:val="pl-PL"/>
        </w:rPr>
      </w:pPr>
      <w:r w:rsidRPr="00992AA5">
        <w:rPr>
          <w:b/>
          <w:lang w:val="pl-PL"/>
        </w:rPr>
        <w:t>PCM</w:t>
      </w:r>
    </w:p>
    <w:p w:rsidR="007A0A9B" w:rsidRPr="00992AA5" w:rsidRDefault="007A0A9B" w:rsidP="00EB6C89">
      <w:pPr>
        <w:spacing w:before="120" w:line="240" w:lineRule="auto"/>
        <w:rPr>
          <w:lang w:val="pl-PL"/>
        </w:rPr>
      </w:pPr>
      <w:r w:rsidRPr="00992AA5">
        <w:rPr>
          <w:lang w:val="pl-PL"/>
        </w:rPr>
        <w:t>Urządzenia wykorzystywane do zwielokrotniania linii abonenckiej.</w:t>
      </w:r>
    </w:p>
    <w:p w:rsidR="007A0A9B" w:rsidRPr="00992AA5" w:rsidRDefault="007A0A9B" w:rsidP="00EB6C89">
      <w:pPr>
        <w:spacing w:before="120" w:line="240" w:lineRule="auto"/>
        <w:rPr>
          <w:b/>
          <w:lang w:val="pl-PL"/>
        </w:rPr>
      </w:pPr>
      <w:r w:rsidRPr="00992AA5">
        <w:rPr>
          <w:b/>
          <w:lang w:val="pl-PL"/>
        </w:rPr>
        <w:t>Przełącznica główna (MDF)</w:t>
      </w:r>
    </w:p>
    <w:p w:rsidR="007A0A9B" w:rsidRPr="00992AA5" w:rsidRDefault="007A0A9B" w:rsidP="00EB6C89">
      <w:pPr>
        <w:spacing w:before="120" w:line="240" w:lineRule="auto"/>
        <w:rPr>
          <w:lang w:val="pl-PL"/>
        </w:rPr>
      </w:pPr>
      <w:r w:rsidRPr="00992AA5">
        <w:rPr>
          <w:lang w:val="pl-PL"/>
        </w:rPr>
        <w:t>Zespół łączówek, na których zakończone są kable magistralne.</w:t>
      </w:r>
    </w:p>
    <w:p w:rsidR="007A0A9B" w:rsidRPr="00992AA5" w:rsidRDefault="007A0A9B" w:rsidP="00EB6C89">
      <w:pPr>
        <w:spacing w:before="120" w:line="240" w:lineRule="auto"/>
        <w:rPr>
          <w:b/>
          <w:lang w:val="pl-PL"/>
        </w:rPr>
      </w:pPr>
      <w:r w:rsidRPr="00992AA5">
        <w:rPr>
          <w:b/>
          <w:lang w:val="pl-PL"/>
        </w:rPr>
        <w:t>Przełącznica optyczna</w:t>
      </w:r>
    </w:p>
    <w:p w:rsidR="007A0A9B" w:rsidRPr="00992AA5" w:rsidRDefault="007A0A9B" w:rsidP="00EB6C89">
      <w:pPr>
        <w:spacing w:before="120" w:line="240" w:lineRule="auto"/>
        <w:rPr>
          <w:lang w:val="pl-PL"/>
        </w:rPr>
      </w:pPr>
      <w:r w:rsidRPr="00992AA5">
        <w:rPr>
          <w:lang w:val="pl-PL"/>
        </w:rPr>
        <w:t>Zespół urządzeń służących do zakańczania kabli światłowodowych w stacjonarnej publicznej sieci telekomunikacyjnej.</w:t>
      </w:r>
    </w:p>
    <w:p w:rsidR="007A0A9B" w:rsidRPr="00992AA5" w:rsidRDefault="007A0A9B" w:rsidP="00EB6C89">
      <w:pPr>
        <w:spacing w:before="120" w:line="240" w:lineRule="auto"/>
        <w:rPr>
          <w:b/>
          <w:lang w:val="pl-PL"/>
        </w:rPr>
      </w:pPr>
      <w:r w:rsidRPr="00992AA5">
        <w:rPr>
          <w:b/>
          <w:lang w:val="pl-PL"/>
        </w:rPr>
        <w:t>Publiczne Aparaty Samoinkasujące</w:t>
      </w:r>
    </w:p>
    <w:p w:rsidR="007A0A9B" w:rsidRPr="00992AA5" w:rsidRDefault="007A0A9B" w:rsidP="00EB6C89">
      <w:pPr>
        <w:spacing w:before="120" w:line="240" w:lineRule="auto"/>
        <w:rPr>
          <w:lang w:val="pl-PL"/>
        </w:rPr>
      </w:pPr>
      <w:r w:rsidRPr="00992AA5">
        <w:rPr>
          <w:lang w:val="pl-PL"/>
        </w:rPr>
        <w:t>Aparaty telefoniczne użytku publicznego wraz z systemem zarządzania oraz pozostałą infrastrukturą związaną ze świadczeniem tej usługi.</w:t>
      </w:r>
    </w:p>
    <w:p w:rsidR="007A0A9B" w:rsidRPr="00992AA5" w:rsidRDefault="007A0A9B" w:rsidP="00EB6C89">
      <w:pPr>
        <w:spacing w:before="120" w:line="240" w:lineRule="auto"/>
        <w:rPr>
          <w:lang w:val="pl-PL"/>
        </w:rPr>
      </w:pPr>
      <w:r w:rsidRPr="00992AA5">
        <w:rPr>
          <w:b/>
          <w:lang w:val="pl-PL"/>
        </w:rPr>
        <w:t>Puszka, skrzynka lub słupek kablowy</w:t>
      </w:r>
      <w:r w:rsidRPr="00992AA5">
        <w:rPr>
          <w:b/>
          <w:lang w:val="pl-PL"/>
        </w:rPr>
        <w:tab/>
      </w:r>
      <w:r w:rsidRPr="00992AA5">
        <w:rPr>
          <w:b/>
          <w:lang w:val="pl-PL"/>
        </w:rPr>
        <w:br/>
      </w:r>
      <w:r w:rsidRPr="00992AA5">
        <w:rPr>
          <w:lang w:val="pl-PL"/>
        </w:rPr>
        <w:t>Elementy sieci dostępowej stanowiące zakończenie sieci rozdzielczej.</w:t>
      </w:r>
    </w:p>
    <w:p w:rsidR="007A0A9B" w:rsidRPr="00992AA5" w:rsidRDefault="007A0A9B" w:rsidP="00EB6C89">
      <w:pPr>
        <w:spacing w:before="120" w:line="240" w:lineRule="auto"/>
        <w:rPr>
          <w:b/>
          <w:lang w:val="pl-PL"/>
        </w:rPr>
      </w:pPr>
      <w:r w:rsidRPr="00992AA5">
        <w:rPr>
          <w:b/>
          <w:lang w:val="pl-PL"/>
        </w:rPr>
        <w:t>Radiolinie</w:t>
      </w:r>
    </w:p>
    <w:p w:rsidR="007A0A9B" w:rsidRPr="00A37BE6" w:rsidRDefault="007A0A9B" w:rsidP="00EB6C89">
      <w:pPr>
        <w:spacing w:before="120" w:line="240" w:lineRule="auto"/>
        <w:rPr>
          <w:lang w:val="pl-PL"/>
        </w:rPr>
      </w:pPr>
      <w:r w:rsidRPr="00992AA5">
        <w:rPr>
          <w:lang w:val="pl-PL"/>
        </w:rPr>
        <w:t>Zespół urządzeń umożliwiających przesyłanie fal radiowych w systemach naziemnych transmitujące sygnały telefoniczne, telewizyjne i inne usługi świadczone na rzecz abonentów w stacjonarnej publicznej sieci telekomunikacyjnej, w tym urządzenia nadawcze, urządzenia odbiorcze, anteny, tory zasilające</w:t>
      </w:r>
    </w:p>
    <w:p w:rsidR="007A0A9B" w:rsidRPr="00992AA5" w:rsidRDefault="007A0A9B" w:rsidP="00EB6C89">
      <w:pPr>
        <w:spacing w:before="120" w:line="240" w:lineRule="auto"/>
        <w:rPr>
          <w:b/>
          <w:lang w:val="pl-PL"/>
        </w:rPr>
      </w:pPr>
      <w:r w:rsidRPr="00992AA5">
        <w:rPr>
          <w:b/>
          <w:lang w:val="pl-PL"/>
        </w:rPr>
        <w:t>Routery IPVPN</w:t>
      </w:r>
    </w:p>
    <w:p w:rsidR="007A0A9B" w:rsidRPr="00992AA5" w:rsidRDefault="007A0A9B" w:rsidP="00EB6C89">
      <w:pPr>
        <w:spacing w:before="120" w:line="240" w:lineRule="auto"/>
        <w:rPr>
          <w:lang w:val="pl-PL"/>
        </w:rPr>
      </w:pPr>
      <w:r w:rsidRPr="00992AA5">
        <w:rPr>
          <w:lang w:val="pl-PL"/>
        </w:rPr>
        <w:t xml:space="preserve">Urządzenia umożliwiające realizację połączeń w ramach wirtualnych sieci prywatnych VPN realizowanych na rzecz abonentów stacjonarnej publicznej sieci telekomunikacyjnej </w:t>
      </w:r>
      <w:r w:rsidR="0042417B" w:rsidRPr="00992AA5">
        <w:rPr>
          <w:lang w:val="pl-PL"/>
        </w:rPr>
        <w:br/>
      </w:r>
      <w:r w:rsidRPr="00992AA5">
        <w:rPr>
          <w:lang w:val="pl-PL"/>
        </w:rPr>
        <w:t>w oparciu o istniejącą publiczną siec IP.</w:t>
      </w:r>
    </w:p>
    <w:p w:rsidR="007A0A9B" w:rsidRPr="00992AA5" w:rsidRDefault="007A0A9B" w:rsidP="00EB6C89">
      <w:pPr>
        <w:spacing w:before="120" w:line="240" w:lineRule="auto"/>
        <w:rPr>
          <w:lang w:val="pl-PL"/>
        </w:rPr>
      </w:pPr>
      <w:r w:rsidRPr="00992AA5">
        <w:rPr>
          <w:b/>
          <w:lang w:val="pl-PL"/>
        </w:rPr>
        <w:t xml:space="preserve">Sieć dostępowa </w:t>
      </w:r>
      <w:r w:rsidRPr="00992AA5">
        <w:rPr>
          <w:b/>
          <w:lang w:val="pl-PL"/>
        </w:rPr>
        <w:tab/>
      </w:r>
      <w:r w:rsidRPr="00992AA5">
        <w:rPr>
          <w:b/>
          <w:lang w:val="pl-PL"/>
        </w:rPr>
        <w:br/>
      </w:r>
      <w:r w:rsidRPr="00992AA5">
        <w:rPr>
          <w:lang w:val="pl-PL"/>
        </w:rPr>
        <w:t>Odcinek sieci telekomunikacyjnej pomiędzy przełącznicą główną MDF a zakończeniem sieci rozdzielczej, które stanowi puszka, skrzynka lub słupek kablowy, wraz z urządzeniami działającymi na tym odcinku. Odcinek ten nie uwzględnia przyłącza abonenckiego.</w:t>
      </w:r>
    </w:p>
    <w:p w:rsidR="007A0A9B" w:rsidRDefault="007A0A9B" w:rsidP="00EB6C89">
      <w:pPr>
        <w:spacing w:before="120" w:line="240" w:lineRule="auto"/>
        <w:rPr>
          <w:lang w:val="pl-PL"/>
        </w:rPr>
      </w:pPr>
      <w:r w:rsidRPr="00992AA5">
        <w:rPr>
          <w:b/>
          <w:lang w:val="pl-PL"/>
        </w:rPr>
        <w:t>Sieć inteligentna</w:t>
      </w:r>
      <w:r w:rsidRPr="00992AA5">
        <w:rPr>
          <w:b/>
          <w:lang w:val="pl-PL"/>
        </w:rPr>
        <w:tab/>
      </w:r>
      <w:r w:rsidRPr="00992AA5">
        <w:rPr>
          <w:b/>
          <w:lang w:val="pl-PL"/>
        </w:rPr>
        <w:br/>
      </w:r>
      <w:r w:rsidRPr="00992AA5">
        <w:rPr>
          <w:lang w:val="pl-PL"/>
        </w:rPr>
        <w:t xml:space="preserve">Fragment infrastruktury telekomunikacyjnej służący do realizacji grup usług telefonicznych </w:t>
      </w:r>
      <w:r w:rsidR="009E24ED">
        <w:rPr>
          <w:lang w:val="pl-PL"/>
        </w:rPr>
        <w:br/>
      </w:r>
      <w:r w:rsidRPr="00992AA5">
        <w:rPr>
          <w:lang w:val="pl-PL"/>
        </w:rPr>
        <w:t>w stacjonarnej publicznej sieci telekomunikacyjnej (np. są to usługi wyróżnione prefiksem 030x, 070x 080x).</w:t>
      </w:r>
    </w:p>
    <w:p w:rsidR="009E24ED" w:rsidRPr="00992AA5" w:rsidRDefault="009E24ED" w:rsidP="00EB6C89">
      <w:pPr>
        <w:spacing w:before="120" w:line="240" w:lineRule="auto"/>
        <w:rPr>
          <w:lang w:val="pl-PL"/>
        </w:rPr>
      </w:pPr>
    </w:p>
    <w:p w:rsidR="007A0A9B" w:rsidRPr="00992AA5" w:rsidRDefault="007A0A9B" w:rsidP="00EB6C89">
      <w:pPr>
        <w:spacing w:before="120" w:line="240" w:lineRule="auto"/>
        <w:rPr>
          <w:b/>
          <w:lang w:val="pl-PL"/>
        </w:rPr>
      </w:pPr>
      <w:r w:rsidRPr="00992AA5">
        <w:rPr>
          <w:b/>
          <w:lang w:val="pl-PL"/>
        </w:rPr>
        <w:lastRenderedPageBreak/>
        <w:t xml:space="preserve">Sieć magistralna </w:t>
      </w:r>
    </w:p>
    <w:p w:rsidR="007A0A9B" w:rsidRPr="00992AA5" w:rsidRDefault="007A0A9B" w:rsidP="00EB6C89">
      <w:pPr>
        <w:spacing w:before="120" w:line="240" w:lineRule="auto"/>
        <w:rPr>
          <w:lang w:val="pl-PL"/>
        </w:rPr>
      </w:pPr>
      <w:r w:rsidRPr="00992AA5">
        <w:rPr>
          <w:lang w:val="pl-PL"/>
        </w:rPr>
        <w:t>Część pętli lokalnej pomiędzy przełącznicą MDF, a szafką kablową.</w:t>
      </w:r>
    </w:p>
    <w:p w:rsidR="007A0A9B" w:rsidRPr="00992AA5" w:rsidRDefault="007A0A9B" w:rsidP="00EB6C89">
      <w:pPr>
        <w:spacing w:before="120" w:line="240" w:lineRule="auto"/>
        <w:rPr>
          <w:b/>
          <w:lang w:val="pl-PL"/>
        </w:rPr>
      </w:pPr>
      <w:r w:rsidRPr="00992AA5">
        <w:rPr>
          <w:b/>
          <w:lang w:val="pl-PL"/>
        </w:rPr>
        <w:t xml:space="preserve">Sieć MSA </w:t>
      </w:r>
    </w:p>
    <w:p w:rsidR="007A0A9B" w:rsidRPr="00992AA5" w:rsidRDefault="007A0A9B" w:rsidP="00EB6C89">
      <w:pPr>
        <w:spacing w:before="120" w:line="240" w:lineRule="auto"/>
        <w:rPr>
          <w:lang w:val="pl-PL"/>
        </w:rPr>
      </w:pPr>
      <w:r w:rsidRPr="00992AA5">
        <w:rPr>
          <w:lang w:val="pl-PL"/>
        </w:rPr>
        <w:t>Multimedialna sieć agregacyjna, sieć realizująca funkcje agregacji i przesyłu ruchu pakietowego (</w:t>
      </w:r>
      <w:proofErr w:type="spellStart"/>
      <w:r w:rsidRPr="00992AA5">
        <w:rPr>
          <w:lang w:val="pl-PL"/>
        </w:rPr>
        <w:t>unicast</w:t>
      </w:r>
      <w:proofErr w:type="spellEnd"/>
      <w:r w:rsidRPr="00992AA5">
        <w:rPr>
          <w:lang w:val="pl-PL"/>
        </w:rPr>
        <w:t>) od urządzeń dostępowych do sieci warstw wyższych oraz przesył ruchu pakietowego na potrzeby usług multimedialnych (</w:t>
      </w:r>
      <w:proofErr w:type="spellStart"/>
      <w:r w:rsidRPr="00992AA5">
        <w:rPr>
          <w:lang w:val="pl-PL"/>
        </w:rPr>
        <w:t>multicast</w:t>
      </w:r>
      <w:proofErr w:type="spellEnd"/>
      <w:r w:rsidRPr="00992AA5">
        <w:rPr>
          <w:lang w:val="pl-PL"/>
        </w:rPr>
        <w:t>) w stacjonarnej publicznej sieci telekomunikacyjnej.</w:t>
      </w:r>
    </w:p>
    <w:p w:rsidR="007A0A9B" w:rsidRPr="00992AA5" w:rsidRDefault="007A0A9B" w:rsidP="00EB6C89">
      <w:pPr>
        <w:spacing w:before="120" w:line="240" w:lineRule="auto"/>
        <w:rPr>
          <w:b/>
          <w:lang w:val="pl-PL"/>
        </w:rPr>
      </w:pPr>
      <w:r w:rsidRPr="00992AA5">
        <w:rPr>
          <w:b/>
          <w:lang w:val="pl-PL"/>
        </w:rPr>
        <w:t>Sieć rozdzielcza</w:t>
      </w:r>
    </w:p>
    <w:p w:rsidR="007A0A9B" w:rsidRPr="00992AA5" w:rsidRDefault="007A0A9B" w:rsidP="00EB6C89">
      <w:pPr>
        <w:spacing w:before="120" w:line="240" w:lineRule="auto"/>
        <w:rPr>
          <w:lang w:val="pl-PL"/>
        </w:rPr>
      </w:pPr>
      <w:r w:rsidRPr="00992AA5">
        <w:rPr>
          <w:lang w:val="pl-PL"/>
        </w:rPr>
        <w:t>Część pętli lokalnej pomiędzy szafką kablową a puszką, słupkiem lub skrzynką kablową.</w:t>
      </w:r>
    </w:p>
    <w:p w:rsidR="007A0A9B" w:rsidRPr="00992AA5" w:rsidRDefault="007A0A9B" w:rsidP="00EB6C89">
      <w:pPr>
        <w:spacing w:before="120" w:line="240" w:lineRule="auto"/>
        <w:rPr>
          <w:b/>
          <w:lang w:val="pl-PL"/>
        </w:rPr>
      </w:pPr>
      <w:r w:rsidRPr="00992AA5">
        <w:rPr>
          <w:b/>
          <w:lang w:val="pl-PL"/>
        </w:rPr>
        <w:t>Sieć sygnalizacyjna</w:t>
      </w:r>
    </w:p>
    <w:p w:rsidR="007A0A9B" w:rsidRPr="00992AA5" w:rsidRDefault="007A0A9B" w:rsidP="00EB6C89">
      <w:pPr>
        <w:spacing w:before="120" w:line="240" w:lineRule="auto"/>
        <w:rPr>
          <w:lang w:val="pl-PL"/>
        </w:rPr>
      </w:pPr>
      <w:r w:rsidRPr="00992AA5">
        <w:rPr>
          <w:lang w:val="pl-PL"/>
        </w:rPr>
        <w:t>Fragment sieci telekomunikacyjnej umożliwiający realizację protokołów sygnalizacji międzycentralowej SS7 w stacjonarnej publicznej sieci telekomunikacyjnej.</w:t>
      </w:r>
    </w:p>
    <w:p w:rsidR="007A0A9B" w:rsidRPr="00992AA5" w:rsidRDefault="007A0A9B" w:rsidP="00EB6C89">
      <w:pPr>
        <w:spacing w:before="120" w:line="240" w:lineRule="auto"/>
        <w:rPr>
          <w:b/>
          <w:lang w:val="pl-PL"/>
        </w:rPr>
      </w:pPr>
      <w:r w:rsidRPr="00992AA5">
        <w:rPr>
          <w:b/>
          <w:lang w:val="pl-PL"/>
        </w:rPr>
        <w:t xml:space="preserve">Sieć transmisyjna </w:t>
      </w:r>
    </w:p>
    <w:p w:rsidR="007A0A9B" w:rsidRPr="00992AA5" w:rsidRDefault="007A0A9B" w:rsidP="00EB6C89">
      <w:pPr>
        <w:spacing w:before="120" w:line="240" w:lineRule="auto"/>
        <w:rPr>
          <w:lang w:val="pl-PL"/>
        </w:rPr>
      </w:pPr>
      <w:r w:rsidRPr="00992AA5">
        <w:rPr>
          <w:lang w:val="pl-PL"/>
        </w:rPr>
        <w:t>Krotnice teletransmisyjne wraz z siecią kablową i przełącznicami w stacjonarnej publicznej sieci telekomunikacyjnej.</w:t>
      </w:r>
    </w:p>
    <w:p w:rsidR="007A0A9B" w:rsidRPr="00992AA5" w:rsidRDefault="007A0A9B" w:rsidP="00EB6C89">
      <w:pPr>
        <w:spacing w:before="120" w:line="240" w:lineRule="auto"/>
        <w:rPr>
          <w:lang w:val="pl-PL"/>
        </w:rPr>
      </w:pPr>
      <w:r w:rsidRPr="00992AA5">
        <w:rPr>
          <w:b/>
          <w:lang w:val="pl-PL"/>
        </w:rPr>
        <w:t>Siłownie telekomunikacyjne</w:t>
      </w:r>
      <w:r w:rsidRPr="00992AA5">
        <w:rPr>
          <w:b/>
          <w:lang w:val="pl-PL"/>
        </w:rPr>
        <w:tab/>
      </w:r>
      <w:r w:rsidRPr="00992AA5">
        <w:rPr>
          <w:b/>
          <w:lang w:val="pl-PL"/>
        </w:rPr>
        <w:br/>
      </w:r>
      <w:r w:rsidRPr="00992AA5">
        <w:rPr>
          <w:lang w:val="pl-PL"/>
        </w:rPr>
        <w:t>Urządzenia zapewniające zasilanie urządzeń telekomunikacyjnych w stacjonarnej publicznej sieci telekomunikacyjnej.</w:t>
      </w:r>
    </w:p>
    <w:p w:rsidR="007A0A9B" w:rsidRPr="00992AA5" w:rsidRDefault="007A0A9B" w:rsidP="00EB6C89">
      <w:pPr>
        <w:spacing w:before="120" w:line="240" w:lineRule="auto"/>
        <w:rPr>
          <w:b/>
          <w:lang w:val="pl-PL"/>
        </w:rPr>
      </w:pPr>
      <w:r w:rsidRPr="00992AA5">
        <w:rPr>
          <w:b/>
          <w:lang w:val="pl-PL"/>
        </w:rPr>
        <w:t>System Nadzoru</w:t>
      </w:r>
    </w:p>
    <w:p w:rsidR="007A0A9B" w:rsidRPr="00992AA5" w:rsidRDefault="007A0A9B" w:rsidP="00EB6C89">
      <w:pPr>
        <w:spacing w:before="120" w:line="240" w:lineRule="auto"/>
        <w:rPr>
          <w:lang w:val="pl-PL"/>
        </w:rPr>
      </w:pPr>
      <w:r w:rsidRPr="00992AA5">
        <w:rPr>
          <w:lang w:val="pl-PL"/>
        </w:rPr>
        <w:t>System zapewniający operatorowi możliwość scentralizowanego zarządzania, monitorowania oraz zdalnego konfigurowania elementów stacjonarnej publicznej sieci telekomunikacyjnej.</w:t>
      </w:r>
    </w:p>
    <w:p w:rsidR="007A0A9B" w:rsidRPr="00992AA5" w:rsidRDefault="007A0A9B" w:rsidP="00EB6C89">
      <w:pPr>
        <w:spacing w:before="120" w:line="240" w:lineRule="auto"/>
        <w:rPr>
          <w:lang w:val="pl-PL"/>
        </w:rPr>
      </w:pPr>
      <w:r w:rsidRPr="00992AA5">
        <w:rPr>
          <w:b/>
          <w:lang w:val="pl-PL"/>
        </w:rPr>
        <w:t>Systemy dostępowe</w:t>
      </w:r>
      <w:r w:rsidRPr="00992AA5">
        <w:rPr>
          <w:b/>
          <w:lang w:val="pl-PL"/>
        </w:rPr>
        <w:tab/>
      </w:r>
      <w:r w:rsidRPr="00992AA5">
        <w:rPr>
          <w:b/>
          <w:lang w:val="pl-PL"/>
        </w:rPr>
        <w:br/>
      </w:r>
      <w:r w:rsidRPr="00992AA5">
        <w:rPr>
          <w:lang w:val="pl-PL"/>
        </w:rPr>
        <w:t>Systemy realizujące transmisję oraz sygnalizację pomiędzy abonentem, a urządzeniem dedykowanym do świadczenia usług w stacjonarnej publicznej sieci telekomunikacyjnej. Poprzez systemy dostępowe możliwe jest świadczenie usług głosowych, usług szerokopasmowych lub usług transmisji danych.</w:t>
      </w:r>
    </w:p>
    <w:p w:rsidR="007A0A9B" w:rsidRPr="00992AA5" w:rsidRDefault="007A0A9B" w:rsidP="00EB6C89">
      <w:pPr>
        <w:spacing w:before="120" w:line="240" w:lineRule="auto"/>
        <w:rPr>
          <w:b/>
          <w:lang w:val="pl-PL"/>
        </w:rPr>
      </w:pPr>
      <w:r w:rsidRPr="00992AA5">
        <w:rPr>
          <w:b/>
          <w:lang w:val="pl-PL"/>
        </w:rPr>
        <w:t>Szafa (szafka) kablowa</w:t>
      </w:r>
    </w:p>
    <w:p w:rsidR="007A0A9B" w:rsidRPr="00992AA5" w:rsidRDefault="007A0A9B" w:rsidP="00EB6C89">
      <w:pPr>
        <w:spacing w:before="120" w:line="240" w:lineRule="auto"/>
        <w:rPr>
          <w:lang w:val="pl-PL"/>
        </w:rPr>
      </w:pPr>
      <w:r w:rsidRPr="00992AA5">
        <w:rPr>
          <w:lang w:val="pl-PL"/>
        </w:rPr>
        <w:t>Elementy sieci dostępowej stanowiące punkty rozdzielcze kabli magistralnych.</w:t>
      </w:r>
    </w:p>
    <w:p w:rsidR="007A0A9B" w:rsidRPr="00992AA5" w:rsidRDefault="007A0A9B" w:rsidP="00EB6C89">
      <w:pPr>
        <w:spacing w:before="120" w:line="240" w:lineRule="auto"/>
        <w:rPr>
          <w:b/>
          <w:lang w:val="pl-PL"/>
        </w:rPr>
      </w:pPr>
      <w:r w:rsidRPr="00992AA5">
        <w:rPr>
          <w:b/>
          <w:lang w:val="pl-PL"/>
        </w:rPr>
        <w:t xml:space="preserve">Urządzenia </w:t>
      </w:r>
      <w:proofErr w:type="spellStart"/>
      <w:r w:rsidRPr="00992AA5">
        <w:rPr>
          <w:b/>
          <w:lang w:val="pl-PL"/>
        </w:rPr>
        <w:t>autentykacyjne</w:t>
      </w:r>
      <w:proofErr w:type="spellEnd"/>
    </w:p>
    <w:p w:rsidR="007A0A9B" w:rsidRPr="00992AA5" w:rsidRDefault="007A0A9B" w:rsidP="00EB6C89">
      <w:pPr>
        <w:spacing w:before="120" w:line="240" w:lineRule="auto"/>
        <w:rPr>
          <w:lang w:val="pl-PL"/>
        </w:rPr>
      </w:pPr>
      <w:r w:rsidRPr="00992AA5">
        <w:rPr>
          <w:lang w:val="pl-PL"/>
        </w:rPr>
        <w:t xml:space="preserve">Systemy umożliwiające realizację funkcji uwierzytelniania i </w:t>
      </w:r>
      <w:proofErr w:type="spellStart"/>
      <w:r w:rsidRPr="00992AA5">
        <w:rPr>
          <w:lang w:val="pl-PL"/>
        </w:rPr>
        <w:t>accountingu</w:t>
      </w:r>
      <w:proofErr w:type="spellEnd"/>
      <w:r w:rsidRPr="00992AA5">
        <w:rPr>
          <w:lang w:val="pl-PL"/>
        </w:rPr>
        <w:t xml:space="preserve"> usługi na poziomie IP w stacjonarnej publicznej sieci telekomunikacyjnej.</w:t>
      </w:r>
    </w:p>
    <w:p w:rsidR="007A0A9B" w:rsidRPr="00992AA5" w:rsidRDefault="007A0A9B" w:rsidP="00EB6C89">
      <w:pPr>
        <w:spacing w:before="120" w:line="240" w:lineRule="auto"/>
        <w:rPr>
          <w:b/>
          <w:lang w:val="pl-PL"/>
        </w:rPr>
      </w:pPr>
      <w:r w:rsidRPr="00992AA5">
        <w:rPr>
          <w:b/>
          <w:lang w:val="pl-PL"/>
        </w:rPr>
        <w:t>Urządzenia ASON</w:t>
      </w:r>
    </w:p>
    <w:p w:rsidR="007A0A9B" w:rsidRPr="00992AA5" w:rsidRDefault="007A0A9B" w:rsidP="00EB6C89">
      <w:pPr>
        <w:spacing w:before="120" w:line="240" w:lineRule="auto"/>
        <w:rPr>
          <w:lang w:val="pl-PL"/>
        </w:rPr>
      </w:pPr>
      <w:r w:rsidRPr="00992AA5">
        <w:rPr>
          <w:lang w:val="pl-PL"/>
        </w:rPr>
        <w:t>Krotnice cyfrowe używane na rzecz świadczenia usług w stacjonarnej publicznej sieci telekomunikacyjnej, z zaimplementowanym protokołem GMPLS, umożliwiające budowę sieci optycznych z automatycznym przełączaniem.</w:t>
      </w:r>
    </w:p>
    <w:p w:rsidR="007A0A9B" w:rsidRPr="00992AA5" w:rsidRDefault="007A0A9B" w:rsidP="00EB6C89">
      <w:pPr>
        <w:spacing w:before="120" w:line="240" w:lineRule="auto"/>
        <w:rPr>
          <w:lang w:val="pl-PL"/>
        </w:rPr>
      </w:pPr>
      <w:r w:rsidRPr="00992AA5">
        <w:rPr>
          <w:b/>
          <w:lang w:val="pl-PL"/>
        </w:rPr>
        <w:t xml:space="preserve">Urządzenia Cross </w:t>
      </w:r>
      <w:proofErr w:type="spellStart"/>
      <w:r w:rsidRPr="00992AA5">
        <w:rPr>
          <w:b/>
          <w:lang w:val="pl-PL"/>
        </w:rPr>
        <w:t>Connect</w:t>
      </w:r>
      <w:proofErr w:type="spellEnd"/>
      <w:r w:rsidRPr="00992AA5">
        <w:rPr>
          <w:b/>
          <w:lang w:val="pl-PL"/>
        </w:rPr>
        <w:tab/>
      </w:r>
      <w:r w:rsidRPr="00992AA5">
        <w:rPr>
          <w:b/>
          <w:lang w:val="pl-PL"/>
        </w:rPr>
        <w:br/>
      </w:r>
      <w:r w:rsidRPr="00992AA5">
        <w:rPr>
          <w:lang w:val="pl-PL"/>
        </w:rPr>
        <w:t xml:space="preserve">Przełącznice cyfrowe używane na rzecz świadczenia usług w stacjonarnej publicznej sieci telekomunikacyjnej umożliwiające zestawienie łączy stałych na poziomie 2 Mb/s, 34 Mb/s </w:t>
      </w:r>
      <w:r w:rsidR="0042417B" w:rsidRPr="00992AA5">
        <w:rPr>
          <w:lang w:val="pl-PL"/>
        </w:rPr>
        <w:br/>
      </w:r>
      <w:r w:rsidRPr="00992AA5">
        <w:rPr>
          <w:lang w:val="pl-PL"/>
        </w:rPr>
        <w:t>lub 155 Mb/s.</w:t>
      </w:r>
    </w:p>
    <w:p w:rsidR="007A0A9B" w:rsidRPr="00992AA5" w:rsidRDefault="007A0A9B" w:rsidP="00EB6C89">
      <w:pPr>
        <w:spacing w:before="120" w:line="240" w:lineRule="auto"/>
        <w:rPr>
          <w:lang w:val="pl-PL"/>
        </w:rPr>
      </w:pPr>
      <w:r w:rsidRPr="00992AA5">
        <w:rPr>
          <w:b/>
          <w:lang w:val="pl-PL"/>
        </w:rPr>
        <w:t>Urządzenia DWDM</w:t>
      </w:r>
      <w:r w:rsidRPr="00992AA5">
        <w:rPr>
          <w:b/>
          <w:lang w:val="pl-PL"/>
        </w:rPr>
        <w:tab/>
      </w:r>
      <w:r w:rsidRPr="00992AA5">
        <w:rPr>
          <w:b/>
          <w:lang w:val="pl-PL"/>
        </w:rPr>
        <w:br/>
      </w:r>
      <w:r w:rsidRPr="00992AA5">
        <w:rPr>
          <w:lang w:val="pl-PL"/>
        </w:rPr>
        <w:t>Całkowite wyposażenie krotnic używanych na rzecz świadczenia usług w stacjonarnej publicznej sieci telekomunikacyjnej realizujących transmisję w technologii DWDM – interfejs wejścia i wyjścia, interfejs liniowy oraz interfejs utrzymaniowy.</w:t>
      </w:r>
    </w:p>
    <w:p w:rsidR="007A0A9B" w:rsidRPr="00992AA5" w:rsidRDefault="007A0A9B" w:rsidP="00EB6C89">
      <w:pPr>
        <w:spacing w:before="120" w:line="240" w:lineRule="auto"/>
        <w:rPr>
          <w:lang w:val="pl-PL"/>
        </w:rPr>
      </w:pPr>
      <w:r w:rsidRPr="00992AA5">
        <w:rPr>
          <w:b/>
          <w:lang w:val="pl-PL"/>
        </w:rPr>
        <w:lastRenderedPageBreak/>
        <w:t>Urządzenia HDSL</w:t>
      </w:r>
      <w:r w:rsidRPr="00992AA5">
        <w:rPr>
          <w:b/>
          <w:lang w:val="pl-PL"/>
        </w:rPr>
        <w:tab/>
      </w:r>
      <w:r w:rsidRPr="00992AA5">
        <w:rPr>
          <w:b/>
          <w:lang w:val="pl-PL"/>
        </w:rPr>
        <w:br/>
      </w:r>
      <w:r w:rsidRPr="00992AA5">
        <w:rPr>
          <w:lang w:val="pl-PL"/>
        </w:rPr>
        <w:t>Są to urządzenia używane na rzecz świadczenia usług w stacjonarnej publicznej sieci telekomunikacyjnej, realizujące transmisję w technologii HDSL o wysokiej przepływności wykorzystujące jako medium transmisyjne kabel miedziany.</w:t>
      </w:r>
    </w:p>
    <w:p w:rsidR="007A0A9B" w:rsidRPr="00992AA5" w:rsidRDefault="007A0A9B" w:rsidP="00EB6C89">
      <w:pPr>
        <w:spacing w:before="120" w:line="240" w:lineRule="auto"/>
        <w:rPr>
          <w:lang w:val="pl-PL"/>
        </w:rPr>
      </w:pPr>
      <w:r w:rsidRPr="00992AA5">
        <w:rPr>
          <w:b/>
          <w:lang w:val="pl-PL"/>
        </w:rPr>
        <w:t>Urządzenia SDH</w:t>
      </w:r>
      <w:r w:rsidRPr="00992AA5">
        <w:rPr>
          <w:b/>
          <w:lang w:val="pl-PL"/>
        </w:rPr>
        <w:tab/>
      </w:r>
      <w:r w:rsidRPr="00992AA5">
        <w:rPr>
          <w:b/>
          <w:lang w:val="pl-PL"/>
        </w:rPr>
        <w:br/>
      </w:r>
      <w:r w:rsidRPr="00992AA5">
        <w:rPr>
          <w:lang w:val="pl-PL"/>
        </w:rPr>
        <w:t xml:space="preserve">Całkowite wyposażenie krotnic SDH używanych na rzecz świadczenia usług w stacjonarnej publicznej sieci telekomunikacyjnej. Elementy wyposażenia: matryca, interfejs wejścia </w:t>
      </w:r>
      <w:r w:rsidR="0042417B" w:rsidRPr="00992AA5">
        <w:rPr>
          <w:lang w:val="pl-PL"/>
        </w:rPr>
        <w:br/>
      </w:r>
      <w:r w:rsidRPr="00992AA5">
        <w:rPr>
          <w:lang w:val="pl-PL"/>
        </w:rPr>
        <w:t>i wyjścia, interfejs liniowy i interfejs utrzymaniowy, a także pracujące z tymi urządzeniami przełącznice cyfrowe DDF.</w:t>
      </w:r>
    </w:p>
    <w:p w:rsidR="007A0A9B" w:rsidRPr="00992AA5" w:rsidRDefault="007A0A9B" w:rsidP="00EB6C89">
      <w:pPr>
        <w:spacing w:before="120" w:line="240" w:lineRule="auto"/>
        <w:rPr>
          <w:lang w:val="pl-PL"/>
        </w:rPr>
      </w:pPr>
      <w:r w:rsidRPr="00992AA5">
        <w:rPr>
          <w:b/>
          <w:lang w:val="pl-PL"/>
        </w:rPr>
        <w:t>Urządzenia sieci brzegowej ATM/FR</w:t>
      </w:r>
      <w:r w:rsidRPr="00992AA5">
        <w:rPr>
          <w:b/>
          <w:lang w:val="pl-PL"/>
        </w:rPr>
        <w:tab/>
      </w:r>
      <w:r w:rsidRPr="00992AA5">
        <w:rPr>
          <w:b/>
          <w:lang w:val="pl-PL"/>
        </w:rPr>
        <w:br/>
      </w:r>
      <w:r w:rsidRPr="00992AA5">
        <w:rPr>
          <w:lang w:val="pl-PL"/>
        </w:rPr>
        <w:t xml:space="preserve">Przełączniki ATM/FR warstwy brzegowej używane na rzecz świadczenia usług </w:t>
      </w:r>
      <w:r w:rsidR="0042417B" w:rsidRPr="00992AA5">
        <w:rPr>
          <w:lang w:val="pl-PL"/>
        </w:rPr>
        <w:br/>
      </w:r>
      <w:r w:rsidRPr="00992AA5">
        <w:rPr>
          <w:lang w:val="pl-PL"/>
        </w:rPr>
        <w:t>w stacjonarnej publicznej sieci telekomunikacyjnej, umożliwiające realizację dostępu sieci ATM/FR oraz kierowania ruchu pomiędzy urządzeniami ATM/FR w warstwie brzegowej i do warstwy szkieletowej.</w:t>
      </w:r>
    </w:p>
    <w:p w:rsidR="007A0A9B" w:rsidRPr="00992AA5" w:rsidRDefault="007A0A9B" w:rsidP="00EB6C89">
      <w:pPr>
        <w:spacing w:before="120" w:line="240" w:lineRule="auto"/>
        <w:rPr>
          <w:b/>
          <w:lang w:val="pl-PL"/>
        </w:rPr>
      </w:pPr>
      <w:r w:rsidRPr="00992AA5">
        <w:rPr>
          <w:b/>
          <w:lang w:val="pl-PL"/>
        </w:rPr>
        <w:t>Urządzenia sieci szkieletowej ATM/FR</w:t>
      </w:r>
    </w:p>
    <w:p w:rsidR="007A0A9B" w:rsidRPr="00992AA5" w:rsidRDefault="007A0A9B" w:rsidP="00EB6C89">
      <w:pPr>
        <w:spacing w:before="120" w:line="240" w:lineRule="auto"/>
        <w:rPr>
          <w:lang w:val="pl-PL"/>
        </w:rPr>
      </w:pPr>
      <w:r w:rsidRPr="00992AA5">
        <w:rPr>
          <w:lang w:val="pl-PL"/>
        </w:rPr>
        <w:t xml:space="preserve">Przełączniki ATM/FR używane na rzecz świadczenia usług w stacjonarnej publicznej sieci telekomunikacyjnej warstwy szkieletowej umożliwiające realizację dostępu i kierowania ruchu pomiędzy urządzeniami ATM/FR w warstwie szkieletowej i do warstwy brzegowej oraz </w:t>
      </w:r>
      <w:r w:rsidR="0042417B" w:rsidRPr="00992AA5">
        <w:rPr>
          <w:lang w:val="pl-PL"/>
        </w:rPr>
        <w:br/>
      </w:r>
      <w:r w:rsidRPr="00992AA5">
        <w:rPr>
          <w:lang w:val="pl-PL"/>
        </w:rPr>
        <w:t>do współpracy z wszystkimi sieciami IP.</w:t>
      </w:r>
    </w:p>
    <w:p w:rsidR="007A0A9B" w:rsidRPr="00992AA5" w:rsidRDefault="007A0A9B" w:rsidP="00EB6C89">
      <w:pPr>
        <w:spacing w:before="120" w:line="240" w:lineRule="auto"/>
        <w:rPr>
          <w:b/>
          <w:lang w:val="pl-PL"/>
        </w:rPr>
      </w:pPr>
      <w:r w:rsidRPr="00992AA5">
        <w:rPr>
          <w:b/>
          <w:lang w:val="pl-PL"/>
        </w:rPr>
        <w:t>Urządzenia synchronizacji sieci</w:t>
      </w:r>
    </w:p>
    <w:p w:rsidR="007A0A9B" w:rsidRPr="00992AA5" w:rsidRDefault="007A0A9B" w:rsidP="00EB6C89">
      <w:pPr>
        <w:spacing w:before="120" w:line="240" w:lineRule="auto"/>
        <w:rPr>
          <w:lang w:val="pl-PL"/>
        </w:rPr>
      </w:pPr>
      <w:r w:rsidRPr="00992AA5">
        <w:rPr>
          <w:lang w:val="pl-PL"/>
        </w:rPr>
        <w:t>Urządzenia niezbędne do zapewnienia synchronizacji sieci. m.in. zegary o dużej dokładności. Używane na rzecz sieci świadczącej usługi w stacjonarnej publicznej sieci telekomunikacyjnej</w:t>
      </w:r>
    </w:p>
    <w:p w:rsidR="007A0A9B" w:rsidRPr="00992AA5" w:rsidRDefault="007A0A9B" w:rsidP="00EB6C89">
      <w:pPr>
        <w:spacing w:before="120" w:line="240" w:lineRule="auto"/>
        <w:rPr>
          <w:b/>
          <w:lang w:val="pl-PL"/>
        </w:rPr>
      </w:pPr>
      <w:r w:rsidRPr="00992AA5">
        <w:rPr>
          <w:b/>
          <w:lang w:val="pl-PL"/>
        </w:rPr>
        <w:t>Urządzenia usług dodanych</w:t>
      </w:r>
    </w:p>
    <w:p w:rsidR="007A0A9B" w:rsidRPr="00992AA5" w:rsidRDefault="007A0A9B" w:rsidP="00EB6C89">
      <w:pPr>
        <w:spacing w:before="120" w:line="240" w:lineRule="auto"/>
        <w:rPr>
          <w:lang w:val="pl-PL"/>
        </w:rPr>
      </w:pPr>
      <w:r w:rsidRPr="00992AA5">
        <w:rPr>
          <w:lang w:val="pl-PL"/>
        </w:rPr>
        <w:t>Urządzenia wykorzystywane do świadczenia usług hostingu, takich jak: WWW, Poczta elektroniczna.</w:t>
      </w:r>
    </w:p>
    <w:p w:rsidR="007A0A9B" w:rsidRPr="00992AA5" w:rsidRDefault="007A0A9B" w:rsidP="00EB6C89">
      <w:pPr>
        <w:spacing w:before="120" w:line="240" w:lineRule="auto"/>
        <w:rPr>
          <w:b/>
          <w:lang w:val="pl-PL"/>
        </w:rPr>
      </w:pPr>
      <w:r w:rsidRPr="00992AA5">
        <w:rPr>
          <w:b/>
          <w:lang w:val="pl-PL"/>
        </w:rPr>
        <w:t xml:space="preserve">Urządzenia WIMAX </w:t>
      </w:r>
    </w:p>
    <w:p w:rsidR="007A0A9B" w:rsidRPr="00992AA5" w:rsidRDefault="007A0A9B" w:rsidP="00EB6C89">
      <w:pPr>
        <w:spacing w:before="120" w:line="240" w:lineRule="auto"/>
        <w:rPr>
          <w:lang w:val="pl-PL"/>
        </w:rPr>
      </w:pPr>
      <w:r w:rsidRPr="00992AA5">
        <w:rPr>
          <w:lang w:val="pl-PL"/>
        </w:rPr>
        <w:t xml:space="preserve">Urządzenia realizujące technologię bezprzewodowej, radiowej transmisji danych opartej na standardach IEEE 802.16 i ETSI </w:t>
      </w:r>
      <w:proofErr w:type="spellStart"/>
      <w:r w:rsidRPr="00992AA5">
        <w:rPr>
          <w:lang w:val="pl-PL"/>
        </w:rPr>
        <w:t>HiperLAN</w:t>
      </w:r>
      <w:proofErr w:type="spellEnd"/>
      <w:r w:rsidRPr="00992AA5">
        <w:rPr>
          <w:lang w:val="pl-PL"/>
        </w:rPr>
        <w:t xml:space="preserve"> wykorzystywane do realizacji usług </w:t>
      </w:r>
      <w:r w:rsidR="0042417B" w:rsidRPr="00992AA5">
        <w:rPr>
          <w:lang w:val="pl-PL"/>
        </w:rPr>
        <w:br/>
      </w:r>
      <w:r w:rsidRPr="00992AA5">
        <w:rPr>
          <w:lang w:val="pl-PL"/>
        </w:rPr>
        <w:t>w stacjonarnej publicznej sieci telekomunikacyjnej.</w:t>
      </w:r>
    </w:p>
    <w:p w:rsidR="007A0A9B" w:rsidRPr="00992AA5" w:rsidRDefault="007A0A9B" w:rsidP="00EB6C89">
      <w:pPr>
        <w:pStyle w:val="Nagwek2"/>
        <w:numPr>
          <w:ilvl w:val="1"/>
          <w:numId w:val="0"/>
        </w:numPr>
        <w:tabs>
          <w:tab w:val="num" w:pos="717"/>
        </w:tabs>
        <w:spacing w:before="120" w:after="0" w:line="240" w:lineRule="auto"/>
        <w:ind w:left="576" w:hanging="576"/>
        <w:rPr>
          <w:sz w:val="22"/>
          <w:szCs w:val="22"/>
        </w:rPr>
      </w:pPr>
      <w:bookmarkStart w:id="25" w:name="_Toc306807594"/>
      <w:bookmarkStart w:id="26" w:name="_Toc322094658"/>
      <w:bookmarkStart w:id="27" w:name="_Toc322602833"/>
      <w:bookmarkStart w:id="28" w:name="_Toc322594053"/>
      <w:bookmarkStart w:id="29" w:name="_Toc372542002"/>
      <w:bookmarkStart w:id="30" w:name="_Toc379969094"/>
      <w:bookmarkStart w:id="31" w:name="_Toc383521134"/>
      <w:r w:rsidRPr="00992AA5">
        <w:rPr>
          <w:sz w:val="22"/>
          <w:szCs w:val="22"/>
        </w:rPr>
        <w:t>Zastosowane skróty</w:t>
      </w:r>
      <w:bookmarkEnd w:id="25"/>
      <w:bookmarkEnd w:id="26"/>
      <w:bookmarkEnd w:id="27"/>
      <w:bookmarkEnd w:id="28"/>
      <w:bookmarkEnd w:id="29"/>
      <w:bookmarkEnd w:id="30"/>
      <w:bookmarkEnd w:id="31"/>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ABC</w:t>
      </w:r>
      <w:r w:rsidRPr="00992AA5">
        <w:rPr>
          <w:lang w:val="pl-PL"/>
        </w:rPr>
        <w:tab/>
        <w:t xml:space="preserve">(ang. </w:t>
      </w:r>
      <w:proofErr w:type="spellStart"/>
      <w:r w:rsidRPr="00992AA5">
        <w:rPr>
          <w:lang w:val="pl-PL"/>
        </w:rPr>
        <w:t>Activity</w:t>
      </w:r>
      <w:proofErr w:type="spellEnd"/>
      <w:r w:rsidRPr="00992AA5">
        <w:rPr>
          <w:lang w:val="pl-PL"/>
        </w:rPr>
        <w:t xml:space="preserve"> </w:t>
      </w:r>
      <w:proofErr w:type="spellStart"/>
      <w:r w:rsidRPr="00992AA5">
        <w:rPr>
          <w:lang w:val="pl-PL"/>
        </w:rPr>
        <w:t>Based</w:t>
      </w:r>
      <w:proofErr w:type="spellEnd"/>
      <w:r w:rsidRPr="00992AA5">
        <w:rPr>
          <w:lang w:val="pl-PL"/>
        </w:rPr>
        <w:t xml:space="preserve"> </w:t>
      </w:r>
      <w:proofErr w:type="spellStart"/>
      <w:r w:rsidRPr="00992AA5">
        <w:rPr>
          <w:lang w:val="pl-PL"/>
        </w:rPr>
        <w:t>Costing</w:t>
      </w:r>
      <w:proofErr w:type="spellEnd"/>
      <w:r w:rsidRPr="00992AA5">
        <w:rPr>
          <w:lang w:val="pl-PL"/>
        </w:rPr>
        <w:t>) – Rachunek kosztów działań</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ADSL</w:t>
      </w:r>
      <w:r w:rsidRPr="00992AA5">
        <w:rPr>
          <w:lang w:val="pl-PL"/>
        </w:rPr>
        <w:tab/>
        <w:t xml:space="preserve">(ang. </w:t>
      </w:r>
      <w:proofErr w:type="spellStart"/>
      <w:r w:rsidRPr="00992AA5">
        <w:rPr>
          <w:lang w:val="pl-PL"/>
        </w:rPr>
        <w:t>Asymmetric</w:t>
      </w:r>
      <w:proofErr w:type="spellEnd"/>
      <w:r w:rsidRPr="00992AA5">
        <w:rPr>
          <w:lang w:val="pl-PL"/>
        </w:rPr>
        <w:t xml:space="preserve"> Digital </w:t>
      </w:r>
      <w:proofErr w:type="spellStart"/>
      <w:r w:rsidRPr="00992AA5">
        <w:rPr>
          <w:lang w:val="pl-PL"/>
        </w:rPr>
        <w:t>Subscriber</w:t>
      </w:r>
      <w:proofErr w:type="spellEnd"/>
      <w:r w:rsidRPr="00992AA5">
        <w:rPr>
          <w:lang w:val="pl-PL"/>
        </w:rPr>
        <w:t xml:space="preserve"> Line) – Technologia cyfrowego, asymetrycznego i szerokopasmowego dostępu abonenckiego zapewniająca przesyłanie sygnałów cyfrowych za pośrednictwem kabla miedzianego</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ASON</w:t>
      </w:r>
      <w:r w:rsidRPr="00992AA5">
        <w:rPr>
          <w:lang w:val="pl-PL"/>
        </w:rPr>
        <w:tab/>
        <w:t xml:space="preserve">(ang. </w:t>
      </w:r>
      <w:proofErr w:type="spellStart"/>
      <w:r w:rsidRPr="00992AA5">
        <w:rPr>
          <w:bCs/>
          <w:iCs/>
          <w:lang w:val="pl-PL"/>
        </w:rPr>
        <w:t>Automatically</w:t>
      </w:r>
      <w:proofErr w:type="spellEnd"/>
      <w:r w:rsidRPr="00992AA5">
        <w:rPr>
          <w:bCs/>
          <w:iCs/>
          <w:lang w:val="pl-PL"/>
        </w:rPr>
        <w:t xml:space="preserve"> </w:t>
      </w:r>
      <w:proofErr w:type="spellStart"/>
      <w:r w:rsidRPr="00992AA5">
        <w:rPr>
          <w:bCs/>
          <w:iCs/>
          <w:lang w:val="pl-PL"/>
        </w:rPr>
        <w:t>Switched</w:t>
      </w:r>
      <w:proofErr w:type="spellEnd"/>
      <w:r w:rsidRPr="00992AA5">
        <w:rPr>
          <w:bCs/>
          <w:iCs/>
          <w:lang w:val="pl-PL"/>
        </w:rPr>
        <w:t xml:space="preserve"> </w:t>
      </w:r>
      <w:proofErr w:type="spellStart"/>
      <w:r w:rsidRPr="00992AA5">
        <w:rPr>
          <w:bCs/>
          <w:iCs/>
          <w:lang w:val="pl-PL"/>
        </w:rPr>
        <w:t>Optical</w:t>
      </w:r>
      <w:proofErr w:type="spellEnd"/>
      <w:r w:rsidRPr="00992AA5">
        <w:rPr>
          <w:bCs/>
          <w:iCs/>
          <w:lang w:val="pl-PL"/>
        </w:rPr>
        <w:t xml:space="preserve"> Network</w:t>
      </w:r>
      <w:r w:rsidRPr="00992AA5">
        <w:rPr>
          <w:lang w:val="pl-PL"/>
        </w:rPr>
        <w:t>) – System teletransmisyjny umożliwiający automatyczne dostarczanie usług poprzez efektywne przełączanie i dynamiczne tworzenie połączeń.</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 xml:space="preserve">ATM </w:t>
      </w:r>
      <w:r w:rsidRPr="00992AA5">
        <w:rPr>
          <w:lang w:val="pl-PL"/>
        </w:rPr>
        <w:tab/>
        <w:t xml:space="preserve">(ang. </w:t>
      </w:r>
      <w:proofErr w:type="spellStart"/>
      <w:r w:rsidRPr="00992AA5">
        <w:rPr>
          <w:lang w:val="pl-PL"/>
        </w:rPr>
        <w:t>Asynchronous</w:t>
      </w:r>
      <w:proofErr w:type="spellEnd"/>
      <w:r w:rsidRPr="00992AA5">
        <w:rPr>
          <w:lang w:val="pl-PL"/>
        </w:rPr>
        <w:t xml:space="preserve"> Transfer </w:t>
      </w:r>
      <w:proofErr w:type="spellStart"/>
      <w:r w:rsidRPr="00992AA5">
        <w:rPr>
          <w:lang w:val="pl-PL"/>
        </w:rPr>
        <w:t>Mode</w:t>
      </w:r>
      <w:proofErr w:type="spellEnd"/>
      <w:r w:rsidRPr="00992AA5">
        <w:rPr>
          <w:lang w:val="pl-PL"/>
        </w:rPr>
        <w:t xml:space="preserve">) – Szerokopasmowa technologia komunikacyjna przesyłania </w:t>
      </w:r>
      <w:proofErr w:type="spellStart"/>
      <w:r w:rsidRPr="00992AA5">
        <w:rPr>
          <w:lang w:val="pl-PL"/>
        </w:rPr>
        <w:t>informacji</w:t>
      </w:r>
      <w:proofErr w:type="spellEnd"/>
      <w:r w:rsidRPr="00992AA5">
        <w:rPr>
          <w:lang w:val="pl-PL"/>
        </w:rPr>
        <w:t xml:space="preserve"> cyfrowej</w:t>
      </w:r>
    </w:p>
    <w:p w:rsidR="007A0A9B" w:rsidRPr="00992AA5" w:rsidRDefault="007A0A9B" w:rsidP="00EB6C89">
      <w:pPr>
        <w:tabs>
          <w:tab w:val="left" w:pos="1560"/>
        </w:tabs>
        <w:spacing w:before="120" w:line="240" w:lineRule="auto"/>
        <w:ind w:left="1560" w:hanging="1560"/>
        <w:rPr>
          <w:lang w:val="pl-PL"/>
        </w:rPr>
      </w:pPr>
      <w:r w:rsidRPr="00992AA5">
        <w:rPr>
          <w:lang w:val="pl-PL"/>
        </w:rPr>
        <w:t>B2B</w:t>
      </w:r>
      <w:r w:rsidRPr="00992AA5">
        <w:rPr>
          <w:lang w:val="pl-PL"/>
        </w:rPr>
        <w:tab/>
      </w:r>
      <w:r w:rsidRPr="00992AA5">
        <w:rPr>
          <w:lang w:val="pl-PL"/>
        </w:rPr>
        <w:tab/>
        <w:t xml:space="preserve">(ang. </w:t>
      </w:r>
      <w:r w:rsidRPr="00992AA5">
        <w:rPr>
          <w:iCs/>
          <w:lang w:val="pl-PL"/>
        </w:rPr>
        <w:t>Business to Business</w:t>
      </w:r>
      <w:r w:rsidRPr="00992AA5">
        <w:rPr>
          <w:lang w:val="pl-PL"/>
        </w:rPr>
        <w:t>) - Nazwa relacji występujących pomiędzy firmami.</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B2C</w:t>
      </w:r>
      <w:r w:rsidRPr="00992AA5">
        <w:rPr>
          <w:lang w:val="pl-PL"/>
        </w:rPr>
        <w:tab/>
        <w:t xml:space="preserve">(ang. </w:t>
      </w:r>
      <w:r w:rsidRPr="00992AA5">
        <w:rPr>
          <w:iCs/>
          <w:lang w:val="pl-PL"/>
        </w:rPr>
        <w:t>Business to Consumer</w:t>
      </w:r>
      <w:r w:rsidRPr="00992AA5">
        <w:rPr>
          <w:lang w:val="pl-PL"/>
        </w:rPr>
        <w:t>) - Nazwa relacji występujących pomiędzy firmą a klientem końcowym.</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BRA</w:t>
      </w:r>
      <w:r w:rsidRPr="00992AA5">
        <w:rPr>
          <w:lang w:val="pl-PL"/>
        </w:rPr>
        <w:tab/>
        <w:t>Łącze ISDN (2B+D).</w:t>
      </w:r>
    </w:p>
    <w:p w:rsidR="007A0A9B" w:rsidRPr="00992AA5" w:rsidRDefault="007A0A9B" w:rsidP="00EB6C89">
      <w:pPr>
        <w:tabs>
          <w:tab w:val="clear" w:pos="567"/>
          <w:tab w:val="left" w:pos="1560"/>
        </w:tabs>
        <w:spacing w:before="120" w:line="240" w:lineRule="auto"/>
        <w:ind w:left="1560" w:hanging="1560"/>
        <w:rPr>
          <w:lang w:val="pl-PL"/>
        </w:rPr>
      </w:pPr>
      <w:r w:rsidRPr="00992AA5">
        <w:rPr>
          <w:bCs/>
          <w:lang w:val="pl-PL" w:eastAsia="en-US"/>
        </w:rPr>
        <w:lastRenderedPageBreak/>
        <w:t>BSA</w:t>
      </w:r>
      <w:r w:rsidRPr="00992AA5">
        <w:rPr>
          <w:bCs/>
          <w:lang w:val="pl-PL" w:eastAsia="en-US"/>
        </w:rPr>
        <w:tab/>
      </w:r>
      <w:r w:rsidRPr="00992AA5">
        <w:rPr>
          <w:bCs/>
          <w:lang w:val="pl-PL"/>
        </w:rPr>
        <w:t xml:space="preserve">(ang. </w:t>
      </w:r>
      <w:proofErr w:type="spellStart"/>
      <w:r w:rsidRPr="00992AA5">
        <w:rPr>
          <w:bCs/>
          <w:lang w:val="pl-PL"/>
        </w:rPr>
        <w:t>Bitstream</w:t>
      </w:r>
      <w:proofErr w:type="spellEnd"/>
      <w:r w:rsidRPr="00992AA5">
        <w:rPr>
          <w:bCs/>
          <w:lang w:val="pl-PL"/>
        </w:rPr>
        <w:t xml:space="preserve"> Access)</w:t>
      </w:r>
      <w:r w:rsidRPr="00992AA5">
        <w:rPr>
          <w:lang w:val="pl-PL"/>
        </w:rPr>
        <w:t xml:space="preserve"> - Dostęp do łączy abonenckich poprzez węzły stacjonarnej publicznej sieci telekomunikacyjnej sieci telekomunikacyjnej </w:t>
      </w:r>
      <w:r w:rsidR="0042417B" w:rsidRPr="00992AA5">
        <w:rPr>
          <w:lang w:val="pl-PL"/>
        </w:rPr>
        <w:br/>
      </w:r>
      <w:r w:rsidRPr="00992AA5">
        <w:rPr>
          <w:lang w:val="pl-PL"/>
        </w:rPr>
        <w:t>na potrzeby sprzedaży usług szerokopasmowej transmisji danych.</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 xml:space="preserve">CBR </w:t>
      </w:r>
      <w:r w:rsidRPr="00992AA5">
        <w:rPr>
          <w:lang w:val="pl-PL"/>
        </w:rPr>
        <w:tab/>
        <w:t xml:space="preserve">(ang. </w:t>
      </w:r>
      <w:proofErr w:type="spellStart"/>
      <w:r w:rsidRPr="00992AA5">
        <w:rPr>
          <w:lang w:val="pl-PL"/>
        </w:rPr>
        <w:t>Constant</w:t>
      </w:r>
      <w:proofErr w:type="spellEnd"/>
      <w:r w:rsidRPr="00992AA5">
        <w:rPr>
          <w:lang w:val="pl-PL"/>
        </w:rPr>
        <w:t xml:space="preserve"> Bit </w:t>
      </w:r>
      <w:proofErr w:type="spellStart"/>
      <w:r w:rsidRPr="00992AA5">
        <w:rPr>
          <w:lang w:val="pl-PL"/>
        </w:rPr>
        <w:t>Rate</w:t>
      </w:r>
      <w:proofErr w:type="spellEnd"/>
      <w:r w:rsidRPr="00992AA5">
        <w:rPr>
          <w:lang w:val="pl-PL"/>
        </w:rPr>
        <w:t>) - Klasa ruchowa sieci ATM</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CKT</w:t>
      </w:r>
      <w:r w:rsidRPr="00992AA5">
        <w:rPr>
          <w:lang w:val="pl-PL"/>
        </w:rPr>
        <w:tab/>
        <w:t>Centrala końcowo - tranzytowa</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CMN</w:t>
      </w:r>
      <w:r w:rsidRPr="00992AA5">
        <w:rPr>
          <w:lang w:val="pl-PL"/>
        </w:rPr>
        <w:tab/>
        <w:t>Centrala międzynarodowa</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CRM</w:t>
      </w:r>
      <w:r w:rsidRPr="00992AA5">
        <w:rPr>
          <w:lang w:val="pl-PL"/>
        </w:rPr>
        <w:tab/>
        <w:t xml:space="preserve">(ang. </w:t>
      </w:r>
      <w:proofErr w:type="spellStart"/>
      <w:r w:rsidRPr="00992AA5">
        <w:rPr>
          <w:lang w:val="pl-PL"/>
        </w:rPr>
        <w:t>Customer</w:t>
      </w:r>
      <w:proofErr w:type="spellEnd"/>
      <w:r w:rsidRPr="00992AA5">
        <w:rPr>
          <w:lang w:val="pl-PL"/>
        </w:rPr>
        <w:t xml:space="preserve"> </w:t>
      </w:r>
      <w:proofErr w:type="spellStart"/>
      <w:r w:rsidRPr="00992AA5">
        <w:rPr>
          <w:lang w:val="pl-PL"/>
        </w:rPr>
        <w:t>Relationship</w:t>
      </w:r>
      <w:proofErr w:type="spellEnd"/>
      <w:r w:rsidRPr="00992AA5">
        <w:rPr>
          <w:lang w:val="pl-PL"/>
        </w:rPr>
        <w:t xml:space="preserve"> Management) – Polityka zarządzania relacjami z klientami firmy, wspomagana przez wyspecjalizowane systemy informatyczne i urządzenia informatyczne i telekomunikacyjne, pozwalające na indywidualny kontakt z klientami, prowadzenie akcji marketingowych, przygotowanie spersonalizowanych ofert sprzedaży usług</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CT</w:t>
      </w:r>
      <w:r w:rsidRPr="00992AA5">
        <w:rPr>
          <w:lang w:val="pl-PL"/>
        </w:rPr>
        <w:tab/>
        <w:t>Centrala tranzytowa</w:t>
      </w:r>
    </w:p>
    <w:p w:rsidR="007A0A9B" w:rsidRPr="00992AA5" w:rsidRDefault="007A0A9B" w:rsidP="00EB6C89">
      <w:pPr>
        <w:tabs>
          <w:tab w:val="clear" w:pos="567"/>
          <w:tab w:val="left" w:pos="1560"/>
        </w:tabs>
        <w:spacing w:before="120" w:line="240" w:lineRule="auto"/>
        <w:ind w:left="1560" w:hanging="1560"/>
      </w:pPr>
      <w:r w:rsidRPr="00992AA5">
        <w:rPr>
          <w:lang w:val="pl-PL"/>
        </w:rPr>
        <w:t>CVR</w:t>
      </w:r>
      <w:r w:rsidRPr="00992AA5">
        <w:rPr>
          <w:lang w:val="pl-PL"/>
        </w:rPr>
        <w:tab/>
        <w:t xml:space="preserve">(ang. </w:t>
      </w:r>
      <w:r w:rsidRPr="00992AA5">
        <w:t xml:space="preserve">Cost Volume Relationship) – </w:t>
      </w:r>
      <w:proofErr w:type="spellStart"/>
      <w:r w:rsidRPr="00992AA5">
        <w:t>Zależność</w:t>
      </w:r>
      <w:proofErr w:type="spellEnd"/>
      <w:r w:rsidRPr="00992AA5">
        <w:t xml:space="preserve"> </w:t>
      </w:r>
      <w:proofErr w:type="spellStart"/>
      <w:r w:rsidRPr="00992AA5">
        <w:t>koszt-wolumen</w:t>
      </w:r>
      <w:proofErr w:type="spellEnd"/>
    </w:p>
    <w:p w:rsidR="007A0A9B" w:rsidRPr="00992AA5" w:rsidRDefault="007A0A9B" w:rsidP="00EB6C89">
      <w:pPr>
        <w:tabs>
          <w:tab w:val="clear" w:pos="567"/>
          <w:tab w:val="left" w:pos="1560"/>
        </w:tabs>
        <w:spacing w:before="120" w:line="240" w:lineRule="auto"/>
        <w:ind w:left="1560" w:hanging="1560"/>
      </w:pPr>
      <w:r w:rsidRPr="00992AA5">
        <w:t>DL</w:t>
      </w:r>
      <w:r w:rsidRPr="00992AA5">
        <w:tab/>
        <w:t>(</w:t>
      </w:r>
      <w:proofErr w:type="spellStart"/>
      <w:r w:rsidRPr="00992AA5">
        <w:t>ang</w:t>
      </w:r>
      <w:proofErr w:type="spellEnd"/>
      <w:r w:rsidRPr="00992AA5">
        <w:t xml:space="preserve"> Digital Line). </w:t>
      </w:r>
      <w:proofErr w:type="spellStart"/>
      <w:r w:rsidRPr="00992AA5">
        <w:t>Łącze</w:t>
      </w:r>
      <w:proofErr w:type="spellEnd"/>
      <w:r w:rsidRPr="00992AA5">
        <w:t xml:space="preserve"> </w:t>
      </w:r>
      <w:proofErr w:type="spellStart"/>
      <w:r w:rsidRPr="00992AA5">
        <w:t>cyfrowe</w:t>
      </w:r>
      <w:proofErr w:type="spellEnd"/>
    </w:p>
    <w:p w:rsidR="007A0A9B" w:rsidRPr="00992AA5" w:rsidRDefault="007A0A9B" w:rsidP="00EB6C89">
      <w:pPr>
        <w:tabs>
          <w:tab w:val="clear" w:pos="567"/>
          <w:tab w:val="left" w:pos="1560"/>
        </w:tabs>
        <w:spacing w:before="120" w:line="240" w:lineRule="auto"/>
        <w:ind w:left="1560" w:hanging="1560"/>
      </w:pPr>
      <w:r w:rsidRPr="00992AA5">
        <w:t>DSLAM</w:t>
      </w:r>
      <w:r w:rsidRPr="00992AA5">
        <w:tab/>
        <w:t>(</w:t>
      </w:r>
      <w:proofErr w:type="spellStart"/>
      <w:r w:rsidRPr="00992AA5">
        <w:t>ang</w:t>
      </w:r>
      <w:proofErr w:type="spellEnd"/>
      <w:r w:rsidRPr="00992AA5">
        <w:t xml:space="preserve">. DSL Access Multiplexer) – </w:t>
      </w:r>
      <w:proofErr w:type="spellStart"/>
      <w:r w:rsidRPr="00992AA5">
        <w:t>Multiplekser</w:t>
      </w:r>
      <w:proofErr w:type="spellEnd"/>
      <w:r w:rsidRPr="00992AA5">
        <w:t xml:space="preserve"> </w:t>
      </w:r>
      <w:proofErr w:type="spellStart"/>
      <w:r w:rsidRPr="00992AA5">
        <w:t>dostępowy</w:t>
      </w:r>
      <w:proofErr w:type="spellEnd"/>
      <w:r w:rsidRPr="00992AA5">
        <w:t xml:space="preserve"> do </w:t>
      </w:r>
      <w:proofErr w:type="spellStart"/>
      <w:r w:rsidRPr="00992AA5">
        <w:t>szerokopasmowej</w:t>
      </w:r>
      <w:proofErr w:type="spellEnd"/>
      <w:r w:rsidRPr="00992AA5">
        <w:t xml:space="preserve">, </w:t>
      </w:r>
      <w:proofErr w:type="spellStart"/>
      <w:r w:rsidRPr="00992AA5">
        <w:t>asymetrycznej</w:t>
      </w:r>
      <w:proofErr w:type="spellEnd"/>
      <w:r w:rsidRPr="00992AA5">
        <w:t xml:space="preserve"> </w:t>
      </w:r>
      <w:proofErr w:type="spellStart"/>
      <w:r w:rsidRPr="00992AA5">
        <w:t>sieci</w:t>
      </w:r>
      <w:proofErr w:type="spellEnd"/>
      <w:r w:rsidRPr="00992AA5">
        <w:t xml:space="preserve"> </w:t>
      </w:r>
      <w:proofErr w:type="spellStart"/>
      <w:r w:rsidRPr="00992AA5">
        <w:t>cyfrowej</w:t>
      </w:r>
      <w:proofErr w:type="spellEnd"/>
      <w:r w:rsidRPr="00992AA5">
        <w:t xml:space="preserve"> DSL</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DWDM</w:t>
      </w:r>
      <w:r w:rsidRPr="00992AA5">
        <w:rPr>
          <w:lang w:val="pl-PL"/>
        </w:rPr>
        <w:tab/>
        <w:t xml:space="preserve">(ang. </w:t>
      </w:r>
      <w:proofErr w:type="spellStart"/>
      <w:r w:rsidRPr="00992AA5">
        <w:rPr>
          <w:lang w:val="pl-PL"/>
        </w:rPr>
        <w:t>Dense</w:t>
      </w:r>
      <w:proofErr w:type="spellEnd"/>
      <w:r w:rsidRPr="00992AA5">
        <w:rPr>
          <w:lang w:val="pl-PL"/>
        </w:rPr>
        <w:t xml:space="preserve"> </w:t>
      </w:r>
      <w:proofErr w:type="spellStart"/>
      <w:r w:rsidRPr="00992AA5">
        <w:rPr>
          <w:lang w:val="pl-PL"/>
        </w:rPr>
        <w:t>Wavelength</w:t>
      </w:r>
      <w:proofErr w:type="spellEnd"/>
      <w:r w:rsidRPr="00992AA5">
        <w:rPr>
          <w:lang w:val="pl-PL"/>
        </w:rPr>
        <w:t xml:space="preserve"> </w:t>
      </w:r>
      <w:proofErr w:type="spellStart"/>
      <w:r w:rsidRPr="00992AA5">
        <w:rPr>
          <w:lang w:val="pl-PL"/>
        </w:rPr>
        <w:t>Division</w:t>
      </w:r>
      <w:proofErr w:type="spellEnd"/>
      <w:r w:rsidRPr="00992AA5">
        <w:rPr>
          <w:lang w:val="pl-PL"/>
        </w:rPr>
        <w:t xml:space="preserve"> </w:t>
      </w:r>
      <w:proofErr w:type="spellStart"/>
      <w:r w:rsidRPr="00992AA5">
        <w:rPr>
          <w:lang w:val="pl-PL"/>
        </w:rPr>
        <w:t>Multiplexing</w:t>
      </w:r>
      <w:proofErr w:type="spellEnd"/>
      <w:r w:rsidRPr="00992AA5">
        <w:rPr>
          <w:lang w:val="pl-PL"/>
        </w:rPr>
        <w:t>) – Technologia gęstego, falowego zwielokrotnienia przepływności światłowodu</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FCM</w:t>
      </w:r>
      <w:r w:rsidRPr="00992AA5">
        <w:rPr>
          <w:lang w:val="pl-PL"/>
        </w:rPr>
        <w:tab/>
        <w:t xml:space="preserve">(ang. Financial Capital </w:t>
      </w:r>
      <w:proofErr w:type="spellStart"/>
      <w:r w:rsidRPr="00992AA5">
        <w:rPr>
          <w:lang w:val="pl-PL"/>
        </w:rPr>
        <w:t>Maintenance</w:t>
      </w:r>
      <w:proofErr w:type="spellEnd"/>
      <w:r w:rsidRPr="00992AA5">
        <w:rPr>
          <w:lang w:val="pl-PL"/>
        </w:rPr>
        <w:t>) - Koncepcja zachowania kapitału finansowego.</w:t>
      </w:r>
    </w:p>
    <w:p w:rsidR="007A0A9B" w:rsidRPr="00992AA5" w:rsidRDefault="007A0A9B" w:rsidP="00EB6C89">
      <w:pPr>
        <w:tabs>
          <w:tab w:val="clear" w:pos="567"/>
          <w:tab w:val="left" w:pos="1560"/>
        </w:tabs>
        <w:spacing w:before="120" w:line="240" w:lineRule="auto"/>
        <w:ind w:left="1560" w:hanging="1560"/>
      </w:pPr>
      <w:r w:rsidRPr="00992AA5">
        <w:t>FDC</w:t>
      </w:r>
      <w:r w:rsidRPr="00992AA5">
        <w:tab/>
        <w:t>(</w:t>
      </w:r>
      <w:proofErr w:type="spellStart"/>
      <w:r w:rsidRPr="00992AA5">
        <w:t>ang</w:t>
      </w:r>
      <w:proofErr w:type="spellEnd"/>
      <w:r w:rsidRPr="00992AA5">
        <w:t xml:space="preserve">. Fully Distributed Costing) – Model </w:t>
      </w:r>
      <w:proofErr w:type="spellStart"/>
      <w:r w:rsidRPr="00992AA5">
        <w:t>pełnej</w:t>
      </w:r>
      <w:proofErr w:type="spellEnd"/>
      <w:r w:rsidRPr="00992AA5">
        <w:t xml:space="preserve"> </w:t>
      </w:r>
      <w:proofErr w:type="spellStart"/>
      <w:r w:rsidRPr="00992AA5">
        <w:t>alokacji</w:t>
      </w:r>
      <w:proofErr w:type="spellEnd"/>
      <w:r w:rsidRPr="00992AA5">
        <w:t xml:space="preserve"> </w:t>
      </w:r>
      <w:proofErr w:type="spellStart"/>
      <w:r w:rsidRPr="00992AA5">
        <w:t>kosztów</w:t>
      </w:r>
      <w:proofErr w:type="spellEnd"/>
    </w:p>
    <w:p w:rsidR="007A0A9B" w:rsidRPr="00992AA5" w:rsidRDefault="007A0A9B" w:rsidP="00EB6C89">
      <w:pPr>
        <w:tabs>
          <w:tab w:val="clear" w:pos="567"/>
          <w:tab w:val="left" w:pos="1560"/>
        </w:tabs>
        <w:spacing w:before="120" w:line="240" w:lineRule="auto"/>
        <w:ind w:left="1560" w:hanging="1560"/>
      </w:pPr>
      <w:r w:rsidRPr="00992AA5">
        <w:t xml:space="preserve">FL - FDC </w:t>
      </w:r>
      <w:r w:rsidRPr="00992AA5">
        <w:tab/>
        <w:t>(</w:t>
      </w:r>
      <w:proofErr w:type="spellStart"/>
      <w:r w:rsidRPr="00992AA5">
        <w:t>ang</w:t>
      </w:r>
      <w:proofErr w:type="spellEnd"/>
      <w:r w:rsidRPr="00992AA5">
        <w:t xml:space="preserve">. Forward – Looking Fully Distributed Costs) – </w:t>
      </w:r>
      <w:proofErr w:type="spellStart"/>
      <w:r w:rsidRPr="00992AA5">
        <w:t>Zorientowany</w:t>
      </w:r>
      <w:proofErr w:type="spellEnd"/>
      <w:r w:rsidRPr="00992AA5">
        <w:t xml:space="preserve"> </w:t>
      </w:r>
      <w:proofErr w:type="spellStart"/>
      <w:r w:rsidRPr="00992AA5">
        <w:t>przyszłościowo</w:t>
      </w:r>
      <w:proofErr w:type="spellEnd"/>
      <w:r w:rsidRPr="00992AA5">
        <w:t xml:space="preserve"> w </w:t>
      </w:r>
      <w:proofErr w:type="spellStart"/>
      <w:r w:rsidRPr="00992AA5">
        <w:t>pełni</w:t>
      </w:r>
      <w:proofErr w:type="spellEnd"/>
      <w:r w:rsidRPr="00992AA5">
        <w:t xml:space="preserve"> </w:t>
      </w:r>
      <w:proofErr w:type="spellStart"/>
      <w:r w:rsidRPr="00992AA5">
        <w:t>alokowany</w:t>
      </w:r>
      <w:proofErr w:type="spellEnd"/>
      <w:r w:rsidRPr="00992AA5">
        <w:t xml:space="preserve"> </w:t>
      </w:r>
      <w:proofErr w:type="spellStart"/>
      <w:r w:rsidRPr="00992AA5">
        <w:t>koszt</w:t>
      </w:r>
      <w:proofErr w:type="spellEnd"/>
    </w:p>
    <w:p w:rsidR="007A0A9B" w:rsidRPr="00992AA5" w:rsidRDefault="007A0A9B" w:rsidP="00EB6C89">
      <w:pPr>
        <w:tabs>
          <w:tab w:val="clear" w:pos="567"/>
          <w:tab w:val="left" w:pos="1560"/>
        </w:tabs>
        <w:spacing w:before="120" w:line="240" w:lineRule="auto"/>
        <w:ind w:left="1560" w:hanging="1560"/>
      </w:pPr>
      <w:r w:rsidRPr="00992AA5">
        <w:t xml:space="preserve">FR </w:t>
      </w:r>
      <w:r w:rsidRPr="00992AA5">
        <w:tab/>
        <w:t>(</w:t>
      </w:r>
      <w:proofErr w:type="spellStart"/>
      <w:r w:rsidRPr="00992AA5">
        <w:t>ang</w:t>
      </w:r>
      <w:proofErr w:type="spellEnd"/>
      <w:r w:rsidRPr="00992AA5">
        <w:t xml:space="preserve">. Frame Relay) - </w:t>
      </w:r>
      <w:proofErr w:type="spellStart"/>
      <w:r w:rsidRPr="00992AA5">
        <w:t>Pakietowa</w:t>
      </w:r>
      <w:proofErr w:type="spellEnd"/>
      <w:r w:rsidRPr="00992AA5">
        <w:t xml:space="preserve">, </w:t>
      </w:r>
      <w:proofErr w:type="spellStart"/>
      <w:r w:rsidRPr="00992AA5">
        <w:t>cyfrowa</w:t>
      </w:r>
      <w:proofErr w:type="spellEnd"/>
      <w:r w:rsidRPr="00992AA5">
        <w:t xml:space="preserve"> </w:t>
      </w:r>
      <w:proofErr w:type="spellStart"/>
      <w:r w:rsidRPr="00992AA5">
        <w:t>sieć</w:t>
      </w:r>
      <w:proofErr w:type="spellEnd"/>
      <w:r w:rsidRPr="00992AA5">
        <w:t xml:space="preserve"> </w:t>
      </w:r>
      <w:proofErr w:type="spellStart"/>
      <w:r w:rsidRPr="00992AA5">
        <w:t>transmisyjna</w:t>
      </w:r>
      <w:proofErr w:type="spellEnd"/>
    </w:p>
    <w:p w:rsidR="007A0A9B" w:rsidRPr="00992AA5" w:rsidRDefault="007A0A9B" w:rsidP="00EB6C89">
      <w:pPr>
        <w:tabs>
          <w:tab w:val="clear" w:pos="567"/>
          <w:tab w:val="left" w:pos="1560"/>
        </w:tabs>
        <w:spacing w:before="120" w:line="240" w:lineRule="auto"/>
        <w:ind w:left="1560" w:hanging="1560"/>
        <w:rPr>
          <w:lang w:val="pl-PL"/>
        </w:rPr>
      </w:pPr>
      <w:proofErr w:type="spellStart"/>
      <w:r w:rsidRPr="00992AA5">
        <w:rPr>
          <w:lang w:val="pl-PL"/>
        </w:rPr>
        <w:t>FTTx</w:t>
      </w:r>
      <w:proofErr w:type="spellEnd"/>
      <w:r w:rsidRPr="00992AA5">
        <w:rPr>
          <w:lang w:val="pl-PL"/>
        </w:rPr>
        <w:tab/>
        <w:t xml:space="preserve">(ang. </w:t>
      </w:r>
      <w:proofErr w:type="spellStart"/>
      <w:r w:rsidRPr="00992AA5">
        <w:rPr>
          <w:lang w:val="pl-PL"/>
        </w:rPr>
        <w:t>Fiber</w:t>
      </w:r>
      <w:proofErr w:type="spellEnd"/>
      <w:r w:rsidRPr="00992AA5">
        <w:rPr>
          <w:lang w:val="pl-PL"/>
        </w:rPr>
        <w:t xml:space="preserve"> to </w:t>
      </w:r>
      <w:proofErr w:type="spellStart"/>
      <w:r w:rsidRPr="00992AA5">
        <w:rPr>
          <w:lang w:val="pl-PL"/>
        </w:rPr>
        <w:t>the</w:t>
      </w:r>
      <w:proofErr w:type="spellEnd"/>
      <w:r w:rsidRPr="00992AA5">
        <w:rPr>
          <w:lang w:val="pl-PL"/>
        </w:rPr>
        <w:t xml:space="preserve"> …) - Grupa technik dostępowych, wykorzystująca jako medium włókna światłowodowe</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GUS</w:t>
      </w:r>
      <w:r w:rsidRPr="00992AA5">
        <w:rPr>
          <w:lang w:val="pl-PL"/>
        </w:rPr>
        <w:tab/>
        <w:t>Główny Urząd Statystyczny</w:t>
      </w:r>
    </w:p>
    <w:p w:rsidR="007A0A9B" w:rsidRPr="00992AA5" w:rsidRDefault="007A0A9B" w:rsidP="00EB6C89">
      <w:pPr>
        <w:tabs>
          <w:tab w:val="clear" w:pos="567"/>
          <w:tab w:val="left" w:pos="1560"/>
        </w:tabs>
        <w:spacing w:before="120" w:line="240" w:lineRule="auto"/>
        <w:ind w:left="1560" w:hanging="1560"/>
        <w:rPr>
          <w:lang w:val="pl-PL"/>
        </w:rPr>
      </w:pPr>
      <w:proofErr w:type="spellStart"/>
      <w:r w:rsidRPr="00992AA5">
        <w:rPr>
          <w:lang w:val="pl-PL"/>
        </w:rPr>
        <w:t>G-PON</w:t>
      </w:r>
      <w:proofErr w:type="spellEnd"/>
      <w:r w:rsidRPr="00992AA5">
        <w:rPr>
          <w:lang w:val="pl-PL"/>
        </w:rPr>
        <w:tab/>
        <w:t xml:space="preserve">(ang. Gigabit </w:t>
      </w:r>
      <w:proofErr w:type="spellStart"/>
      <w:r w:rsidRPr="00992AA5">
        <w:rPr>
          <w:lang w:val="pl-PL"/>
        </w:rPr>
        <w:t>Passive</w:t>
      </w:r>
      <w:proofErr w:type="spellEnd"/>
      <w:r w:rsidRPr="00992AA5">
        <w:rPr>
          <w:lang w:val="pl-PL"/>
        </w:rPr>
        <w:t xml:space="preserve"> </w:t>
      </w:r>
      <w:proofErr w:type="spellStart"/>
      <w:r w:rsidRPr="00992AA5">
        <w:rPr>
          <w:lang w:val="pl-PL"/>
        </w:rPr>
        <w:t>Optical</w:t>
      </w:r>
      <w:proofErr w:type="spellEnd"/>
      <w:r w:rsidRPr="00992AA5">
        <w:rPr>
          <w:lang w:val="pl-PL"/>
        </w:rPr>
        <w:t xml:space="preserve"> Network) – Technologia sieci dostępowej bazująca na elementach pasywnych umożliwiająca dostęp szerokopasmowy.</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HCC</w:t>
      </w:r>
      <w:r w:rsidRPr="00992AA5">
        <w:rPr>
          <w:lang w:val="pl-PL"/>
        </w:rPr>
        <w:tab/>
        <w:t xml:space="preserve">(ang. </w:t>
      </w:r>
      <w:proofErr w:type="spellStart"/>
      <w:r w:rsidRPr="00992AA5">
        <w:rPr>
          <w:lang w:val="pl-PL"/>
        </w:rPr>
        <w:t>Homogeneous</w:t>
      </w:r>
      <w:proofErr w:type="spellEnd"/>
      <w:r w:rsidRPr="00992AA5">
        <w:rPr>
          <w:lang w:val="pl-PL"/>
        </w:rPr>
        <w:t xml:space="preserve"> </w:t>
      </w:r>
      <w:proofErr w:type="spellStart"/>
      <w:r w:rsidRPr="00992AA5">
        <w:rPr>
          <w:lang w:val="pl-PL"/>
        </w:rPr>
        <w:t>Cost</w:t>
      </w:r>
      <w:proofErr w:type="spellEnd"/>
      <w:r w:rsidRPr="00992AA5">
        <w:rPr>
          <w:lang w:val="pl-PL"/>
        </w:rPr>
        <w:t xml:space="preserve"> </w:t>
      </w:r>
      <w:proofErr w:type="spellStart"/>
      <w:r w:rsidRPr="00992AA5">
        <w:rPr>
          <w:lang w:val="pl-PL"/>
        </w:rPr>
        <w:t>Category</w:t>
      </w:r>
      <w:proofErr w:type="spellEnd"/>
      <w:r w:rsidRPr="00992AA5">
        <w:rPr>
          <w:lang w:val="pl-PL"/>
        </w:rPr>
        <w:t>) – Jednorodna kategoria kosztu, proces specjalny</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HDSL</w:t>
      </w:r>
      <w:r w:rsidRPr="00992AA5">
        <w:rPr>
          <w:lang w:val="pl-PL"/>
        </w:rPr>
        <w:tab/>
        <w:t xml:space="preserve">(ang. High Digital </w:t>
      </w:r>
      <w:proofErr w:type="spellStart"/>
      <w:r w:rsidRPr="00992AA5">
        <w:rPr>
          <w:lang w:val="pl-PL"/>
        </w:rPr>
        <w:t>Subscriber</w:t>
      </w:r>
      <w:proofErr w:type="spellEnd"/>
      <w:r w:rsidRPr="00992AA5">
        <w:rPr>
          <w:lang w:val="pl-PL"/>
        </w:rPr>
        <w:t xml:space="preserve"> Line) - Symetryczne łącze abonenckie o wysokiej przepływności realizowane za pomocą miedzianej skrętki telefonicznej (DSL o podwyższonej przepływności)</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IP</w:t>
      </w:r>
      <w:r w:rsidRPr="00992AA5">
        <w:rPr>
          <w:lang w:val="pl-PL"/>
        </w:rPr>
        <w:tab/>
        <w:t xml:space="preserve">(ang. Internet </w:t>
      </w:r>
      <w:proofErr w:type="spellStart"/>
      <w:r w:rsidRPr="00992AA5">
        <w:rPr>
          <w:lang w:val="pl-PL"/>
        </w:rPr>
        <w:t>Protocol</w:t>
      </w:r>
      <w:proofErr w:type="spellEnd"/>
      <w:r w:rsidRPr="00992AA5">
        <w:rPr>
          <w:lang w:val="pl-PL"/>
        </w:rPr>
        <w:t>) – Sieciowy protokół komunikacyjny warstw 3 modelu odniesienia ISO/OSI</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ISDN</w:t>
      </w:r>
      <w:r w:rsidRPr="00992AA5">
        <w:rPr>
          <w:lang w:val="pl-PL"/>
        </w:rPr>
        <w:tab/>
        <w:t xml:space="preserve">(ang. </w:t>
      </w:r>
      <w:proofErr w:type="spellStart"/>
      <w:r w:rsidRPr="00992AA5">
        <w:rPr>
          <w:lang w:val="pl-PL"/>
        </w:rPr>
        <w:t>Integrated</w:t>
      </w:r>
      <w:proofErr w:type="spellEnd"/>
      <w:r w:rsidRPr="00992AA5">
        <w:rPr>
          <w:lang w:val="pl-PL"/>
        </w:rPr>
        <w:t xml:space="preserve"> Services Digital Network) – Cyfrowa sieć z integracją usług</w:t>
      </w:r>
    </w:p>
    <w:p w:rsidR="007A0A9B" w:rsidRPr="00992AA5" w:rsidRDefault="007A0A9B" w:rsidP="00EB6C89">
      <w:pPr>
        <w:tabs>
          <w:tab w:val="clear" w:pos="567"/>
          <w:tab w:val="left" w:pos="1560"/>
        </w:tabs>
        <w:spacing w:before="120" w:line="240" w:lineRule="auto"/>
        <w:ind w:left="1560" w:hanging="1560"/>
        <w:rPr>
          <w:lang w:val="pl-PL"/>
        </w:rPr>
      </w:pPr>
      <w:r w:rsidRPr="00992AA5">
        <w:rPr>
          <w:bCs/>
          <w:lang w:val="pl-PL" w:eastAsia="en-US"/>
        </w:rPr>
        <w:t xml:space="preserve">LLU </w:t>
      </w:r>
      <w:r w:rsidRPr="00992AA5">
        <w:rPr>
          <w:bCs/>
          <w:lang w:val="pl-PL" w:eastAsia="en-US"/>
        </w:rPr>
        <w:tab/>
      </w:r>
      <w:r w:rsidRPr="00992AA5">
        <w:rPr>
          <w:lang w:val="pl-PL"/>
        </w:rPr>
        <w:t xml:space="preserve">(ang. </w:t>
      </w:r>
      <w:proofErr w:type="spellStart"/>
      <w:r w:rsidRPr="00992AA5">
        <w:rPr>
          <w:iCs/>
          <w:lang w:val="pl-PL"/>
        </w:rPr>
        <w:t>Local</w:t>
      </w:r>
      <w:proofErr w:type="spellEnd"/>
      <w:r w:rsidRPr="00992AA5">
        <w:rPr>
          <w:iCs/>
          <w:lang w:val="pl-PL"/>
        </w:rPr>
        <w:t xml:space="preserve"> </w:t>
      </w:r>
      <w:proofErr w:type="spellStart"/>
      <w:r w:rsidRPr="00992AA5">
        <w:rPr>
          <w:iCs/>
          <w:lang w:val="pl-PL"/>
        </w:rPr>
        <w:t>Loop</w:t>
      </w:r>
      <w:proofErr w:type="spellEnd"/>
      <w:r w:rsidRPr="00992AA5">
        <w:rPr>
          <w:iCs/>
          <w:lang w:val="pl-PL"/>
        </w:rPr>
        <w:t xml:space="preserve"> </w:t>
      </w:r>
      <w:proofErr w:type="spellStart"/>
      <w:r w:rsidRPr="00992AA5">
        <w:rPr>
          <w:iCs/>
          <w:lang w:val="pl-PL"/>
        </w:rPr>
        <w:t>Unbundling</w:t>
      </w:r>
      <w:proofErr w:type="spellEnd"/>
      <w:r w:rsidRPr="00992AA5">
        <w:rPr>
          <w:iCs/>
          <w:lang w:val="pl-PL"/>
        </w:rPr>
        <w:t>) - D</w:t>
      </w:r>
      <w:r w:rsidRPr="00992AA5">
        <w:rPr>
          <w:lang w:val="pl-PL"/>
        </w:rPr>
        <w:t>ostęp do łączy abonenckich w sposób zapewniający dostęp pełny lub współdzielony</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LPA</w:t>
      </w:r>
      <w:r w:rsidRPr="00992AA5">
        <w:rPr>
          <w:lang w:val="pl-PL"/>
        </w:rPr>
        <w:tab/>
        <w:t>Lokalna Pętla Abonencka</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LPSS</w:t>
      </w:r>
      <w:r w:rsidRPr="00992AA5">
        <w:rPr>
          <w:lang w:val="pl-PL"/>
        </w:rPr>
        <w:tab/>
        <w:t>Logiczny Punkt Styku Sieci dwóch operatorów</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LRIC</w:t>
      </w:r>
      <w:r w:rsidRPr="00992AA5">
        <w:rPr>
          <w:lang w:val="pl-PL"/>
        </w:rPr>
        <w:tab/>
        <w:t xml:space="preserve">(ang. Long Run </w:t>
      </w:r>
      <w:proofErr w:type="spellStart"/>
      <w:r w:rsidRPr="00992AA5">
        <w:rPr>
          <w:lang w:val="pl-PL"/>
        </w:rPr>
        <w:t>Incremental</w:t>
      </w:r>
      <w:proofErr w:type="spellEnd"/>
      <w:r w:rsidRPr="00992AA5">
        <w:rPr>
          <w:lang w:val="pl-PL"/>
        </w:rPr>
        <w:t xml:space="preserve"> </w:t>
      </w:r>
      <w:proofErr w:type="spellStart"/>
      <w:r w:rsidRPr="00992AA5">
        <w:rPr>
          <w:lang w:val="pl-PL"/>
        </w:rPr>
        <w:t>Cost</w:t>
      </w:r>
      <w:proofErr w:type="spellEnd"/>
      <w:r w:rsidRPr="00992AA5">
        <w:rPr>
          <w:lang w:val="pl-PL"/>
        </w:rPr>
        <w:t>) – Metodologia długookresowych kosztów przyrostowych</w:t>
      </w:r>
    </w:p>
    <w:p w:rsidR="007A0A9B" w:rsidRPr="00992AA5" w:rsidRDefault="007A0A9B" w:rsidP="00EB6C89">
      <w:pPr>
        <w:tabs>
          <w:tab w:val="clear" w:pos="567"/>
          <w:tab w:val="left" w:pos="1560"/>
        </w:tabs>
        <w:spacing w:before="120" w:line="240" w:lineRule="auto"/>
        <w:ind w:left="1560" w:hanging="1560"/>
        <w:rPr>
          <w:lang w:val="pl-PL"/>
        </w:rPr>
      </w:pPr>
      <w:r w:rsidRPr="00992AA5">
        <w:lastRenderedPageBreak/>
        <w:t>L2TP</w:t>
      </w:r>
      <w:r w:rsidRPr="00992AA5">
        <w:tab/>
        <w:t>(</w:t>
      </w:r>
      <w:proofErr w:type="spellStart"/>
      <w:r w:rsidRPr="00992AA5">
        <w:t>ang</w:t>
      </w:r>
      <w:proofErr w:type="spellEnd"/>
      <w:r w:rsidRPr="00992AA5">
        <w:t xml:space="preserve">. Layer 2 Tunneling Protocol) – </w:t>
      </w:r>
      <w:proofErr w:type="spellStart"/>
      <w:r w:rsidRPr="00992AA5">
        <w:t>protokół</w:t>
      </w:r>
      <w:proofErr w:type="spellEnd"/>
      <w:r w:rsidRPr="00992AA5">
        <w:t xml:space="preserve"> </w:t>
      </w:r>
      <w:proofErr w:type="spellStart"/>
      <w:r w:rsidRPr="00992AA5">
        <w:t>opisany</w:t>
      </w:r>
      <w:proofErr w:type="spellEnd"/>
      <w:r w:rsidRPr="00992AA5">
        <w:t xml:space="preserve"> </w:t>
      </w:r>
      <w:proofErr w:type="spellStart"/>
      <w:r w:rsidRPr="00992AA5">
        <w:t>przez</w:t>
      </w:r>
      <w:proofErr w:type="spellEnd"/>
      <w:r w:rsidRPr="00992AA5">
        <w:t xml:space="preserve"> IETF </w:t>
      </w:r>
      <w:r w:rsidR="0042417B" w:rsidRPr="00992AA5">
        <w:br/>
      </w:r>
      <w:r w:rsidRPr="00992AA5">
        <w:t>(</w:t>
      </w:r>
      <w:proofErr w:type="spellStart"/>
      <w:r w:rsidRPr="00992AA5">
        <w:t>ang</w:t>
      </w:r>
      <w:proofErr w:type="spellEnd"/>
      <w:r w:rsidRPr="00992AA5">
        <w:t xml:space="preserve">. </w:t>
      </w:r>
      <w:r w:rsidRPr="00992AA5">
        <w:rPr>
          <w:lang w:val="pl-PL"/>
        </w:rPr>
        <w:t xml:space="preserve">Internet Engineering </w:t>
      </w:r>
      <w:proofErr w:type="spellStart"/>
      <w:r w:rsidRPr="00992AA5">
        <w:rPr>
          <w:lang w:val="pl-PL"/>
        </w:rPr>
        <w:t>Task</w:t>
      </w:r>
      <w:proofErr w:type="spellEnd"/>
      <w:r w:rsidRPr="00992AA5">
        <w:rPr>
          <w:lang w:val="pl-PL"/>
        </w:rPr>
        <w:t xml:space="preserve"> </w:t>
      </w:r>
      <w:proofErr w:type="spellStart"/>
      <w:r w:rsidRPr="00992AA5">
        <w:rPr>
          <w:lang w:val="pl-PL"/>
        </w:rPr>
        <w:t>Force</w:t>
      </w:r>
      <w:proofErr w:type="spellEnd"/>
      <w:r w:rsidRPr="00992AA5">
        <w:rPr>
          <w:lang w:val="pl-PL"/>
        </w:rPr>
        <w:t xml:space="preserve">) w specyfikacji RFC ( ang. </w:t>
      </w:r>
      <w:proofErr w:type="spellStart"/>
      <w:r w:rsidRPr="00992AA5">
        <w:rPr>
          <w:lang w:val="pl-PL"/>
        </w:rPr>
        <w:t>Request</w:t>
      </w:r>
      <w:proofErr w:type="spellEnd"/>
      <w:r w:rsidRPr="00992AA5">
        <w:rPr>
          <w:lang w:val="pl-PL"/>
        </w:rPr>
        <w:t xml:space="preserve"> for </w:t>
      </w:r>
      <w:proofErr w:type="spellStart"/>
      <w:r w:rsidRPr="00992AA5">
        <w:rPr>
          <w:lang w:val="pl-PL"/>
        </w:rPr>
        <w:t>Comments</w:t>
      </w:r>
      <w:proofErr w:type="spellEnd"/>
      <w:r w:rsidRPr="00992AA5">
        <w:rPr>
          <w:lang w:val="pl-PL"/>
        </w:rPr>
        <w:t>) 2661, emulujący warstwę łącza danych, służący do tworzenia logicznych tuneli typu punkt-punkt dla potrzeb transmisji danych</w:t>
      </w:r>
    </w:p>
    <w:p w:rsidR="007A0A9B" w:rsidRPr="00992AA5" w:rsidRDefault="007A0A9B" w:rsidP="00EB6C89">
      <w:pPr>
        <w:tabs>
          <w:tab w:val="clear" w:pos="567"/>
          <w:tab w:val="left" w:pos="1560"/>
        </w:tabs>
        <w:spacing w:before="120" w:line="240" w:lineRule="auto"/>
        <w:ind w:left="1560" w:hanging="1560"/>
      </w:pPr>
      <w:r w:rsidRPr="00992AA5">
        <w:t>MDF</w:t>
      </w:r>
      <w:r w:rsidRPr="00992AA5">
        <w:tab/>
        <w:t>(</w:t>
      </w:r>
      <w:proofErr w:type="spellStart"/>
      <w:r w:rsidRPr="00992AA5">
        <w:t>ang</w:t>
      </w:r>
      <w:proofErr w:type="spellEnd"/>
      <w:r w:rsidRPr="00992AA5">
        <w:t xml:space="preserve">. Main Distribution Frame) – </w:t>
      </w:r>
      <w:proofErr w:type="spellStart"/>
      <w:r w:rsidRPr="00992AA5">
        <w:t>Przełącznica</w:t>
      </w:r>
      <w:proofErr w:type="spellEnd"/>
      <w:r w:rsidRPr="00992AA5">
        <w:t xml:space="preserve"> </w:t>
      </w:r>
      <w:proofErr w:type="spellStart"/>
      <w:r w:rsidRPr="00992AA5">
        <w:t>główna</w:t>
      </w:r>
      <w:proofErr w:type="spellEnd"/>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MEA</w:t>
      </w:r>
      <w:r w:rsidRPr="00992AA5">
        <w:rPr>
          <w:lang w:val="pl-PL"/>
        </w:rPr>
        <w:tab/>
        <w:t xml:space="preserve">(ang. Modern </w:t>
      </w:r>
      <w:proofErr w:type="spellStart"/>
      <w:r w:rsidRPr="00992AA5">
        <w:rPr>
          <w:lang w:val="pl-PL"/>
        </w:rPr>
        <w:t>Equivalent</w:t>
      </w:r>
      <w:proofErr w:type="spellEnd"/>
      <w:r w:rsidRPr="00992AA5">
        <w:rPr>
          <w:lang w:val="pl-PL"/>
        </w:rPr>
        <w:t xml:space="preserve"> </w:t>
      </w:r>
      <w:proofErr w:type="spellStart"/>
      <w:r w:rsidRPr="00992AA5">
        <w:rPr>
          <w:lang w:val="pl-PL"/>
        </w:rPr>
        <w:t>Asset</w:t>
      </w:r>
      <w:proofErr w:type="spellEnd"/>
      <w:r w:rsidRPr="00992AA5">
        <w:rPr>
          <w:lang w:val="pl-PL"/>
        </w:rPr>
        <w:t>) – Metoda wyceny majątku polegająca na znalezieniu nowoczesnego ekwiwalentu dla urządzeń, które przeszły istotne zmiany technologiczne i nie są już dostępne na rynku</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NOK</w:t>
      </w:r>
      <w:r w:rsidRPr="00992AA5">
        <w:rPr>
          <w:lang w:val="pl-PL"/>
        </w:rPr>
        <w:tab/>
        <w:t>Operator ruchomej (komórkowej) publicznej sieci telefonicznej PLMN</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NOL</w:t>
      </w:r>
      <w:r w:rsidRPr="00992AA5">
        <w:rPr>
          <w:lang w:val="pl-PL"/>
        </w:rPr>
        <w:tab/>
        <w:t>Operator stacjonarnej publicznej sieci telefonicznej PSTN innej niż sieć OPL</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NOM/NOMN</w:t>
      </w:r>
      <w:r w:rsidRPr="00992AA5">
        <w:rPr>
          <w:lang w:val="pl-PL"/>
        </w:rPr>
        <w:tab/>
        <w:t>Operator sieci usług międzystrefowych i międzynarodowych oraz połączeń z sieci stacjonarnych do sieci ruchomych</w:t>
      </w:r>
    </w:p>
    <w:p w:rsidR="007A0A9B" w:rsidRPr="00992AA5" w:rsidRDefault="007A0A9B" w:rsidP="00EB6C89">
      <w:pPr>
        <w:tabs>
          <w:tab w:val="left" w:pos="1560"/>
        </w:tabs>
        <w:spacing w:before="120" w:line="240" w:lineRule="auto"/>
        <w:ind w:left="1560" w:hanging="1560"/>
      </w:pPr>
      <w:proofErr w:type="spellStart"/>
      <w:r w:rsidRPr="00992AA5">
        <w:t>nrt</w:t>
      </w:r>
      <w:proofErr w:type="spellEnd"/>
      <w:r w:rsidRPr="00992AA5">
        <w:t>-VBR</w:t>
      </w:r>
      <w:r w:rsidRPr="00992AA5">
        <w:tab/>
        <w:t>(</w:t>
      </w:r>
      <w:proofErr w:type="spellStart"/>
      <w:r w:rsidRPr="00992AA5">
        <w:t>ang</w:t>
      </w:r>
      <w:proofErr w:type="spellEnd"/>
      <w:r w:rsidRPr="00992AA5">
        <w:t xml:space="preserve">. non real time Variable Bit Rate) - </w:t>
      </w:r>
      <w:proofErr w:type="spellStart"/>
      <w:r w:rsidRPr="00992AA5">
        <w:t>Klasa</w:t>
      </w:r>
      <w:proofErr w:type="spellEnd"/>
      <w:r w:rsidRPr="00992AA5">
        <w:t xml:space="preserve"> </w:t>
      </w:r>
      <w:proofErr w:type="spellStart"/>
      <w:r w:rsidRPr="00992AA5">
        <w:t>ruchowa</w:t>
      </w:r>
      <w:proofErr w:type="spellEnd"/>
      <w:r w:rsidRPr="00992AA5">
        <w:t xml:space="preserve"> </w:t>
      </w:r>
      <w:proofErr w:type="spellStart"/>
      <w:r w:rsidRPr="00992AA5">
        <w:t>sieci</w:t>
      </w:r>
      <w:proofErr w:type="spellEnd"/>
      <w:r w:rsidRPr="00992AA5">
        <w:t xml:space="preserve"> ATM,</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NT</w:t>
      </w:r>
      <w:r w:rsidRPr="00992AA5">
        <w:rPr>
          <w:lang w:val="pl-PL"/>
        </w:rPr>
        <w:tab/>
        <w:t xml:space="preserve">(ang. Network </w:t>
      </w:r>
      <w:proofErr w:type="spellStart"/>
      <w:r w:rsidRPr="00992AA5">
        <w:rPr>
          <w:lang w:val="pl-PL"/>
        </w:rPr>
        <w:t>Termination</w:t>
      </w:r>
      <w:proofErr w:type="spellEnd"/>
      <w:r w:rsidRPr="00992AA5">
        <w:rPr>
          <w:lang w:val="pl-PL"/>
        </w:rPr>
        <w:t>) – Urządzenia końcowe, umożliwiające połączenie abonenta z siecią operatora przy wykorzystaniu odpowiedniego protokołu sieciowego</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OA</w:t>
      </w:r>
      <w:r w:rsidRPr="00992AA5">
        <w:rPr>
          <w:lang w:val="pl-PL"/>
        </w:rPr>
        <w:tab/>
        <w:t>Operator Alternatywny</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PAS</w:t>
      </w:r>
      <w:r w:rsidRPr="00992AA5">
        <w:rPr>
          <w:lang w:val="pl-PL"/>
        </w:rPr>
        <w:tab/>
        <w:t>Publiczne Aparaty Samoinkasujące</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PCM</w:t>
      </w:r>
      <w:r w:rsidRPr="00992AA5">
        <w:rPr>
          <w:lang w:val="pl-PL"/>
        </w:rPr>
        <w:tab/>
        <w:t xml:space="preserve">(ang. </w:t>
      </w:r>
      <w:proofErr w:type="spellStart"/>
      <w:r w:rsidRPr="00992AA5">
        <w:rPr>
          <w:lang w:val="pl-PL"/>
        </w:rPr>
        <w:t>Pulse</w:t>
      </w:r>
      <w:proofErr w:type="spellEnd"/>
      <w:r w:rsidRPr="00992AA5">
        <w:rPr>
          <w:lang w:val="pl-PL"/>
        </w:rPr>
        <w:t xml:space="preserve"> </w:t>
      </w:r>
      <w:proofErr w:type="spellStart"/>
      <w:r w:rsidRPr="00992AA5">
        <w:rPr>
          <w:lang w:val="pl-PL"/>
        </w:rPr>
        <w:t>Code</w:t>
      </w:r>
      <w:proofErr w:type="spellEnd"/>
      <w:r w:rsidRPr="00992AA5">
        <w:rPr>
          <w:lang w:val="pl-PL"/>
        </w:rPr>
        <w:t xml:space="preserve"> </w:t>
      </w:r>
      <w:proofErr w:type="spellStart"/>
      <w:r w:rsidRPr="00992AA5">
        <w:rPr>
          <w:lang w:val="pl-PL"/>
        </w:rPr>
        <w:t>Modulation</w:t>
      </w:r>
      <w:proofErr w:type="spellEnd"/>
      <w:r w:rsidRPr="00992AA5">
        <w:rPr>
          <w:lang w:val="pl-PL"/>
        </w:rPr>
        <w:t>) – Urządzenia służące do realizacji zwielokrotniania linii abonenckich</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PDH</w:t>
      </w:r>
      <w:r w:rsidRPr="00992AA5">
        <w:rPr>
          <w:lang w:val="pl-PL"/>
        </w:rPr>
        <w:tab/>
        <w:t xml:space="preserve">(ang. </w:t>
      </w:r>
      <w:proofErr w:type="spellStart"/>
      <w:r w:rsidRPr="00992AA5">
        <w:rPr>
          <w:lang w:val="pl-PL"/>
        </w:rPr>
        <w:t>Plesiochronous</w:t>
      </w:r>
      <w:proofErr w:type="spellEnd"/>
      <w:r w:rsidRPr="00992AA5">
        <w:rPr>
          <w:lang w:val="pl-PL"/>
        </w:rPr>
        <w:t xml:space="preserve"> Digital Hierarchy) – Hierarchiczny, </w:t>
      </w:r>
      <w:proofErr w:type="spellStart"/>
      <w:r w:rsidRPr="00992AA5">
        <w:rPr>
          <w:lang w:val="pl-PL"/>
        </w:rPr>
        <w:t>plezjochroniczny</w:t>
      </w:r>
      <w:proofErr w:type="spellEnd"/>
      <w:r w:rsidRPr="00992AA5">
        <w:rPr>
          <w:lang w:val="pl-PL"/>
        </w:rPr>
        <w:t xml:space="preserve"> system zwielokrotnienia i transportu sygnałów cyfrowych</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PDU</w:t>
      </w:r>
      <w:r w:rsidRPr="00992AA5">
        <w:rPr>
          <w:lang w:val="pl-PL"/>
        </w:rPr>
        <w:tab/>
        <w:t>Punkt Dostępu do Usługi realizowanej w stacjonarnej publicznej sieci telekomunikacyjnej</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POTS</w:t>
      </w:r>
      <w:r w:rsidRPr="00992AA5">
        <w:rPr>
          <w:lang w:val="pl-PL"/>
        </w:rPr>
        <w:tab/>
        <w:t xml:space="preserve">(ang. </w:t>
      </w:r>
      <w:proofErr w:type="spellStart"/>
      <w:r w:rsidRPr="00992AA5">
        <w:rPr>
          <w:lang w:val="pl-PL"/>
        </w:rPr>
        <w:t>Plain</w:t>
      </w:r>
      <w:proofErr w:type="spellEnd"/>
      <w:r w:rsidRPr="00992AA5">
        <w:rPr>
          <w:lang w:val="pl-PL"/>
        </w:rPr>
        <w:t xml:space="preserve"> Old </w:t>
      </w:r>
      <w:proofErr w:type="spellStart"/>
      <w:r w:rsidRPr="00992AA5">
        <w:rPr>
          <w:lang w:val="pl-PL"/>
        </w:rPr>
        <w:t>Telephone</w:t>
      </w:r>
      <w:proofErr w:type="spellEnd"/>
      <w:r w:rsidRPr="00992AA5">
        <w:rPr>
          <w:lang w:val="pl-PL"/>
        </w:rPr>
        <w:t xml:space="preserve"> Services) - Podstawowa usługa telefoniczna umożliwiająca analogowy przekaz głosu przez trwałe lub komutowane łącza telefoniczne</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PRA</w:t>
      </w:r>
      <w:r w:rsidRPr="00992AA5">
        <w:rPr>
          <w:lang w:val="pl-PL"/>
        </w:rPr>
        <w:tab/>
        <w:t>Łącze ISDN (30B+D).</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ROADM</w:t>
      </w:r>
      <w:r w:rsidRPr="00992AA5">
        <w:rPr>
          <w:lang w:val="pl-PL"/>
        </w:rPr>
        <w:tab/>
        <w:t xml:space="preserve">(ang. </w:t>
      </w:r>
      <w:proofErr w:type="spellStart"/>
      <w:r w:rsidRPr="00992AA5">
        <w:rPr>
          <w:lang w:val="pl-PL"/>
        </w:rPr>
        <w:t>Reconfigurable</w:t>
      </w:r>
      <w:proofErr w:type="spellEnd"/>
      <w:r w:rsidRPr="00992AA5">
        <w:rPr>
          <w:lang w:val="pl-PL"/>
        </w:rPr>
        <w:t xml:space="preserve"> </w:t>
      </w:r>
      <w:proofErr w:type="spellStart"/>
      <w:r w:rsidRPr="00992AA5">
        <w:rPr>
          <w:lang w:val="pl-PL"/>
        </w:rPr>
        <w:t>Optical</w:t>
      </w:r>
      <w:proofErr w:type="spellEnd"/>
      <w:r w:rsidRPr="00992AA5">
        <w:rPr>
          <w:lang w:val="pl-PL"/>
        </w:rPr>
        <w:t xml:space="preserve"> </w:t>
      </w:r>
      <w:proofErr w:type="spellStart"/>
      <w:r w:rsidRPr="00992AA5">
        <w:rPr>
          <w:lang w:val="pl-PL"/>
        </w:rPr>
        <w:t>Add-Drop</w:t>
      </w:r>
      <w:proofErr w:type="spellEnd"/>
      <w:r w:rsidRPr="00992AA5">
        <w:rPr>
          <w:lang w:val="pl-PL"/>
        </w:rPr>
        <w:t xml:space="preserve"> </w:t>
      </w:r>
      <w:proofErr w:type="spellStart"/>
      <w:r w:rsidRPr="00992AA5">
        <w:rPr>
          <w:lang w:val="pl-PL"/>
        </w:rPr>
        <w:t>Multiplexer</w:t>
      </w:r>
      <w:proofErr w:type="spellEnd"/>
      <w:r w:rsidRPr="00992AA5">
        <w:rPr>
          <w:lang w:val="pl-PL"/>
        </w:rPr>
        <w:t xml:space="preserve">) - Optyczny multiplekser typu </w:t>
      </w:r>
      <w:proofErr w:type="spellStart"/>
      <w:r w:rsidRPr="00992AA5">
        <w:rPr>
          <w:lang w:val="pl-PL"/>
        </w:rPr>
        <w:t>Add-Drop</w:t>
      </w:r>
      <w:proofErr w:type="spellEnd"/>
      <w:r w:rsidRPr="00992AA5">
        <w:rPr>
          <w:lang w:val="pl-PL"/>
        </w:rPr>
        <w:t xml:space="preserve"> z możliwością przełączania ruchu na poziomie długości fali.</w:t>
      </w:r>
    </w:p>
    <w:p w:rsidR="007A0A9B" w:rsidRPr="00992AA5" w:rsidRDefault="007A0A9B" w:rsidP="00EB6C89">
      <w:pPr>
        <w:tabs>
          <w:tab w:val="clear" w:pos="567"/>
          <w:tab w:val="left" w:pos="1560"/>
        </w:tabs>
        <w:spacing w:before="120" w:line="240" w:lineRule="auto"/>
        <w:ind w:left="1560" w:hanging="1560"/>
      </w:pPr>
      <w:r w:rsidRPr="00992AA5">
        <w:t>PRI</w:t>
      </w:r>
      <w:r w:rsidRPr="00992AA5">
        <w:tab/>
      </w:r>
      <w:proofErr w:type="spellStart"/>
      <w:r w:rsidRPr="00992AA5">
        <w:t>Łącze</w:t>
      </w:r>
      <w:proofErr w:type="spellEnd"/>
      <w:r w:rsidRPr="00992AA5">
        <w:t xml:space="preserve"> ISDN (30B+D)</w:t>
      </w:r>
    </w:p>
    <w:p w:rsidR="007A0A9B" w:rsidRPr="00992AA5" w:rsidRDefault="007A0A9B" w:rsidP="00EB6C89">
      <w:pPr>
        <w:tabs>
          <w:tab w:val="clear" w:pos="567"/>
          <w:tab w:val="left" w:pos="1560"/>
        </w:tabs>
        <w:spacing w:before="120" w:line="240" w:lineRule="auto"/>
        <w:ind w:left="1560" w:hanging="1560"/>
      </w:pPr>
      <w:proofErr w:type="spellStart"/>
      <w:r w:rsidRPr="00992AA5">
        <w:t>rt</w:t>
      </w:r>
      <w:proofErr w:type="spellEnd"/>
      <w:r w:rsidRPr="00992AA5">
        <w:t>-VBR</w:t>
      </w:r>
      <w:r w:rsidRPr="00992AA5">
        <w:tab/>
        <w:t>(</w:t>
      </w:r>
      <w:proofErr w:type="spellStart"/>
      <w:r w:rsidRPr="00992AA5">
        <w:t>ang</w:t>
      </w:r>
      <w:proofErr w:type="spellEnd"/>
      <w:r w:rsidRPr="00992AA5">
        <w:t xml:space="preserve">. real time Variable Bit Rate) - </w:t>
      </w:r>
      <w:proofErr w:type="spellStart"/>
      <w:r w:rsidRPr="00992AA5">
        <w:t>Klasa</w:t>
      </w:r>
      <w:proofErr w:type="spellEnd"/>
      <w:r w:rsidRPr="00992AA5">
        <w:t xml:space="preserve"> </w:t>
      </w:r>
      <w:proofErr w:type="spellStart"/>
      <w:r w:rsidRPr="00992AA5">
        <w:t>ruchowa</w:t>
      </w:r>
      <w:proofErr w:type="spellEnd"/>
      <w:r w:rsidRPr="00992AA5">
        <w:t xml:space="preserve"> </w:t>
      </w:r>
      <w:proofErr w:type="spellStart"/>
      <w:r w:rsidRPr="00992AA5">
        <w:t>sieci</w:t>
      </w:r>
      <w:proofErr w:type="spellEnd"/>
      <w:r w:rsidRPr="00992AA5">
        <w:t xml:space="preserve"> ATM</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SDH</w:t>
      </w:r>
      <w:r w:rsidRPr="00992AA5">
        <w:rPr>
          <w:lang w:val="pl-PL"/>
        </w:rPr>
        <w:tab/>
        <w:t xml:space="preserve">(ang. </w:t>
      </w:r>
      <w:proofErr w:type="spellStart"/>
      <w:r w:rsidRPr="00992AA5">
        <w:rPr>
          <w:lang w:val="pl-PL"/>
        </w:rPr>
        <w:t>Synchronous</w:t>
      </w:r>
      <w:proofErr w:type="spellEnd"/>
      <w:r w:rsidRPr="00992AA5">
        <w:rPr>
          <w:lang w:val="pl-PL"/>
        </w:rPr>
        <w:t xml:space="preserve"> Digital Hierarchy) – Synchroniczny system transportowy, umożliwiający wzrost przepływności, stosowany w sieciach telekomunikacyjnych z zastosowaniem światłowodów</w:t>
      </w:r>
    </w:p>
    <w:p w:rsidR="007A0A9B" w:rsidRPr="00992AA5" w:rsidRDefault="007A0A9B" w:rsidP="00EB6C89">
      <w:pPr>
        <w:tabs>
          <w:tab w:val="left" w:pos="1560"/>
        </w:tabs>
        <w:spacing w:before="120" w:line="240" w:lineRule="auto"/>
        <w:ind w:left="1559" w:hanging="1559"/>
        <w:rPr>
          <w:rStyle w:val="st"/>
          <w:lang w:val="pl-PL"/>
        </w:rPr>
      </w:pPr>
      <w:r w:rsidRPr="00992AA5">
        <w:rPr>
          <w:lang w:val="pl-PL"/>
        </w:rPr>
        <w:t>SHDSL</w:t>
      </w:r>
      <w:r w:rsidRPr="00992AA5">
        <w:rPr>
          <w:lang w:val="pl-PL"/>
        </w:rPr>
        <w:tab/>
        <w:t xml:space="preserve">(ang. </w:t>
      </w:r>
      <w:proofErr w:type="spellStart"/>
      <w:r w:rsidRPr="00992AA5">
        <w:rPr>
          <w:lang w:val="pl-PL"/>
        </w:rPr>
        <w:t>Symmetric</w:t>
      </w:r>
      <w:proofErr w:type="spellEnd"/>
      <w:r w:rsidRPr="00992AA5">
        <w:rPr>
          <w:lang w:val="pl-PL"/>
        </w:rPr>
        <w:t xml:space="preserve"> </w:t>
      </w:r>
      <w:proofErr w:type="spellStart"/>
      <w:r w:rsidRPr="00992AA5">
        <w:rPr>
          <w:lang w:val="pl-PL"/>
        </w:rPr>
        <w:t>High-speed</w:t>
      </w:r>
      <w:proofErr w:type="spellEnd"/>
      <w:r w:rsidRPr="00992AA5">
        <w:rPr>
          <w:lang w:val="pl-PL"/>
        </w:rPr>
        <w:t xml:space="preserve"> Digital </w:t>
      </w:r>
      <w:proofErr w:type="spellStart"/>
      <w:r w:rsidRPr="00992AA5">
        <w:rPr>
          <w:lang w:val="pl-PL"/>
        </w:rPr>
        <w:t>Subscriber</w:t>
      </w:r>
      <w:proofErr w:type="spellEnd"/>
      <w:r w:rsidRPr="00992AA5">
        <w:rPr>
          <w:lang w:val="pl-PL"/>
        </w:rPr>
        <w:t xml:space="preserve"> Line) - Standard technologii</w:t>
      </w:r>
      <w:r w:rsidRPr="00992AA5">
        <w:rPr>
          <w:rStyle w:val="st"/>
          <w:lang w:val="pl-PL"/>
        </w:rPr>
        <w:t xml:space="preserve"> DSL umożliwiający szerokopasmowy, symetryczny dostęp do sieci za pomocą okablowania miedzianego</w:t>
      </w:r>
    </w:p>
    <w:p w:rsidR="007A0A9B" w:rsidRPr="00992AA5" w:rsidRDefault="007A0A9B" w:rsidP="00EB6C89">
      <w:pPr>
        <w:tabs>
          <w:tab w:val="left" w:pos="1560"/>
        </w:tabs>
        <w:spacing w:before="120" w:line="240" w:lineRule="auto"/>
        <w:ind w:left="1560" w:hanging="1560"/>
        <w:rPr>
          <w:lang w:val="pl-PL"/>
        </w:rPr>
      </w:pPr>
      <w:r w:rsidRPr="00992AA5">
        <w:rPr>
          <w:lang w:val="pl-PL"/>
        </w:rPr>
        <w:t>SS7</w:t>
      </w:r>
      <w:r w:rsidRPr="00992AA5">
        <w:rPr>
          <w:lang w:val="pl-PL"/>
        </w:rPr>
        <w:tab/>
      </w:r>
      <w:r w:rsidRPr="00992AA5">
        <w:rPr>
          <w:lang w:val="pl-PL"/>
        </w:rPr>
        <w:tab/>
        <w:t xml:space="preserve">(ang. </w:t>
      </w:r>
      <w:proofErr w:type="spellStart"/>
      <w:r w:rsidRPr="00992AA5">
        <w:rPr>
          <w:iCs/>
          <w:lang w:val="pl-PL"/>
        </w:rPr>
        <w:t>Signaling</w:t>
      </w:r>
      <w:proofErr w:type="spellEnd"/>
      <w:r w:rsidRPr="00992AA5">
        <w:rPr>
          <w:iCs/>
          <w:lang w:val="pl-PL"/>
        </w:rPr>
        <w:t xml:space="preserve"> System No. 7) - Z</w:t>
      </w:r>
      <w:r w:rsidRPr="00992AA5">
        <w:rPr>
          <w:lang w:val="pl-PL"/>
        </w:rPr>
        <w:t>biór protokołów, stosowany w sieciach telekomunikacyjnych do przesyłania sygnałów sterowania i wiadomości sygnalizacyjnych pomiędzy centralami.</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STM</w:t>
      </w:r>
      <w:r w:rsidRPr="00992AA5">
        <w:rPr>
          <w:lang w:val="pl-PL"/>
        </w:rPr>
        <w:tab/>
        <w:t xml:space="preserve">(ang. </w:t>
      </w:r>
      <w:proofErr w:type="spellStart"/>
      <w:r w:rsidRPr="00992AA5">
        <w:rPr>
          <w:lang w:val="pl-PL"/>
        </w:rPr>
        <w:t>Synchronous</w:t>
      </w:r>
      <w:proofErr w:type="spellEnd"/>
      <w:r w:rsidRPr="00992AA5">
        <w:rPr>
          <w:lang w:val="pl-PL"/>
        </w:rPr>
        <w:t xml:space="preserve"> Transport Module) – Moduł transportowy STM stanowiący blok </w:t>
      </w:r>
      <w:proofErr w:type="spellStart"/>
      <w:r w:rsidRPr="00992AA5">
        <w:rPr>
          <w:lang w:val="pl-PL"/>
        </w:rPr>
        <w:t>informacji</w:t>
      </w:r>
      <w:proofErr w:type="spellEnd"/>
      <w:r w:rsidRPr="00992AA5">
        <w:rPr>
          <w:lang w:val="pl-PL"/>
        </w:rPr>
        <w:t xml:space="preserve"> cyfrowej, stosowany w SDH</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lastRenderedPageBreak/>
        <w:t>TELRIC</w:t>
      </w:r>
      <w:r w:rsidRPr="00992AA5">
        <w:rPr>
          <w:lang w:val="pl-PL"/>
        </w:rPr>
        <w:tab/>
        <w:t xml:space="preserve">(ang. Total </w:t>
      </w:r>
      <w:proofErr w:type="spellStart"/>
      <w:r w:rsidRPr="00992AA5">
        <w:rPr>
          <w:lang w:val="pl-PL"/>
        </w:rPr>
        <w:t>Elements</w:t>
      </w:r>
      <w:proofErr w:type="spellEnd"/>
      <w:r w:rsidRPr="00992AA5">
        <w:rPr>
          <w:lang w:val="pl-PL"/>
        </w:rPr>
        <w:t xml:space="preserve"> Long Run </w:t>
      </w:r>
      <w:proofErr w:type="spellStart"/>
      <w:r w:rsidRPr="00992AA5">
        <w:rPr>
          <w:lang w:val="pl-PL"/>
        </w:rPr>
        <w:t>Incremental</w:t>
      </w:r>
      <w:proofErr w:type="spellEnd"/>
      <w:r w:rsidRPr="00992AA5">
        <w:rPr>
          <w:lang w:val="pl-PL"/>
        </w:rPr>
        <w:t xml:space="preserve"> </w:t>
      </w:r>
      <w:proofErr w:type="spellStart"/>
      <w:r w:rsidRPr="00992AA5">
        <w:rPr>
          <w:lang w:val="pl-PL"/>
        </w:rPr>
        <w:t>Cost</w:t>
      </w:r>
      <w:proofErr w:type="spellEnd"/>
      <w:r w:rsidRPr="00992AA5">
        <w:rPr>
          <w:lang w:val="pl-PL"/>
        </w:rPr>
        <w:t>) – Metodologia kalkulacji długookresowych kosztów przyrostowych w oparciu o modelowe elementy sieci</w:t>
      </w:r>
    </w:p>
    <w:p w:rsidR="007A0A9B" w:rsidRPr="00992AA5" w:rsidRDefault="007A0A9B" w:rsidP="00EB6C89">
      <w:pPr>
        <w:tabs>
          <w:tab w:val="left" w:pos="1560"/>
        </w:tabs>
        <w:spacing w:before="120" w:line="240" w:lineRule="auto"/>
        <w:ind w:left="1560" w:hanging="1560"/>
        <w:rPr>
          <w:lang w:val="pl-PL"/>
        </w:rPr>
      </w:pPr>
      <w:r w:rsidRPr="00992AA5">
        <w:rPr>
          <w:lang w:val="pl-PL"/>
        </w:rPr>
        <w:t xml:space="preserve">UBR </w:t>
      </w:r>
      <w:r w:rsidRPr="00992AA5">
        <w:rPr>
          <w:lang w:val="pl-PL"/>
        </w:rPr>
        <w:tab/>
      </w:r>
      <w:r w:rsidRPr="00992AA5">
        <w:rPr>
          <w:lang w:val="pl-PL"/>
        </w:rPr>
        <w:tab/>
        <w:t xml:space="preserve">(ang. </w:t>
      </w:r>
      <w:proofErr w:type="spellStart"/>
      <w:r w:rsidRPr="00992AA5">
        <w:rPr>
          <w:lang w:val="pl-PL"/>
        </w:rPr>
        <w:t>Unspecified</w:t>
      </w:r>
      <w:proofErr w:type="spellEnd"/>
      <w:r w:rsidRPr="00992AA5">
        <w:rPr>
          <w:lang w:val="pl-PL"/>
        </w:rPr>
        <w:t xml:space="preserve"> Bit </w:t>
      </w:r>
      <w:proofErr w:type="spellStart"/>
      <w:r w:rsidRPr="00992AA5">
        <w:rPr>
          <w:lang w:val="pl-PL"/>
        </w:rPr>
        <w:t>Rate</w:t>
      </w:r>
      <w:proofErr w:type="spellEnd"/>
      <w:r w:rsidRPr="00992AA5">
        <w:rPr>
          <w:lang w:val="pl-PL"/>
        </w:rPr>
        <w:t>) – klasa ruchowa sieci ATM</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V5.x</w:t>
      </w:r>
      <w:r w:rsidRPr="00992AA5">
        <w:rPr>
          <w:lang w:val="pl-PL"/>
        </w:rPr>
        <w:tab/>
        <w:t xml:space="preserve">Łącze o przepływności 2 </w:t>
      </w:r>
      <w:proofErr w:type="spellStart"/>
      <w:r w:rsidRPr="00992AA5">
        <w:rPr>
          <w:lang w:val="pl-PL"/>
        </w:rPr>
        <w:t>Mbit</w:t>
      </w:r>
      <w:proofErr w:type="spellEnd"/>
      <w:r w:rsidRPr="00992AA5">
        <w:rPr>
          <w:lang w:val="pl-PL"/>
        </w:rPr>
        <w:t>/s o znormalizowanym styku V5.x</w:t>
      </w:r>
    </w:p>
    <w:p w:rsidR="007A0A9B" w:rsidRPr="00992AA5" w:rsidRDefault="007A0A9B" w:rsidP="00EB6C89">
      <w:pPr>
        <w:tabs>
          <w:tab w:val="left" w:pos="1560"/>
        </w:tabs>
        <w:spacing w:before="120" w:line="240" w:lineRule="auto"/>
        <w:ind w:left="1560" w:hanging="1560"/>
        <w:rPr>
          <w:lang w:val="pl-PL"/>
        </w:rPr>
      </w:pPr>
      <w:r w:rsidRPr="00992AA5">
        <w:rPr>
          <w:lang w:val="pl-PL"/>
        </w:rPr>
        <w:t>VDSL</w:t>
      </w:r>
      <w:r w:rsidRPr="00992AA5">
        <w:rPr>
          <w:lang w:val="pl-PL"/>
        </w:rPr>
        <w:tab/>
        <w:t xml:space="preserve">lub VHDSL (ang. </w:t>
      </w:r>
      <w:proofErr w:type="spellStart"/>
      <w:r w:rsidRPr="00992AA5">
        <w:rPr>
          <w:lang w:val="pl-PL"/>
        </w:rPr>
        <w:t>Very</w:t>
      </w:r>
      <w:proofErr w:type="spellEnd"/>
      <w:r w:rsidRPr="00992AA5">
        <w:rPr>
          <w:lang w:val="pl-PL"/>
        </w:rPr>
        <w:t xml:space="preserve"> High </w:t>
      </w:r>
      <w:proofErr w:type="spellStart"/>
      <w:r w:rsidRPr="00992AA5">
        <w:rPr>
          <w:lang w:val="pl-PL"/>
        </w:rPr>
        <w:t>Speed</w:t>
      </w:r>
      <w:proofErr w:type="spellEnd"/>
      <w:r w:rsidRPr="00992AA5">
        <w:rPr>
          <w:lang w:val="pl-PL"/>
        </w:rPr>
        <w:t xml:space="preserve"> DSL) - Technologia </w:t>
      </w:r>
      <w:proofErr w:type="spellStart"/>
      <w:r w:rsidRPr="00992AA5">
        <w:rPr>
          <w:lang w:val="pl-PL"/>
        </w:rPr>
        <w:t>xDSL</w:t>
      </w:r>
      <w:proofErr w:type="spellEnd"/>
      <w:r w:rsidRPr="00992AA5">
        <w:rPr>
          <w:lang w:val="pl-PL"/>
        </w:rPr>
        <w:t xml:space="preserve"> zapewniająca szybką transmisję danych przez pojedynczą parę miedzianą.</w:t>
      </w:r>
    </w:p>
    <w:p w:rsidR="007A0A9B" w:rsidRPr="00992AA5" w:rsidRDefault="007A0A9B" w:rsidP="00EB6C89">
      <w:pPr>
        <w:tabs>
          <w:tab w:val="left" w:pos="1560"/>
        </w:tabs>
        <w:spacing w:before="120" w:line="240" w:lineRule="auto"/>
        <w:ind w:left="1560" w:hanging="1560"/>
      </w:pPr>
      <w:proofErr w:type="spellStart"/>
      <w:r w:rsidRPr="00992AA5">
        <w:t>VoD</w:t>
      </w:r>
      <w:proofErr w:type="spellEnd"/>
      <w:r w:rsidRPr="00992AA5">
        <w:tab/>
      </w:r>
      <w:r w:rsidRPr="00992AA5">
        <w:tab/>
      </w:r>
      <w:r w:rsidRPr="00992AA5">
        <w:rPr>
          <w:iCs/>
        </w:rPr>
        <w:t>(</w:t>
      </w:r>
      <w:proofErr w:type="spellStart"/>
      <w:r w:rsidRPr="00992AA5">
        <w:rPr>
          <w:iCs/>
        </w:rPr>
        <w:t>ang</w:t>
      </w:r>
      <w:proofErr w:type="spellEnd"/>
      <w:r w:rsidRPr="00992AA5">
        <w:rPr>
          <w:iCs/>
        </w:rPr>
        <w:t>. Video on Demand)</w:t>
      </w:r>
      <w:r w:rsidRPr="00992AA5">
        <w:t xml:space="preserve"> - </w:t>
      </w:r>
      <w:proofErr w:type="spellStart"/>
      <w:r w:rsidRPr="00992AA5">
        <w:t>Wideo</w:t>
      </w:r>
      <w:proofErr w:type="spellEnd"/>
      <w:r w:rsidRPr="00992AA5">
        <w:t xml:space="preserve"> </w:t>
      </w:r>
      <w:proofErr w:type="spellStart"/>
      <w:r w:rsidRPr="00992AA5">
        <w:t>na</w:t>
      </w:r>
      <w:proofErr w:type="spellEnd"/>
      <w:r w:rsidRPr="00992AA5">
        <w:t xml:space="preserve"> </w:t>
      </w:r>
      <w:proofErr w:type="spellStart"/>
      <w:r w:rsidRPr="00992AA5">
        <w:t>żądanie</w:t>
      </w:r>
      <w:proofErr w:type="spellEnd"/>
      <w:r w:rsidRPr="00992AA5">
        <w:t>.</w:t>
      </w:r>
    </w:p>
    <w:p w:rsidR="007A0A9B" w:rsidRPr="00992AA5" w:rsidRDefault="007A0A9B" w:rsidP="00EB6C89">
      <w:pPr>
        <w:tabs>
          <w:tab w:val="clear" w:pos="567"/>
          <w:tab w:val="left" w:pos="1560"/>
        </w:tabs>
        <w:spacing w:before="120" w:line="240" w:lineRule="auto"/>
        <w:ind w:left="1560" w:hanging="1560"/>
      </w:pPr>
      <w:r w:rsidRPr="00992AA5">
        <w:t>VP</w:t>
      </w:r>
      <w:r w:rsidRPr="00992AA5">
        <w:tab/>
        <w:t>(</w:t>
      </w:r>
      <w:proofErr w:type="spellStart"/>
      <w:r w:rsidRPr="00992AA5">
        <w:t>ang</w:t>
      </w:r>
      <w:proofErr w:type="spellEnd"/>
      <w:r w:rsidRPr="00992AA5">
        <w:t xml:space="preserve">. Virtual Path) – </w:t>
      </w:r>
      <w:proofErr w:type="spellStart"/>
      <w:r w:rsidRPr="00992AA5">
        <w:t>Ścieżka</w:t>
      </w:r>
      <w:proofErr w:type="spellEnd"/>
      <w:r w:rsidRPr="00992AA5">
        <w:t xml:space="preserve"> </w:t>
      </w:r>
      <w:proofErr w:type="spellStart"/>
      <w:r w:rsidRPr="00992AA5">
        <w:t>wirtualna</w:t>
      </w:r>
      <w:proofErr w:type="spellEnd"/>
    </w:p>
    <w:p w:rsidR="007A0A9B" w:rsidRPr="00992AA5" w:rsidRDefault="007A0A9B" w:rsidP="00EB6C89">
      <w:pPr>
        <w:tabs>
          <w:tab w:val="left" w:pos="1560"/>
        </w:tabs>
        <w:spacing w:before="120" w:line="240" w:lineRule="auto"/>
        <w:ind w:left="1560" w:hanging="1560"/>
      </w:pPr>
      <w:r w:rsidRPr="00992AA5">
        <w:t>VPN</w:t>
      </w:r>
      <w:r w:rsidRPr="00992AA5">
        <w:tab/>
      </w:r>
      <w:r w:rsidRPr="00992AA5">
        <w:tab/>
        <w:t>(</w:t>
      </w:r>
      <w:proofErr w:type="spellStart"/>
      <w:r w:rsidRPr="00992AA5">
        <w:t>ang.Virtual</w:t>
      </w:r>
      <w:proofErr w:type="spellEnd"/>
      <w:r w:rsidRPr="00992AA5">
        <w:t xml:space="preserve"> Private Network) - </w:t>
      </w:r>
      <w:proofErr w:type="spellStart"/>
      <w:r w:rsidRPr="00992AA5">
        <w:t>Wirtualna</w:t>
      </w:r>
      <w:proofErr w:type="spellEnd"/>
      <w:r w:rsidRPr="00992AA5">
        <w:t xml:space="preserve"> </w:t>
      </w:r>
      <w:proofErr w:type="spellStart"/>
      <w:r w:rsidRPr="00992AA5">
        <w:t>sieć</w:t>
      </w:r>
      <w:proofErr w:type="spellEnd"/>
      <w:r w:rsidRPr="00992AA5">
        <w:t xml:space="preserve"> </w:t>
      </w:r>
      <w:proofErr w:type="spellStart"/>
      <w:r w:rsidRPr="00992AA5">
        <w:t>prywatna</w:t>
      </w:r>
      <w:proofErr w:type="spellEnd"/>
      <w:r w:rsidRPr="00992AA5">
        <w:t>.</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WACC</w:t>
      </w:r>
      <w:r w:rsidRPr="00992AA5">
        <w:rPr>
          <w:lang w:val="pl-PL"/>
        </w:rPr>
        <w:tab/>
        <w:t xml:space="preserve">(ang. </w:t>
      </w:r>
      <w:proofErr w:type="spellStart"/>
      <w:r w:rsidRPr="00992AA5">
        <w:rPr>
          <w:lang w:val="pl-PL"/>
        </w:rPr>
        <w:t>Weighted</w:t>
      </w:r>
      <w:proofErr w:type="spellEnd"/>
      <w:r w:rsidRPr="00992AA5">
        <w:rPr>
          <w:lang w:val="pl-PL"/>
        </w:rPr>
        <w:t xml:space="preserve"> </w:t>
      </w:r>
      <w:proofErr w:type="spellStart"/>
      <w:r w:rsidRPr="00992AA5">
        <w:rPr>
          <w:lang w:val="pl-PL"/>
        </w:rPr>
        <w:t>Average</w:t>
      </w:r>
      <w:proofErr w:type="spellEnd"/>
      <w:r w:rsidRPr="00992AA5">
        <w:rPr>
          <w:lang w:val="pl-PL"/>
        </w:rPr>
        <w:t xml:space="preserve"> </w:t>
      </w:r>
      <w:proofErr w:type="spellStart"/>
      <w:r w:rsidRPr="00992AA5">
        <w:rPr>
          <w:lang w:val="pl-PL"/>
        </w:rPr>
        <w:t>Cost</w:t>
      </w:r>
      <w:proofErr w:type="spellEnd"/>
      <w:r w:rsidRPr="00992AA5">
        <w:rPr>
          <w:lang w:val="pl-PL"/>
        </w:rPr>
        <w:t xml:space="preserve"> of Capital) – Wskaźnik średniego ważonego kosztu kapitału (wskaźnik wymaganego zwrotu z zaangażowanego kapitału)</w:t>
      </w:r>
    </w:p>
    <w:p w:rsidR="007A0A9B" w:rsidRPr="00992AA5" w:rsidRDefault="007A0A9B" w:rsidP="00EB6C89">
      <w:pPr>
        <w:tabs>
          <w:tab w:val="clear" w:pos="567"/>
          <w:tab w:val="left" w:pos="1560"/>
        </w:tabs>
        <w:spacing w:before="120" w:line="240" w:lineRule="auto"/>
        <w:ind w:left="1560" w:hanging="1560"/>
        <w:rPr>
          <w:lang w:val="pl-PL"/>
        </w:rPr>
      </w:pPr>
      <w:r w:rsidRPr="00992AA5">
        <w:rPr>
          <w:lang w:val="pl-PL"/>
        </w:rPr>
        <w:t>WŁM</w:t>
      </w:r>
      <w:r w:rsidRPr="00992AA5">
        <w:rPr>
          <w:lang w:val="pl-PL"/>
        </w:rPr>
        <w:tab/>
        <w:t>Wiązka Łączy Międzycentralowych w stacjonarnej publicznej sieci telekomunikacyjnej.</w:t>
      </w:r>
    </w:p>
    <w:p w:rsidR="007A0A9B" w:rsidRPr="00992AA5" w:rsidRDefault="007A0A9B" w:rsidP="00EB6C89">
      <w:pPr>
        <w:tabs>
          <w:tab w:val="left" w:pos="1560"/>
        </w:tabs>
        <w:spacing w:before="120" w:line="240" w:lineRule="auto"/>
        <w:ind w:left="1560" w:hanging="1560"/>
        <w:rPr>
          <w:lang w:val="pl-PL"/>
        </w:rPr>
      </w:pPr>
      <w:r w:rsidRPr="00992AA5">
        <w:rPr>
          <w:lang w:val="pl-PL"/>
        </w:rPr>
        <w:t xml:space="preserve">WIMAX </w:t>
      </w:r>
      <w:r w:rsidRPr="00992AA5">
        <w:rPr>
          <w:lang w:val="pl-PL"/>
        </w:rPr>
        <w:tab/>
        <w:t xml:space="preserve">(ang. Worldwide </w:t>
      </w:r>
      <w:proofErr w:type="spellStart"/>
      <w:r w:rsidRPr="00992AA5">
        <w:rPr>
          <w:lang w:val="pl-PL"/>
        </w:rPr>
        <w:t>Interoperability</w:t>
      </w:r>
      <w:proofErr w:type="spellEnd"/>
      <w:r w:rsidRPr="00992AA5">
        <w:rPr>
          <w:lang w:val="pl-PL"/>
        </w:rPr>
        <w:t xml:space="preserve"> for </w:t>
      </w:r>
      <w:proofErr w:type="spellStart"/>
      <w:r w:rsidRPr="00992AA5">
        <w:rPr>
          <w:lang w:val="pl-PL"/>
        </w:rPr>
        <w:t>Microwave</w:t>
      </w:r>
      <w:proofErr w:type="spellEnd"/>
      <w:r w:rsidRPr="00992AA5">
        <w:rPr>
          <w:lang w:val="pl-PL"/>
        </w:rPr>
        <w:t xml:space="preserve"> Access) - Technika bezprzewodowej, radiowej transmisji danych.</w:t>
      </w:r>
    </w:p>
    <w:p w:rsidR="007A0A9B" w:rsidRPr="00992AA5" w:rsidRDefault="007A0A9B" w:rsidP="00EB6C89">
      <w:pPr>
        <w:tabs>
          <w:tab w:val="left" w:pos="1560"/>
        </w:tabs>
        <w:spacing w:before="120" w:line="240" w:lineRule="auto"/>
        <w:ind w:left="1560" w:hanging="1560"/>
        <w:rPr>
          <w:lang w:val="pl-PL" w:eastAsia="en-US"/>
        </w:rPr>
      </w:pPr>
      <w:r w:rsidRPr="00992AA5">
        <w:rPr>
          <w:lang w:val="pl-PL"/>
        </w:rPr>
        <w:t>WLR</w:t>
      </w:r>
      <w:r w:rsidRPr="00992AA5">
        <w:rPr>
          <w:lang w:val="pl-PL"/>
        </w:rPr>
        <w:tab/>
      </w:r>
      <w:r w:rsidRPr="00992AA5">
        <w:rPr>
          <w:lang w:val="pl-PL"/>
        </w:rPr>
        <w:tab/>
        <w:t xml:space="preserve">(ang. </w:t>
      </w:r>
      <w:proofErr w:type="spellStart"/>
      <w:r w:rsidRPr="00992AA5">
        <w:rPr>
          <w:bCs/>
          <w:iCs/>
          <w:lang w:val="pl-PL"/>
        </w:rPr>
        <w:t>W</w:t>
      </w:r>
      <w:r w:rsidRPr="00992AA5">
        <w:rPr>
          <w:iCs/>
          <w:lang w:val="pl-PL"/>
        </w:rPr>
        <w:t>holesale</w:t>
      </w:r>
      <w:proofErr w:type="spellEnd"/>
      <w:r w:rsidRPr="00992AA5">
        <w:rPr>
          <w:iCs/>
          <w:lang w:val="pl-PL"/>
        </w:rPr>
        <w:t xml:space="preserve"> </w:t>
      </w:r>
      <w:r w:rsidRPr="00992AA5">
        <w:rPr>
          <w:bCs/>
          <w:iCs/>
          <w:lang w:val="pl-PL"/>
        </w:rPr>
        <w:t>L</w:t>
      </w:r>
      <w:r w:rsidRPr="00992AA5">
        <w:rPr>
          <w:iCs/>
          <w:lang w:val="pl-PL"/>
        </w:rPr>
        <w:t xml:space="preserve">ine </w:t>
      </w:r>
      <w:proofErr w:type="spellStart"/>
      <w:r w:rsidRPr="00992AA5">
        <w:rPr>
          <w:bCs/>
          <w:iCs/>
          <w:lang w:val="pl-PL"/>
        </w:rPr>
        <w:t>R</w:t>
      </w:r>
      <w:r w:rsidRPr="00992AA5">
        <w:rPr>
          <w:iCs/>
          <w:lang w:val="pl-PL"/>
        </w:rPr>
        <w:t>ental</w:t>
      </w:r>
      <w:proofErr w:type="spellEnd"/>
      <w:r w:rsidRPr="00992AA5">
        <w:rPr>
          <w:lang w:val="pl-PL"/>
        </w:rPr>
        <w:t xml:space="preserve">) - </w:t>
      </w:r>
      <w:r w:rsidRPr="00992AA5">
        <w:rPr>
          <w:lang w:val="pl-PL" w:eastAsia="en-US"/>
        </w:rPr>
        <w:t>Oferowanie na warunkach hurtowych przez OPL innemu operatorowi usług głosowych świadczonych w sieci stacjonarnej OPL.</w:t>
      </w:r>
    </w:p>
    <w:p w:rsidR="007A0A9B" w:rsidRPr="00992AA5" w:rsidRDefault="007A0A9B" w:rsidP="00EB6C89">
      <w:pPr>
        <w:tabs>
          <w:tab w:val="left" w:pos="1560"/>
        </w:tabs>
        <w:spacing w:before="120" w:line="240" w:lineRule="auto"/>
        <w:ind w:left="1560" w:hanging="1560"/>
        <w:rPr>
          <w:lang w:val="pl-PL"/>
        </w:rPr>
      </w:pPr>
      <w:r w:rsidRPr="00992AA5">
        <w:rPr>
          <w:lang w:val="pl-PL" w:eastAsia="en-US"/>
        </w:rPr>
        <w:t>WT</w:t>
      </w:r>
      <w:r w:rsidRPr="00992AA5">
        <w:rPr>
          <w:lang w:val="pl-PL" w:eastAsia="en-US"/>
        </w:rPr>
        <w:tab/>
      </w:r>
      <w:r w:rsidRPr="00992AA5">
        <w:rPr>
          <w:lang w:val="pl-PL" w:eastAsia="en-US"/>
        </w:rPr>
        <w:tab/>
        <w:t>wywiad techniczny – sprawdzenie możliwości technicznych wykonania usługi</w:t>
      </w:r>
    </w:p>
    <w:p w:rsidR="00C82680" w:rsidRPr="00992AA5" w:rsidRDefault="00C82680" w:rsidP="00EB6C89">
      <w:pPr>
        <w:spacing w:before="120" w:line="240" w:lineRule="auto"/>
        <w:rPr>
          <w:b/>
          <w:lang w:val="pl-PL"/>
        </w:rPr>
      </w:pPr>
    </w:p>
    <w:p w:rsidR="00B92BFC" w:rsidRPr="00992AA5" w:rsidRDefault="00316F5B" w:rsidP="00EB6C89">
      <w:pPr>
        <w:pStyle w:val="MIKNagwek1"/>
        <w:spacing w:before="120" w:after="0" w:line="240" w:lineRule="auto"/>
        <w:rPr>
          <w:sz w:val="22"/>
          <w:szCs w:val="22"/>
          <w:lang w:val="pl-PL"/>
        </w:rPr>
      </w:pPr>
      <w:bookmarkStart w:id="32" w:name="_Toc67362836"/>
      <w:bookmarkStart w:id="33" w:name="_Toc169500093"/>
      <w:bookmarkEnd w:id="17"/>
      <w:r w:rsidRPr="00992AA5">
        <w:rPr>
          <w:sz w:val="22"/>
          <w:szCs w:val="22"/>
          <w:lang w:val="pl-PL"/>
        </w:rPr>
        <w:br w:type="page"/>
      </w:r>
      <w:bookmarkStart w:id="34" w:name="_Toc314727573"/>
      <w:bookmarkStart w:id="35" w:name="_Toc383521135"/>
      <w:r w:rsidR="00772BBD" w:rsidRPr="00992AA5">
        <w:rPr>
          <w:sz w:val="22"/>
          <w:szCs w:val="22"/>
          <w:lang w:val="pl-PL"/>
        </w:rPr>
        <w:lastRenderedPageBreak/>
        <w:t>M</w:t>
      </w:r>
      <w:r w:rsidR="00B92BFC" w:rsidRPr="00992AA5">
        <w:rPr>
          <w:sz w:val="22"/>
          <w:szCs w:val="22"/>
          <w:lang w:val="pl-PL"/>
        </w:rPr>
        <w:t xml:space="preserve">etody przeszacowania </w:t>
      </w:r>
      <w:bookmarkEnd w:id="32"/>
      <w:r w:rsidR="00B92BFC" w:rsidRPr="00992AA5">
        <w:rPr>
          <w:sz w:val="22"/>
          <w:szCs w:val="22"/>
          <w:lang w:val="pl-PL"/>
        </w:rPr>
        <w:t>środków trwałych i wartości niematerialnych i prawnych</w:t>
      </w:r>
      <w:bookmarkEnd w:id="33"/>
      <w:bookmarkEnd w:id="34"/>
      <w:bookmarkEnd w:id="35"/>
    </w:p>
    <w:p w:rsidR="00B92BFC" w:rsidRPr="00992AA5" w:rsidRDefault="00B92BFC" w:rsidP="00EB6C89">
      <w:pPr>
        <w:spacing w:before="120" w:line="240" w:lineRule="auto"/>
        <w:rPr>
          <w:lang w:val="pl-PL"/>
        </w:rPr>
      </w:pPr>
      <w:r w:rsidRPr="00992AA5">
        <w:rPr>
          <w:lang w:val="pl-PL"/>
        </w:rPr>
        <w:t xml:space="preserve">W oparciu o powyższe regulacje </w:t>
      </w:r>
      <w:r w:rsidR="00905979" w:rsidRPr="00992AA5">
        <w:rPr>
          <w:lang w:val="pl-PL"/>
        </w:rPr>
        <w:t xml:space="preserve">OPL </w:t>
      </w:r>
      <w:r w:rsidRPr="00992AA5">
        <w:rPr>
          <w:lang w:val="pl-PL"/>
        </w:rPr>
        <w:t>wyodrębniła i stosuje następujące metody ustalenia wartości bieżącej środków trwałych i wartości niematerialnych i prawnych:</w:t>
      </w:r>
    </w:p>
    <w:p w:rsidR="00B92BFC" w:rsidRPr="00992AA5" w:rsidRDefault="00B92BFC" w:rsidP="00EB6C89">
      <w:pPr>
        <w:spacing w:before="120" w:line="240" w:lineRule="auto"/>
        <w:rPr>
          <w:lang w:val="pl-PL"/>
        </w:rPr>
      </w:pPr>
      <w:r w:rsidRPr="00992AA5">
        <w:rPr>
          <w:lang w:val="pl-PL"/>
        </w:rPr>
        <w:t>wycena bezpośrednia;</w:t>
      </w:r>
    </w:p>
    <w:p w:rsidR="00B92BFC" w:rsidRPr="00992AA5" w:rsidRDefault="00B92BFC" w:rsidP="00EB6C89">
      <w:pPr>
        <w:spacing w:before="120" w:line="240" w:lineRule="auto"/>
        <w:rPr>
          <w:lang w:val="pl-PL"/>
        </w:rPr>
      </w:pPr>
      <w:r w:rsidRPr="00992AA5">
        <w:rPr>
          <w:lang w:val="pl-PL"/>
        </w:rPr>
        <w:t>wycena wg nowoczesnego odpowiednika (MEA);</w:t>
      </w:r>
    </w:p>
    <w:p w:rsidR="00B92BFC" w:rsidRPr="00992AA5" w:rsidRDefault="00B92BFC" w:rsidP="00EB6C89">
      <w:pPr>
        <w:spacing w:before="120" w:line="240" w:lineRule="auto"/>
        <w:rPr>
          <w:lang w:val="pl-PL"/>
        </w:rPr>
      </w:pPr>
      <w:r w:rsidRPr="00992AA5">
        <w:rPr>
          <w:lang w:val="pl-PL"/>
        </w:rPr>
        <w:t>wycena metodą indeksacji;</w:t>
      </w:r>
    </w:p>
    <w:p w:rsidR="00B92BFC" w:rsidRPr="00992AA5" w:rsidRDefault="00B92BFC" w:rsidP="00EB6C89">
      <w:pPr>
        <w:spacing w:before="120" w:line="240" w:lineRule="auto"/>
        <w:rPr>
          <w:lang w:val="pl-PL"/>
        </w:rPr>
      </w:pPr>
      <w:r w:rsidRPr="00992AA5">
        <w:rPr>
          <w:lang w:val="pl-PL"/>
        </w:rPr>
        <w:t>wycena wg wartości historycznej.</w:t>
      </w:r>
    </w:p>
    <w:p w:rsidR="00B92BFC" w:rsidRPr="00992AA5" w:rsidRDefault="00905979" w:rsidP="00EB6C89">
      <w:pPr>
        <w:spacing w:before="120" w:line="240" w:lineRule="auto"/>
        <w:rPr>
          <w:snapToGrid w:val="0"/>
          <w:lang w:val="pl-PL"/>
        </w:rPr>
      </w:pPr>
      <w:r w:rsidRPr="00992AA5">
        <w:rPr>
          <w:snapToGrid w:val="0"/>
          <w:lang w:val="pl-PL"/>
        </w:rPr>
        <w:t xml:space="preserve">OPL </w:t>
      </w:r>
      <w:r w:rsidR="00B92BFC" w:rsidRPr="00992AA5">
        <w:rPr>
          <w:snapToGrid w:val="0"/>
          <w:lang w:val="pl-PL"/>
        </w:rPr>
        <w:t xml:space="preserve">przyjęła założenie, że o ile jest to możliwe przyjmuje się metodę wyceny </w:t>
      </w:r>
      <w:r w:rsidR="0042417B" w:rsidRPr="00992AA5">
        <w:rPr>
          <w:snapToGrid w:val="0"/>
          <w:lang w:val="pl-PL"/>
        </w:rPr>
        <w:br/>
      </w:r>
      <w:r w:rsidR="009A6C81" w:rsidRPr="00992AA5">
        <w:rPr>
          <w:snapToGrid w:val="0"/>
          <w:lang w:val="pl-PL"/>
        </w:rPr>
        <w:t>wg nowoczesnego odpowiednika (MEA)</w:t>
      </w:r>
      <w:r w:rsidR="00B92BFC" w:rsidRPr="00992AA5">
        <w:rPr>
          <w:snapToGrid w:val="0"/>
          <w:lang w:val="pl-PL"/>
        </w:rPr>
        <w:t xml:space="preserve">. Pozostałe metody stosowane są wyłącznie </w:t>
      </w:r>
      <w:r w:rsidR="0042417B" w:rsidRPr="00992AA5">
        <w:rPr>
          <w:snapToGrid w:val="0"/>
          <w:lang w:val="pl-PL"/>
        </w:rPr>
        <w:br/>
      </w:r>
      <w:r w:rsidR="00B92BFC" w:rsidRPr="00992AA5">
        <w:rPr>
          <w:snapToGrid w:val="0"/>
          <w:lang w:val="pl-PL"/>
        </w:rPr>
        <w:t xml:space="preserve">w przypadkach, w których zastosowanie metody </w:t>
      </w:r>
      <w:r w:rsidR="009A6C81" w:rsidRPr="00992AA5">
        <w:rPr>
          <w:snapToGrid w:val="0"/>
          <w:lang w:val="pl-PL"/>
        </w:rPr>
        <w:t xml:space="preserve">wyceny wg nowoczesnego odpowiednika (MEA) </w:t>
      </w:r>
      <w:r w:rsidR="00B92BFC" w:rsidRPr="00992AA5">
        <w:rPr>
          <w:snapToGrid w:val="0"/>
          <w:lang w:val="pl-PL"/>
        </w:rPr>
        <w:t xml:space="preserve">nie jest w danych warunkach możliwe. </w:t>
      </w:r>
    </w:p>
    <w:p w:rsidR="009A6C81" w:rsidRPr="00992AA5" w:rsidRDefault="009A6C81" w:rsidP="00EB6C89">
      <w:pPr>
        <w:spacing w:before="120" w:line="240" w:lineRule="auto"/>
        <w:rPr>
          <w:snapToGrid w:val="0"/>
          <w:lang w:val="pl-PL"/>
        </w:rPr>
      </w:pPr>
      <w:r w:rsidRPr="00992AA5">
        <w:rPr>
          <w:snapToGrid w:val="0"/>
          <w:lang w:val="pl-PL"/>
        </w:rPr>
        <w:t xml:space="preserve">Poniższy </w:t>
      </w:r>
      <w:r w:rsidR="00071AB1" w:rsidRPr="00992AA5">
        <w:rPr>
          <w:snapToGrid w:val="0"/>
          <w:lang w:val="pl-PL"/>
        </w:rPr>
        <w:t xml:space="preserve">schemat obrazuje zastosowany przez </w:t>
      </w:r>
      <w:r w:rsidR="0058657B" w:rsidRPr="00992AA5">
        <w:rPr>
          <w:snapToGrid w:val="0"/>
          <w:lang w:val="pl-PL"/>
        </w:rPr>
        <w:t xml:space="preserve">OPL </w:t>
      </w:r>
      <w:r w:rsidR="00071AB1" w:rsidRPr="00992AA5">
        <w:rPr>
          <w:snapToGrid w:val="0"/>
          <w:lang w:val="pl-PL"/>
        </w:rPr>
        <w:t xml:space="preserve">sposób wyboru metody wyceny środków trwałych i wartości niematerialnych i prawnych: </w:t>
      </w:r>
    </w:p>
    <w:p w:rsidR="00071AB1" w:rsidRPr="00992AA5" w:rsidRDefault="00071AB1" w:rsidP="00EB6C89">
      <w:pPr>
        <w:spacing w:before="120" w:line="240" w:lineRule="auto"/>
        <w:rPr>
          <w:snapToGrid w:val="0"/>
          <w:lang w:val="pl-PL"/>
        </w:rPr>
      </w:pPr>
    </w:p>
    <w:p w:rsidR="00071AB1" w:rsidRPr="00992AA5" w:rsidRDefault="008B5FA8" w:rsidP="00EB6C89">
      <w:pPr>
        <w:spacing w:before="120" w:line="240" w:lineRule="auto"/>
        <w:rPr>
          <w:snapToGrid w:val="0"/>
          <w:lang w:val="pl-PL"/>
        </w:rPr>
      </w:pPr>
      <w:r w:rsidRPr="00992AA5">
        <w:rPr>
          <w:noProof/>
          <w:lang w:val="pl-PL"/>
        </w:rPr>
        <w:drawing>
          <wp:inline distT="0" distB="0" distL="0" distR="0">
            <wp:extent cx="5752465" cy="3561715"/>
            <wp:effectExtent l="0" t="0" r="635" b="63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2465" cy="3561715"/>
                    </a:xfrm>
                    <a:prstGeom prst="rect">
                      <a:avLst/>
                    </a:prstGeom>
                    <a:noFill/>
                    <a:ln>
                      <a:noFill/>
                    </a:ln>
                  </pic:spPr>
                </pic:pic>
              </a:graphicData>
            </a:graphic>
          </wp:inline>
        </w:drawing>
      </w:r>
    </w:p>
    <w:p w:rsidR="00EE4689" w:rsidRPr="00992AA5" w:rsidRDefault="00BC7C3F" w:rsidP="00EB6C89">
      <w:pPr>
        <w:spacing w:before="120" w:line="240" w:lineRule="auto"/>
        <w:rPr>
          <w:lang w:val="pl-PL"/>
        </w:rPr>
      </w:pPr>
      <w:r w:rsidRPr="00992AA5">
        <w:rPr>
          <w:lang w:val="pl-PL"/>
        </w:rPr>
        <w:t xml:space="preserve">W oparciu o powyższy sposób postępowania zostały wybrane metody wyceny, zgodnie </w:t>
      </w:r>
      <w:r w:rsidR="0042417B" w:rsidRPr="00992AA5">
        <w:rPr>
          <w:lang w:val="pl-PL"/>
        </w:rPr>
        <w:br/>
      </w:r>
      <w:r w:rsidRPr="00992AA5">
        <w:rPr>
          <w:lang w:val="pl-PL"/>
        </w:rPr>
        <w:t xml:space="preserve">z którymi dokonano przeszacowania do wartości bieżącej poszczególnych kategorii środków trwałych i wartości niematerialnych i prawnych. Zastosowane metody wyceny dla poszczególnych kategorii środków trwałych i wartości niematerialnych i prawnych pokazuje tabela w punkcie </w:t>
      </w:r>
      <w:r w:rsidR="00E07858" w:rsidRPr="00992AA5">
        <w:rPr>
          <w:lang w:val="pl-PL"/>
        </w:rPr>
        <w:t>3</w:t>
      </w:r>
      <w:r w:rsidRPr="00992AA5">
        <w:rPr>
          <w:lang w:val="pl-PL"/>
        </w:rPr>
        <w:t xml:space="preserve">. </w:t>
      </w:r>
      <w:bookmarkStart w:id="36" w:name="_Ref148155969"/>
      <w:bookmarkStart w:id="37" w:name="_Toc169500094"/>
      <w:bookmarkStart w:id="38" w:name="_Toc314727574"/>
    </w:p>
    <w:p w:rsidR="00B92BFC" w:rsidRPr="00992AA5" w:rsidRDefault="00B92BFC" w:rsidP="00EB6C89">
      <w:pPr>
        <w:pStyle w:val="Akapitzlist"/>
        <w:numPr>
          <w:ilvl w:val="2"/>
          <w:numId w:val="26"/>
        </w:numPr>
        <w:tabs>
          <w:tab w:val="clear" w:pos="2127"/>
          <w:tab w:val="num" w:pos="851"/>
        </w:tabs>
        <w:spacing w:before="120" w:line="240" w:lineRule="auto"/>
        <w:ind w:left="851" w:hanging="851"/>
        <w:rPr>
          <w:b/>
          <w:bCs/>
          <w:lang w:val="pl-PL"/>
        </w:rPr>
      </w:pPr>
      <w:r w:rsidRPr="00992AA5">
        <w:rPr>
          <w:b/>
          <w:lang w:val="pl-PL"/>
        </w:rPr>
        <w:t>Grupowanie środków trwałych i wartości niematerialnych i prawnych</w:t>
      </w:r>
      <w:bookmarkEnd w:id="36"/>
      <w:bookmarkEnd w:id="37"/>
      <w:bookmarkEnd w:id="38"/>
    </w:p>
    <w:p w:rsidR="00B92BFC" w:rsidRPr="00992AA5" w:rsidRDefault="00B92BFC" w:rsidP="00EB6C89">
      <w:pPr>
        <w:spacing w:before="120" w:line="240" w:lineRule="auto"/>
        <w:rPr>
          <w:lang w:val="pl-PL"/>
        </w:rPr>
      </w:pPr>
      <w:r w:rsidRPr="00992AA5">
        <w:rPr>
          <w:lang w:val="pl-PL"/>
        </w:rPr>
        <w:t>Kluczowym etapem prac warunkującym prawidłową wycenę elementów sieci jest ustalenie pełnej listy grup środków trwałych występujących w modelach kalkulacyjnych. Wyznaczenie grup środków trwałych uwarunkowane jest przez:</w:t>
      </w:r>
    </w:p>
    <w:p w:rsidR="00B92BFC" w:rsidRPr="00992AA5" w:rsidRDefault="00B92BFC" w:rsidP="00EB6C89">
      <w:pPr>
        <w:pStyle w:val="Akapitzlist"/>
        <w:numPr>
          <w:ilvl w:val="0"/>
          <w:numId w:val="55"/>
        </w:numPr>
        <w:spacing w:before="120" w:line="240" w:lineRule="auto"/>
        <w:contextualSpacing w:val="0"/>
        <w:rPr>
          <w:lang w:val="pl-PL"/>
        </w:rPr>
      </w:pPr>
      <w:r w:rsidRPr="00992AA5">
        <w:rPr>
          <w:lang w:val="pl-PL"/>
        </w:rPr>
        <w:t>stopień zaangażowania w świadczenie usług,</w:t>
      </w:r>
    </w:p>
    <w:p w:rsidR="00B92BFC" w:rsidRPr="00992AA5" w:rsidRDefault="00B92BFC" w:rsidP="00EB6C89">
      <w:pPr>
        <w:pStyle w:val="Akapitzlist"/>
        <w:numPr>
          <w:ilvl w:val="0"/>
          <w:numId w:val="55"/>
        </w:numPr>
        <w:spacing w:before="120" w:line="240" w:lineRule="auto"/>
        <w:contextualSpacing w:val="0"/>
        <w:rPr>
          <w:lang w:val="pl-PL"/>
        </w:rPr>
      </w:pPr>
      <w:r w:rsidRPr="00992AA5">
        <w:rPr>
          <w:lang w:val="pl-PL"/>
        </w:rPr>
        <w:t>jednorodność kosztową środka trwałego umożliwiającą prawidłową alokację,</w:t>
      </w:r>
    </w:p>
    <w:p w:rsidR="00B92BFC" w:rsidRPr="00992AA5" w:rsidRDefault="00B92BFC" w:rsidP="00EB6C89">
      <w:pPr>
        <w:pStyle w:val="Akapitzlist"/>
        <w:numPr>
          <w:ilvl w:val="0"/>
          <w:numId w:val="55"/>
        </w:numPr>
        <w:spacing w:before="120" w:line="240" w:lineRule="auto"/>
        <w:contextualSpacing w:val="0"/>
        <w:rPr>
          <w:lang w:val="pl-PL"/>
        </w:rPr>
      </w:pPr>
      <w:r w:rsidRPr="00992AA5">
        <w:rPr>
          <w:lang w:val="pl-PL"/>
        </w:rPr>
        <w:lastRenderedPageBreak/>
        <w:t>ich zastosowanie w przyjętych metodach kalkulacji,</w:t>
      </w:r>
    </w:p>
    <w:p w:rsidR="00B92BFC" w:rsidRPr="00992AA5" w:rsidRDefault="00B92BFC" w:rsidP="00EB6C89">
      <w:pPr>
        <w:pStyle w:val="Akapitzlist"/>
        <w:numPr>
          <w:ilvl w:val="0"/>
          <w:numId w:val="55"/>
        </w:numPr>
        <w:spacing w:before="120" w:line="240" w:lineRule="auto"/>
        <w:ind w:left="567" w:hanging="207"/>
        <w:contextualSpacing w:val="0"/>
        <w:rPr>
          <w:lang w:val="pl-PL"/>
        </w:rPr>
      </w:pPr>
      <w:r w:rsidRPr="00992AA5">
        <w:rPr>
          <w:lang w:val="pl-PL"/>
        </w:rPr>
        <w:t xml:space="preserve">ustalenie listy komponentów przeprowadza się w oparciu o specyfikacje techniczne urządzeń telekomunikacyjnych, dane od producentów urządzeń oraz wiedzę specjalistów odpowiedzialnych w </w:t>
      </w:r>
      <w:r w:rsidR="00905979" w:rsidRPr="00992AA5">
        <w:rPr>
          <w:lang w:val="pl-PL"/>
        </w:rPr>
        <w:t xml:space="preserve">OPL </w:t>
      </w:r>
      <w:r w:rsidRPr="00992AA5">
        <w:rPr>
          <w:lang w:val="pl-PL"/>
        </w:rPr>
        <w:t>za inwestycje i eksploatację poszczególnych rodzajów i typów technologii oraz sprzętu.</w:t>
      </w:r>
    </w:p>
    <w:p w:rsidR="00B92BFC" w:rsidRPr="00992AA5" w:rsidRDefault="00B92BFC" w:rsidP="00EB6C89">
      <w:pPr>
        <w:pStyle w:val="MIKNagwek2"/>
        <w:rPr>
          <w:sz w:val="22"/>
          <w:szCs w:val="22"/>
        </w:rPr>
      </w:pPr>
      <w:bookmarkStart w:id="39" w:name="_Toc169500095"/>
      <w:bookmarkStart w:id="40" w:name="_Toc314727575"/>
      <w:bookmarkStart w:id="41" w:name="_Toc383521136"/>
      <w:r w:rsidRPr="00992AA5">
        <w:rPr>
          <w:sz w:val="22"/>
          <w:szCs w:val="22"/>
        </w:rPr>
        <w:t>Wycena bezpośrednia</w:t>
      </w:r>
      <w:bookmarkEnd w:id="39"/>
      <w:bookmarkEnd w:id="40"/>
      <w:bookmarkEnd w:id="41"/>
      <w:r w:rsidRPr="00992AA5">
        <w:rPr>
          <w:sz w:val="22"/>
          <w:szCs w:val="22"/>
        </w:rPr>
        <w:t xml:space="preserve"> </w:t>
      </w:r>
    </w:p>
    <w:p w:rsidR="00B92BFC" w:rsidRPr="00992AA5" w:rsidRDefault="00B92BFC" w:rsidP="00EB6C89">
      <w:pPr>
        <w:pStyle w:val="Tekstpodstawowy"/>
        <w:spacing w:before="120"/>
        <w:rPr>
          <w:sz w:val="22"/>
          <w:szCs w:val="22"/>
        </w:rPr>
      </w:pPr>
      <w:r w:rsidRPr="00992AA5">
        <w:rPr>
          <w:sz w:val="22"/>
          <w:szCs w:val="22"/>
        </w:rPr>
        <w:t>Wycena bezpośrednia środków trwałych odbywa się:</w:t>
      </w:r>
    </w:p>
    <w:p w:rsidR="00B92BFC" w:rsidRPr="00992AA5" w:rsidRDefault="00B92BFC" w:rsidP="00EB6C89">
      <w:pPr>
        <w:pStyle w:val="Tekstpodstawowy"/>
        <w:numPr>
          <w:ilvl w:val="0"/>
          <w:numId w:val="13"/>
        </w:numPr>
        <w:spacing w:before="120"/>
        <w:rPr>
          <w:sz w:val="22"/>
          <w:szCs w:val="22"/>
        </w:rPr>
      </w:pPr>
      <w:r w:rsidRPr="00992AA5">
        <w:rPr>
          <w:sz w:val="22"/>
          <w:szCs w:val="22"/>
        </w:rPr>
        <w:t>bezpośrednio dla całego środka trwałego;</w:t>
      </w:r>
    </w:p>
    <w:p w:rsidR="00B92BFC" w:rsidRPr="00992AA5" w:rsidRDefault="00B92BFC" w:rsidP="00EB6C89">
      <w:pPr>
        <w:pStyle w:val="Tekstpodstawowy"/>
        <w:numPr>
          <w:ilvl w:val="0"/>
          <w:numId w:val="13"/>
        </w:numPr>
        <w:spacing w:before="120"/>
        <w:rPr>
          <w:sz w:val="22"/>
          <w:szCs w:val="22"/>
        </w:rPr>
      </w:pPr>
      <w:r w:rsidRPr="00992AA5">
        <w:rPr>
          <w:sz w:val="22"/>
          <w:szCs w:val="22"/>
        </w:rPr>
        <w:t>bezpośrednio dla środka trwałego z uwzględnieniem jego komponentów</w:t>
      </w:r>
      <w:r w:rsidR="0053204C" w:rsidRPr="00992AA5">
        <w:rPr>
          <w:sz w:val="22"/>
          <w:szCs w:val="22"/>
        </w:rPr>
        <w:t xml:space="preserve">. </w:t>
      </w:r>
    </w:p>
    <w:p w:rsidR="00B92BFC" w:rsidRPr="00992AA5" w:rsidRDefault="00B92BFC" w:rsidP="00EB6C89">
      <w:pPr>
        <w:pStyle w:val="CM15"/>
        <w:spacing w:before="120" w:after="0"/>
        <w:jc w:val="both"/>
        <w:rPr>
          <w:rFonts w:ascii="Arial" w:hAnsi="Arial" w:cs="Arial"/>
          <w:sz w:val="22"/>
          <w:szCs w:val="22"/>
        </w:rPr>
      </w:pPr>
      <w:r w:rsidRPr="00992AA5">
        <w:rPr>
          <w:rFonts w:ascii="Arial" w:hAnsi="Arial" w:cs="Arial"/>
          <w:sz w:val="22"/>
          <w:szCs w:val="22"/>
        </w:rPr>
        <w:t xml:space="preserve">Metoda wyceny bezpośredniej polega na przemnożeniu wolumenu poszczególnych środków/komponentów cenowych przez bieżące ceny tych środków/komponentów cenowych. Przez cenę bieżącą środka/komponentu cenowego należy rozumieć cenę </w:t>
      </w:r>
      <w:r w:rsidR="00AD48A1" w:rsidRPr="00992AA5">
        <w:rPr>
          <w:rFonts w:ascii="Arial" w:hAnsi="Arial" w:cs="Arial"/>
          <w:sz w:val="22"/>
          <w:szCs w:val="22"/>
        </w:rPr>
        <w:t>dostępną na dzień kalkulacji (wprowadzania danych do modelu)</w:t>
      </w:r>
      <w:r w:rsidRPr="00992AA5">
        <w:rPr>
          <w:rFonts w:ascii="Arial" w:hAnsi="Arial" w:cs="Arial"/>
          <w:sz w:val="22"/>
          <w:szCs w:val="22"/>
        </w:rPr>
        <w:t xml:space="preserve">. </w:t>
      </w:r>
    </w:p>
    <w:p w:rsidR="00F960A3" w:rsidRPr="00992AA5" w:rsidRDefault="00F960A3" w:rsidP="00EB6C89">
      <w:pPr>
        <w:pStyle w:val="CM15"/>
        <w:spacing w:before="120" w:after="0"/>
        <w:jc w:val="both"/>
        <w:rPr>
          <w:rFonts w:ascii="Arial" w:hAnsi="Arial" w:cs="Arial"/>
          <w:sz w:val="22"/>
          <w:szCs w:val="22"/>
        </w:rPr>
      </w:pPr>
      <w:r w:rsidRPr="00992AA5">
        <w:rPr>
          <w:rFonts w:ascii="Arial" w:hAnsi="Arial" w:cs="Arial"/>
          <w:sz w:val="22"/>
          <w:szCs w:val="22"/>
        </w:rPr>
        <w:t>Wycena bezpośrednia jest stosowana dla wybranych kategorii środków trwałych</w:t>
      </w:r>
      <w:r w:rsidR="00A43B82" w:rsidRPr="00992AA5">
        <w:rPr>
          <w:rFonts w:ascii="Arial" w:hAnsi="Arial" w:cs="Arial"/>
          <w:sz w:val="22"/>
          <w:szCs w:val="22"/>
        </w:rPr>
        <w:t xml:space="preserve"> i wartości niematerialnych i prawnych, jeżeli składnik aktywów jest dostępny na rynku i nie przeszedł znaczących zmian technologicznych, a jego zastosowanie nie jest nieuzasadnione </w:t>
      </w:r>
      <w:r w:rsidR="0042417B" w:rsidRPr="00992AA5">
        <w:rPr>
          <w:rFonts w:ascii="Arial" w:hAnsi="Arial" w:cs="Arial"/>
          <w:sz w:val="22"/>
          <w:szCs w:val="22"/>
        </w:rPr>
        <w:br/>
      </w:r>
      <w:r w:rsidR="00A43B82" w:rsidRPr="00992AA5">
        <w:rPr>
          <w:rFonts w:ascii="Arial" w:hAnsi="Arial" w:cs="Arial"/>
          <w:sz w:val="22"/>
          <w:szCs w:val="22"/>
        </w:rPr>
        <w:t>ze względu na postęp technologiczny, oraz</w:t>
      </w:r>
      <w:r w:rsidRPr="00992AA5">
        <w:rPr>
          <w:rFonts w:ascii="Arial" w:hAnsi="Arial" w:cs="Arial"/>
          <w:sz w:val="22"/>
          <w:szCs w:val="22"/>
        </w:rPr>
        <w:t xml:space="preserve"> przy następujących założeniach:</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technologia jest dostępna na rynku,</w:t>
      </w:r>
    </w:p>
    <w:p w:rsidR="00F960A3" w:rsidRPr="00992AA5" w:rsidRDefault="005A504D"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 xml:space="preserve">OPL </w:t>
      </w:r>
      <w:r w:rsidR="00F960A3" w:rsidRPr="00992AA5">
        <w:rPr>
          <w:rFonts w:ascii="Arial" w:hAnsi="Arial" w:cs="Arial"/>
          <w:sz w:val="22"/>
          <w:szCs w:val="22"/>
        </w:rPr>
        <w:t>posiada rzetelne i weryfikowalne dane odnośnie wolumenów wycenianych komponentów. W przypadku, gdy wolumeny komponentów cenowych nie są pozyskiwane z </w:t>
      </w:r>
      <w:r w:rsidR="004F09C3" w:rsidRPr="00992AA5">
        <w:rPr>
          <w:rFonts w:ascii="Arial" w:hAnsi="Arial" w:cs="Arial"/>
          <w:sz w:val="22"/>
          <w:szCs w:val="22"/>
        </w:rPr>
        <w:t xml:space="preserve">systemów ewidencyjnych bądź inwentaryzacyjnych </w:t>
      </w:r>
      <w:r w:rsidRPr="00992AA5">
        <w:rPr>
          <w:rFonts w:ascii="Arial" w:hAnsi="Arial" w:cs="Arial"/>
          <w:sz w:val="22"/>
          <w:szCs w:val="22"/>
        </w:rPr>
        <w:t>OPL</w:t>
      </w:r>
      <w:r w:rsidR="00F960A3" w:rsidRPr="00992AA5">
        <w:rPr>
          <w:rFonts w:ascii="Arial" w:hAnsi="Arial" w:cs="Arial"/>
          <w:sz w:val="22"/>
          <w:szCs w:val="22"/>
        </w:rPr>
        <w:t xml:space="preserve">, ale są wyznaczone na podstawie założeń lub modeli inżynierskich, wszystkie takie założenia lub modele inżynierskie </w:t>
      </w:r>
      <w:r w:rsidR="0042417B" w:rsidRPr="00992AA5">
        <w:rPr>
          <w:rFonts w:ascii="Arial" w:hAnsi="Arial" w:cs="Arial"/>
          <w:sz w:val="22"/>
          <w:szCs w:val="22"/>
        </w:rPr>
        <w:br/>
      </w:r>
      <w:r w:rsidR="00F960A3" w:rsidRPr="00992AA5">
        <w:rPr>
          <w:rFonts w:ascii="Arial" w:hAnsi="Arial" w:cs="Arial"/>
          <w:sz w:val="22"/>
          <w:szCs w:val="22"/>
        </w:rPr>
        <w:t>są wiarygodnie udokumentowane,</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 xml:space="preserve">stosowane do wyliczeń ceny jednostkowe pochodzą z obowiązujących </w:t>
      </w:r>
      <w:r w:rsidR="0042417B" w:rsidRPr="00992AA5">
        <w:rPr>
          <w:rFonts w:ascii="Arial" w:hAnsi="Arial" w:cs="Arial"/>
          <w:sz w:val="22"/>
          <w:szCs w:val="22"/>
        </w:rPr>
        <w:br/>
      </w:r>
      <w:r w:rsidRPr="00992AA5">
        <w:rPr>
          <w:rFonts w:ascii="Arial" w:hAnsi="Arial" w:cs="Arial"/>
          <w:sz w:val="22"/>
          <w:szCs w:val="22"/>
        </w:rPr>
        <w:t xml:space="preserve">i najbardziej aktualnych </w:t>
      </w:r>
      <w:r w:rsidR="00505954" w:rsidRPr="00992AA5">
        <w:rPr>
          <w:rFonts w:ascii="Arial" w:hAnsi="Arial" w:cs="Arial"/>
          <w:sz w:val="22"/>
          <w:szCs w:val="22"/>
        </w:rPr>
        <w:t>dostępnych na dzień kalkulacji (wprowadzania danych do modelu)</w:t>
      </w:r>
      <w:r w:rsidRPr="00992AA5">
        <w:rPr>
          <w:rFonts w:ascii="Arial" w:hAnsi="Arial" w:cs="Arial"/>
          <w:sz w:val="22"/>
          <w:szCs w:val="22"/>
        </w:rPr>
        <w:t xml:space="preserve"> umów i uwzględniają wszystkie upusty i rabaty uzyskane przez </w:t>
      </w:r>
      <w:r w:rsidR="005A504D" w:rsidRPr="00992AA5">
        <w:rPr>
          <w:rFonts w:ascii="Arial" w:hAnsi="Arial" w:cs="Arial"/>
          <w:sz w:val="22"/>
          <w:szCs w:val="22"/>
        </w:rPr>
        <w:t xml:space="preserve">Spółkę </w:t>
      </w:r>
      <w:r w:rsidRPr="00992AA5">
        <w:rPr>
          <w:rFonts w:ascii="Arial" w:hAnsi="Arial" w:cs="Arial"/>
          <w:sz w:val="22"/>
          <w:szCs w:val="22"/>
        </w:rPr>
        <w:t>od dostawców</w:t>
      </w:r>
      <w:r w:rsidR="003973D2" w:rsidRPr="00992AA5">
        <w:rPr>
          <w:rFonts w:ascii="Arial" w:hAnsi="Arial" w:cs="Arial"/>
          <w:sz w:val="22"/>
          <w:szCs w:val="22"/>
        </w:rPr>
        <w:t>,</w:t>
      </w:r>
      <w:r w:rsidRPr="00992AA5">
        <w:rPr>
          <w:rFonts w:ascii="Arial" w:hAnsi="Arial" w:cs="Arial"/>
          <w:sz w:val="22"/>
          <w:szCs w:val="22"/>
        </w:rPr>
        <w:t xml:space="preserve"> zarówno dotyczące poszczególnych pozycji </w:t>
      </w:r>
      <w:r w:rsidR="0042417B" w:rsidRPr="00992AA5">
        <w:rPr>
          <w:rFonts w:ascii="Arial" w:hAnsi="Arial" w:cs="Arial"/>
          <w:sz w:val="22"/>
          <w:szCs w:val="22"/>
        </w:rPr>
        <w:br/>
      </w:r>
      <w:r w:rsidRPr="00992AA5">
        <w:rPr>
          <w:rFonts w:ascii="Arial" w:hAnsi="Arial" w:cs="Arial"/>
          <w:sz w:val="22"/>
          <w:szCs w:val="22"/>
        </w:rPr>
        <w:t xml:space="preserve">jak i całokształtu współpracy dostawcy z </w:t>
      </w:r>
      <w:r w:rsidR="005A504D" w:rsidRPr="00992AA5">
        <w:rPr>
          <w:rFonts w:ascii="Arial" w:hAnsi="Arial" w:cs="Arial"/>
          <w:sz w:val="22"/>
          <w:szCs w:val="22"/>
        </w:rPr>
        <w:t>OPL</w:t>
      </w:r>
      <w:r w:rsidRPr="00992AA5">
        <w:rPr>
          <w:rFonts w:ascii="Arial" w:hAnsi="Arial" w:cs="Arial"/>
          <w:sz w:val="22"/>
          <w:szCs w:val="22"/>
        </w:rPr>
        <w:t>,</w:t>
      </w:r>
      <w:r w:rsidR="003973D2" w:rsidRPr="00992AA5">
        <w:rPr>
          <w:rFonts w:ascii="Arial" w:hAnsi="Arial" w:cs="Arial"/>
          <w:sz w:val="22"/>
          <w:szCs w:val="22"/>
        </w:rPr>
        <w:t xml:space="preserve"> zawarte w tych umowach, </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 xml:space="preserve">w przypadku braku obowiązujących umów zawartych przez </w:t>
      </w:r>
      <w:r w:rsidR="005A504D" w:rsidRPr="00992AA5">
        <w:rPr>
          <w:rFonts w:ascii="Arial" w:hAnsi="Arial" w:cs="Arial"/>
          <w:sz w:val="22"/>
          <w:szCs w:val="22"/>
        </w:rPr>
        <w:t xml:space="preserve">Spółkę </w:t>
      </w:r>
      <w:r w:rsidRPr="00992AA5">
        <w:rPr>
          <w:rFonts w:ascii="Arial" w:hAnsi="Arial" w:cs="Arial"/>
          <w:sz w:val="22"/>
          <w:szCs w:val="22"/>
        </w:rPr>
        <w:t>stosuje się cenniki rynkowe lub otrzymane odpowiedzi na zapytania ofertowe,</w:t>
      </w:r>
      <w:r w:rsidR="00130135" w:rsidRPr="00992AA5">
        <w:rPr>
          <w:rFonts w:ascii="Arial" w:hAnsi="Arial" w:cs="Arial"/>
          <w:sz w:val="22"/>
          <w:szCs w:val="22"/>
        </w:rPr>
        <w:t xml:space="preserve"> </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 xml:space="preserve">ceny pochodzące z zapytań ofertowych wybierane są jedynie przy zachowaniu warunków konkurencyjności postępowania ofertowego. Jako minimum w postępowaniu musi uczestniczyć co najmniej 3 oferentów, musi nastąpić porównanie ofert, wybrana cena musi być </w:t>
      </w:r>
      <w:r w:rsidR="00156A10" w:rsidRPr="00992AA5">
        <w:rPr>
          <w:rFonts w:ascii="Arial" w:hAnsi="Arial" w:cs="Arial"/>
          <w:sz w:val="22"/>
          <w:szCs w:val="22"/>
        </w:rPr>
        <w:t xml:space="preserve">ceną </w:t>
      </w:r>
      <w:r w:rsidRPr="00992AA5">
        <w:rPr>
          <w:rFonts w:ascii="Arial" w:hAnsi="Arial" w:cs="Arial"/>
          <w:sz w:val="22"/>
          <w:szCs w:val="22"/>
        </w:rPr>
        <w:t>najniższ</w:t>
      </w:r>
      <w:r w:rsidR="00156A10" w:rsidRPr="00992AA5">
        <w:rPr>
          <w:rFonts w:ascii="Arial" w:hAnsi="Arial" w:cs="Arial"/>
          <w:sz w:val="22"/>
          <w:szCs w:val="22"/>
        </w:rPr>
        <w:t>ą</w:t>
      </w:r>
      <w:r w:rsidR="00AF0C95" w:rsidRPr="00992AA5">
        <w:rPr>
          <w:rFonts w:ascii="Arial" w:hAnsi="Arial" w:cs="Arial"/>
          <w:sz w:val="22"/>
          <w:szCs w:val="22"/>
        </w:rPr>
        <w:t xml:space="preserve"> </w:t>
      </w:r>
      <w:r w:rsidR="0042417B" w:rsidRPr="00992AA5">
        <w:rPr>
          <w:rFonts w:ascii="Arial" w:hAnsi="Arial" w:cs="Arial"/>
          <w:sz w:val="22"/>
          <w:szCs w:val="22"/>
        </w:rPr>
        <w:br/>
      </w:r>
      <w:r w:rsidR="00AF0C95" w:rsidRPr="00992AA5">
        <w:rPr>
          <w:rFonts w:ascii="Arial" w:hAnsi="Arial" w:cs="Arial"/>
          <w:sz w:val="22"/>
          <w:szCs w:val="22"/>
        </w:rPr>
        <w:t xml:space="preserve">i uwzględniać wszystkie możliwe upusty i rabaty możliwe do otrzymania przez </w:t>
      </w:r>
      <w:r w:rsidR="00905979" w:rsidRPr="00992AA5">
        <w:rPr>
          <w:rFonts w:ascii="Arial" w:hAnsi="Arial" w:cs="Arial"/>
          <w:sz w:val="22"/>
          <w:szCs w:val="22"/>
        </w:rPr>
        <w:t xml:space="preserve">OPL </w:t>
      </w:r>
      <w:r w:rsidR="00AF0C95" w:rsidRPr="00992AA5">
        <w:rPr>
          <w:rFonts w:ascii="Arial" w:hAnsi="Arial" w:cs="Arial"/>
          <w:sz w:val="22"/>
          <w:szCs w:val="22"/>
        </w:rPr>
        <w:t>wynikające z oferty o najniższej cenie i uwzględnione w tej ofercie</w:t>
      </w:r>
      <w:r w:rsidRPr="00992AA5">
        <w:rPr>
          <w:rFonts w:ascii="Arial" w:hAnsi="Arial" w:cs="Arial"/>
          <w:sz w:val="22"/>
          <w:szCs w:val="22"/>
        </w:rPr>
        <w:t>,</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 xml:space="preserve">stosowane ceny są najbardziej aktualnymi cenami obowiązującymi na dzień </w:t>
      </w:r>
      <w:r w:rsidR="00EF3F95" w:rsidRPr="00992AA5">
        <w:rPr>
          <w:rFonts w:ascii="Arial" w:hAnsi="Arial" w:cs="Arial"/>
          <w:sz w:val="22"/>
          <w:szCs w:val="22"/>
        </w:rPr>
        <w:t>wyceny i dostępnymi na dzień przeprowadzania kalkulacji</w:t>
      </w:r>
      <w:r w:rsidRPr="00992AA5">
        <w:rPr>
          <w:rFonts w:ascii="Arial" w:hAnsi="Arial" w:cs="Arial"/>
          <w:sz w:val="22"/>
          <w:szCs w:val="22"/>
        </w:rPr>
        <w:t>,</w:t>
      </w:r>
    </w:p>
    <w:p w:rsidR="00170957" w:rsidRPr="00992AA5" w:rsidRDefault="00905979" w:rsidP="00EB6C89">
      <w:pPr>
        <w:tabs>
          <w:tab w:val="clear" w:pos="567"/>
        </w:tabs>
        <w:spacing w:before="120" w:line="240" w:lineRule="auto"/>
        <w:rPr>
          <w:iCs/>
          <w:lang w:val="pl-PL"/>
        </w:rPr>
      </w:pPr>
      <w:r w:rsidRPr="00992AA5">
        <w:rPr>
          <w:iCs/>
          <w:lang w:val="pl-PL"/>
        </w:rPr>
        <w:t xml:space="preserve">OPL </w:t>
      </w:r>
      <w:r w:rsidR="00170957" w:rsidRPr="00992AA5">
        <w:rPr>
          <w:iCs/>
          <w:lang w:val="pl-PL"/>
        </w:rPr>
        <w:t>korzysta z następujących publikacji cen rynkowych:</w:t>
      </w:r>
    </w:p>
    <w:p w:rsidR="00170957" w:rsidRPr="00992AA5" w:rsidRDefault="00170957" w:rsidP="00EB6C89">
      <w:pPr>
        <w:numPr>
          <w:ilvl w:val="0"/>
          <w:numId w:val="30"/>
        </w:numPr>
        <w:tabs>
          <w:tab w:val="clear" w:pos="567"/>
          <w:tab w:val="clear" w:pos="1600"/>
          <w:tab w:val="num" w:pos="720"/>
        </w:tabs>
        <w:spacing w:before="120" w:line="240" w:lineRule="auto"/>
        <w:ind w:left="720" w:hanging="360"/>
        <w:rPr>
          <w:iCs/>
          <w:lang w:val="pl-PL"/>
        </w:rPr>
      </w:pPr>
      <w:r w:rsidRPr="00992AA5">
        <w:rPr>
          <w:iCs/>
          <w:lang w:val="pl-PL"/>
        </w:rPr>
        <w:t xml:space="preserve">Katalog cen jednostkowych robót i obiektów inwestycyjnych – wydawnictwo </w:t>
      </w:r>
      <w:proofErr w:type="spellStart"/>
      <w:r w:rsidRPr="00992AA5">
        <w:rPr>
          <w:iCs/>
          <w:lang w:val="pl-PL"/>
        </w:rPr>
        <w:t>Bistyp-Consulting</w:t>
      </w:r>
      <w:proofErr w:type="spellEnd"/>
      <w:r w:rsidRPr="00992AA5">
        <w:rPr>
          <w:iCs/>
          <w:lang w:val="pl-PL"/>
        </w:rPr>
        <w:t xml:space="preserve"> sp. z o.o.,</w:t>
      </w:r>
    </w:p>
    <w:p w:rsidR="00170957" w:rsidRPr="00992AA5" w:rsidRDefault="00170957" w:rsidP="00EB6C89">
      <w:pPr>
        <w:numPr>
          <w:ilvl w:val="0"/>
          <w:numId w:val="30"/>
        </w:numPr>
        <w:tabs>
          <w:tab w:val="clear" w:pos="567"/>
          <w:tab w:val="clear" w:pos="1600"/>
          <w:tab w:val="num" w:pos="720"/>
        </w:tabs>
        <w:spacing w:before="120" w:line="240" w:lineRule="auto"/>
        <w:ind w:left="720" w:hanging="360"/>
        <w:rPr>
          <w:iCs/>
          <w:lang w:val="pl-PL"/>
        </w:rPr>
      </w:pPr>
      <w:proofErr w:type="spellStart"/>
      <w:r w:rsidRPr="00992AA5">
        <w:rPr>
          <w:iCs/>
          <w:lang w:val="pl-PL"/>
        </w:rPr>
        <w:t>Sekocenbud</w:t>
      </w:r>
      <w:proofErr w:type="spellEnd"/>
      <w:r w:rsidRPr="00992AA5">
        <w:rPr>
          <w:iCs/>
          <w:lang w:val="pl-PL"/>
        </w:rPr>
        <w:t xml:space="preserve"> - Biuletyn cen obiektów budowlanych BCO – wydawnictwo Ośrodek Wdrożeń Ekonomiczno-Organizacyjnych Budownictwa Promocja sp. z o.o.,</w:t>
      </w:r>
    </w:p>
    <w:p w:rsidR="00170957" w:rsidRPr="00992AA5" w:rsidRDefault="00170957" w:rsidP="00EB6C89">
      <w:pPr>
        <w:numPr>
          <w:ilvl w:val="0"/>
          <w:numId w:val="30"/>
        </w:numPr>
        <w:tabs>
          <w:tab w:val="clear" w:pos="567"/>
          <w:tab w:val="clear" w:pos="1600"/>
          <w:tab w:val="num" w:pos="720"/>
        </w:tabs>
        <w:spacing w:before="120" w:line="240" w:lineRule="auto"/>
        <w:ind w:left="720" w:hanging="360"/>
        <w:rPr>
          <w:iCs/>
          <w:lang w:val="pl-PL"/>
        </w:rPr>
      </w:pPr>
      <w:proofErr w:type="spellStart"/>
      <w:r w:rsidRPr="00992AA5">
        <w:rPr>
          <w:iCs/>
          <w:lang w:val="pl-PL"/>
        </w:rPr>
        <w:lastRenderedPageBreak/>
        <w:t>Sekocenbud</w:t>
      </w:r>
      <w:proofErr w:type="spellEnd"/>
      <w:r w:rsidRPr="00992AA5">
        <w:rPr>
          <w:iCs/>
          <w:lang w:val="pl-PL"/>
        </w:rPr>
        <w:t xml:space="preserve"> – Informacja o cenach czynników produkcji – baza cenowa </w:t>
      </w:r>
      <w:r w:rsidR="0042417B" w:rsidRPr="00992AA5">
        <w:rPr>
          <w:iCs/>
          <w:lang w:val="pl-PL"/>
        </w:rPr>
        <w:br/>
      </w:r>
      <w:r w:rsidRPr="00992AA5">
        <w:rPr>
          <w:iCs/>
          <w:lang w:val="pl-PL"/>
        </w:rPr>
        <w:t>do kosztorysowania – wydawnictwo Ośrodek Wdrożeń Ekonomiczno-Organizacyjnych Budownictwa Promocja sp. z o.o.,</w:t>
      </w:r>
    </w:p>
    <w:p w:rsidR="00170957" w:rsidRPr="00992AA5" w:rsidRDefault="00170957" w:rsidP="00EB6C89">
      <w:pPr>
        <w:numPr>
          <w:ilvl w:val="0"/>
          <w:numId w:val="30"/>
        </w:numPr>
        <w:tabs>
          <w:tab w:val="clear" w:pos="567"/>
          <w:tab w:val="clear" w:pos="1600"/>
          <w:tab w:val="num" w:pos="720"/>
        </w:tabs>
        <w:spacing w:before="120" w:line="240" w:lineRule="auto"/>
        <w:ind w:left="720" w:hanging="360"/>
        <w:rPr>
          <w:iCs/>
          <w:lang w:val="pl-PL"/>
        </w:rPr>
      </w:pPr>
      <w:r w:rsidRPr="00992AA5">
        <w:rPr>
          <w:iCs/>
          <w:lang w:val="pl-PL"/>
        </w:rPr>
        <w:t>Środowiskowe zasady wyceny prac projektowych – wydawnictwo Izba Projektowania Budowlanego – Rada Koordynacyjna Biur Projektów,</w:t>
      </w:r>
    </w:p>
    <w:p w:rsidR="00170957" w:rsidRPr="00992AA5" w:rsidRDefault="00170957" w:rsidP="00EB6C89">
      <w:pPr>
        <w:pStyle w:val="Tekstpodstawowy"/>
        <w:tabs>
          <w:tab w:val="num" w:pos="720"/>
        </w:tabs>
        <w:spacing w:before="120"/>
        <w:ind w:left="720" w:hanging="360"/>
        <w:rPr>
          <w:sz w:val="22"/>
          <w:szCs w:val="22"/>
        </w:rPr>
      </w:pPr>
      <w:r w:rsidRPr="00992AA5">
        <w:rPr>
          <w:iCs/>
          <w:sz w:val="22"/>
          <w:szCs w:val="22"/>
        </w:rPr>
        <w:t xml:space="preserve">- </w:t>
      </w:r>
      <w:r w:rsidRPr="00992AA5">
        <w:rPr>
          <w:iCs/>
          <w:sz w:val="22"/>
          <w:szCs w:val="22"/>
        </w:rPr>
        <w:tab/>
        <w:t xml:space="preserve">Pojazdy samochodowe – wartości rynkowe – wydawnictwo </w:t>
      </w:r>
      <w:proofErr w:type="spellStart"/>
      <w:r w:rsidRPr="00992AA5">
        <w:rPr>
          <w:iCs/>
          <w:sz w:val="22"/>
          <w:szCs w:val="22"/>
        </w:rPr>
        <w:t>Info-Ekspert</w:t>
      </w:r>
      <w:proofErr w:type="spellEnd"/>
      <w:r w:rsidRPr="00992AA5">
        <w:rPr>
          <w:iCs/>
          <w:sz w:val="22"/>
          <w:szCs w:val="22"/>
        </w:rPr>
        <w:t>.</w:t>
      </w:r>
    </w:p>
    <w:p w:rsidR="00156A10" w:rsidRPr="00992AA5" w:rsidRDefault="00156A10" w:rsidP="00EB6C89">
      <w:pPr>
        <w:pStyle w:val="CM15"/>
        <w:spacing w:before="120" w:after="0"/>
        <w:jc w:val="both"/>
        <w:rPr>
          <w:rFonts w:ascii="Arial" w:hAnsi="Arial" w:cs="Arial"/>
          <w:sz w:val="22"/>
          <w:szCs w:val="22"/>
        </w:rPr>
      </w:pPr>
      <w:r w:rsidRPr="00992AA5">
        <w:rPr>
          <w:rFonts w:ascii="Arial" w:hAnsi="Arial" w:cs="Arial"/>
          <w:sz w:val="22"/>
          <w:szCs w:val="22"/>
        </w:rPr>
        <w:t xml:space="preserve">W przypadku braku obowiązujących umów zawartych przez </w:t>
      </w:r>
      <w:r w:rsidR="00905979" w:rsidRPr="00992AA5">
        <w:rPr>
          <w:rFonts w:ascii="Arial" w:hAnsi="Arial" w:cs="Arial"/>
          <w:sz w:val="22"/>
          <w:szCs w:val="22"/>
        </w:rPr>
        <w:t xml:space="preserve">OPL </w:t>
      </w:r>
      <w:r w:rsidRPr="00992AA5">
        <w:rPr>
          <w:rFonts w:ascii="Arial" w:hAnsi="Arial" w:cs="Arial"/>
          <w:sz w:val="22"/>
          <w:szCs w:val="22"/>
        </w:rPr>
        <w:t xml:space="preserve">oraz możliwości pozyskania cenników rynkowych lub odpowiedzi na zapytania ofertowe dopuszcza </w:t>
      </w:r>
      <w:r w:rsidR="0042417B" w:rsidRPr="00992AA5">
        <w:rPr>
          <w:rFonts w:ascii="Arial" w:hAnsi="Arial" w:cs="Arial"/>
          <w:sz w:val="22"/>
          <w:szCs w:val="22"/>
        </w:rPr>
        <w:br/>
      </w:r>
      <w:r w:rsidRPr="00992AA5">
        <w:rPr>
          <w:rFonts w:ascii="Arial" w:hAnsi="Arial" w:cs="Arial"/>
          <w:sz w:val="22"/>
          <w:szCs w:val="22"/>
        </w:rPr>
        <w:t xml:space="preserve">się możliwość szacowania cen jednostkowych aktualnych na dzień wyceny w oparciu o umowy zawarte </w:t>
      </w:r>
      <w:bookmarkStart w:id="42" w:name="_GoBack"/>
      <w:bookmarkEnd w:id="42"/>
      <w:r w:rsidRPr="00992AA5">
        <w:rPr>
          <w:rFonts w:ascii="Arial" w:hAnsi="Arial" w:cs="Arial"/>
          <w:sz w:val="22"/>
          <w:szCs w:val="22"/>
        </w:rPr>
        <w:t>w okresach poprzednich.</w:t>
      </w:r>
      <w:r w:rsidR="009867BD" w:rsidRPr="00992AA5">
        <w:rPr>
          <w:rFonts w:ascii="Arial" w:hAnsi="Arial" w:cs="Arial"/>
          <w:sz w:val="22"/>
          <w:szCs w:val="22"/>
        </w:rPr>
        <w:t xml:space="preserve"> </w:t>
      </w:r>
      <w:r w:rsidRPr="00992AA5">
        <w:rPr>
          <w:rFonts w:ascii="Arial" w:hAnsi="Arial" w:cs="Arial"/>
          <w:sz w:val="22"/>
          <w:szCs w:val="22"/>
        </w:rPr>
        <w:t xml:space="preserve">W sytuacji, gdy używane środki trwałe lub ich komponenty nie są już dostępne na rynku lub ich użycie jest nieuzasadnione ze względu </w:t>
      </w:r>
      <w:r w:rsidR="0042417B" w:rsidRPr="00992AA5">
        <w:rPr>
          <w:rFonts w:ascii="Arial" w:hAnsi="Arial" w:cs="Arial"/>
          <w:sz w:val="22"/>
          <w:szCs w:val="22"/>
        </w:rPr>
        <w:br/>
      </w:r>
      <w:r w:rsidRPr="00992AA5">
        <w:rPr>
          <w:rFonts w:ascii="Arial" w:hAnsi="Arial" w:cs="Arial"/>
          <w:sz w:val="22"/>
          <w:szCs w:val="22"/>
        </w:rPr>
        <w:t xml:space="preserve">na postęp technologiczny, który nie stanowi jednak istotnej zmiany technologicznej, wycena dokonywana jest zgodnie z zasadami wyceny bezpośredniej a ceny bieżące ustala się </w:t>
      </w:r>
      <w:r w:rsidR="0042417B" w:rsidRPr="00992AA5">
        <w:rPr>
          <w:rFonts w:ascii="Arial" w:hAnsi="Arial" w:cs="Arial"/>
          <w:sz w:val="22"/>
          <w:szCs w:val="22"/>
        </w:rPr>
        <w:br/>
      </w:r>
      <w:r w:rsidRPr="00992AA5">
        <w:rPr>
          <w:rFonts w:ascii="Arial" w:hAnsi="Arial" w:cs="Arial"/>
          <w:sz w:val="22"/>
          <w:szCs w:val="22"/>
        </w:rPr>
        <w:t xml:space="preserve">na podstawie środków lub ich komponentów obecnie oferowanych na rynku </w:t>
      </w:r>
      <w:r w:rsidR="0042417B" w:rsidRPr="00992AA5">
        <w:rPr>
          <w:rFonts w:ascii="Arial" w:hAnsi="Arial" w:cs="Arial"/>
          <w:sz w:val="22"/>
          <w:szCs w:val="22"/>
        </w:rPr>
        <w:br/>
      </w:r>
      <w:r w:rsidRPr="00992AA5">
        <w:rPr>
          <w:rFonts w:ascii="Arial" w:hAnsi="Arial" w:cs="Arial"/>
          <w:sz w:val="22"/>
          <w:szCs w:val="22"/>
        </w:rPr>
        <w:t>i przeznaczonych do świadczenia identycznych usług.</w:t>
      </w:r>
    </w:p>
    <w:p w:rsidR="00B92BFC" w:rsidRPr="00992AA5" w:rsidRDefault="00B92BFC" w:rsidP="00EB6C89">
      <w:pPr>
        <w:pStyle w:val="MIKNagwek2"/>
        <w:rPr>
          <w:sz w:val="22"/>
          <w:szCs w:val="22"/>
        </w:rPr>
      </w:pPr>
      <w:bookmarkStart w:id="43" w:name="_Toc84685825"/>
      <w:bookmarkStart w:id="44" w:name="_Toc84685826"/>
      <w:bookmarkStart w:id="45" w:name="_Toc84685827"/>
      <w:bookmarkStart w:id="46" w:name="_Toc169500096"/>
      <w:bookmarkStart w:id="47" w:name="_Toc314727576"/>
      <w:bookmarkStart w:id="48" w:name="_Toc383521137"/>
      <w:bookmarkStart w:id="49" w:name="_Toc67362839"/>
      <w:bookmarkEnd w:id="43"/>
      <w:bookmarkEnd w:id="44"/>
      <w:bookmarkEnd w:id="45"/>
      <w:r w:rsidRPr="00992AA5">
        <w:rPr>
          <w:sz w:val="22"/>
          <w:szCs w:val="22"/>
        </w:rPr>
        <w:t>Metoda wyceny wg nowoczesnego odpowiednika</w:t>
      </w:r>
      <w:bookmarkEnd w:id="46"/>
      <w:bookmarkEnd w:id="47"/>
      <w:bookmarkEnd w:id="48"/>
    </w:p>
    <w:bookmarkEnd w:id="49"/>
    <w:p w:rsidR="00432D68" w:rsidRPr="00992AA5" w:rsidRDefault="00B92BFC" w:rsidP="00EB6C89">
      <w:pPr>
        <w:pStyle w:val="Tekstpodstawowy"/>
        <w:spacing w:before="120"/>
        <w:rPr>
          <w:sz w:val="22"/>
          <w:szCs w:val="22"/>
        </w:rPr>
      </w:pPr>
      <w:r w:rsidRPr="00992AA5">
        <w:rPr>
          <w:sz w:val="22"/>
          <w:szCs w:val="22"/>
        </w:rPr>
        <w:t xml:space="preserve">W sytuacji, w której następuje istotna zmiana technologiczna i używane środki trwałe nie </w:t>
      </w:r>
      <w:r w:rsidR="0042417B" w:rsidRPr="00992AA5">
        <w:rPr>
          <w:sz w:val="22"/>
          <w:szCs w:val="22"/>
        </w:rPr>
        <w:br/>
      </w:r>
      <w:r w:rsidRPr="00992AA5">
        <w:rPr>
          <w:sz w:val="22"/>
          <w:szCs w:val="22"/>
        </w:rPr>
        <w:t xml:space="preserve">są już dostępne na rynku </w:t>
      </w:r>
      <w:r w:rsidR="000043A4" w:rsidRPr="00992AA5">
        <w:rPr>
          <w:sz w:val="22"/>
          <w:szCs w:val="22"/>
        </w:rPr>
        <w:t xml:space="preserve">lub są dostępne na rynku, ale </w:t>
      </w:r>
      <w:r w:rsidRPr="00992AA5">
        <w:rPr>
          <w:sz w:val="22"/>
          <w:szCs w:val="22"/>
        </w:rPr>
        <w:t xml:space="preserve">ich użycie jest nieuzasadnione </w:t>
      </w:r>
      <w:r w:rsidR="0042417B" w:rsidRPr="00992AA5">
        <w:rPr>
          <w:sz w:val="22"/>
          <w:szCs w:val="22"/>
        </w:rPr>
        <w:br/>
      </w:r>
      <w:r w:rsidRPr="00992AA5">
        <w:rPr>
          <w:sz w:val="22"/>
          <w:szCs w:val="22"/>
        </w:rPr>
        <w:t>ze względu na postęp technologiczny</w:t>
      </w:r>
      <w:r w:rsidR="003550A4" w:rsidRPr="00992AA5">
        <w:rPr>
          <w:sz w:val="22"/>
          <w:szCs w:val="22"/>
        </w:rPr>
        <w:t xml:space="preserve"> </w:t>
      </w:r>
      <w:r w:rsidRPr="00992AA5">
        <w:rPr>
          <w:sz w:val="22"/>
          <w:szCs w:val="22"/>
        </w:rPr>
        <w:t xml:space="preserve">przyjmuje się koncepcję zastąpienia ich dostępnym na rynku nowoczesnym odpowiednikiem </w:t>
      </w:r>
      <w:r w:rsidR="00042D20" w:rsidRPr="00992AA5">
        <w:rPr>
          <w:sz w:val="22"/>
          <w:szCs w:val="22"/>
        </w:rPr>
        <w:t xml:space="preserve">- </w:t>
      </w:r>
      <w:r w:rsidRPr="00992AA5">
        <w:rPr>
          <w:sz w:val="22"/>
          <w:szCs w:val="22"/>
        </w:rPr>
        <w:t xml:space="preserve">tzw. MEA (od ang. Modern </w:t>
      </w:r>
      <w:proofErr w:type="spellStart"/>
      <w:r w:rsidRPr="00992AA5">
        <w:rPr>
          <w:sz w:val="22"/>
          <w:szCs w:val="22"/>
        </w:rPr>
        <w:t>Equivalent</w:t>
      </w:r>
      <w:proofErr w:type="spellEnd"/>
      <w:r w:rsidRPr="00992AA5">
        <w:rPr>
          <w:sz w:val="22"/>
          <w:szCs w:val="22"/>
        </w:rPr>
        <w:t xml:space="preserve"> </w:t>
      </w:r>
      <w:proofErr w:type="spellStart"/>
      <w:r w:rsidRPr="00992AA5">
        <w:rPr>
          <w:sz w:val="22"/>
          <w:szCs w:val="22"/>
        </w:rPr>
        <w:t>Asset</w:t>
      </w:r>
      <w:proofErr w:type="spellEnd"/>
      <w:r w:rsidRPr="00992AA5">
        <w:rPr>
          <w:sz w:val="22"/>
          <w:szCs w:val="22"/>
        </w:rPr>
        <w:t xml:space="preserve">), czyli środkiem oferowanym na rynku obecnie </w:t>
      </w:r>
      <w:r w:rsidR="003550A4" w:rsidRPr="00992AA5">
        <w:rPr>
          <w:sz w:val="22"/>
          <w:szCs w:val="22"/>
        </w:rPr>
        <w:t>i </w:t>
      </w:r>
      <w:r w:rsidRPr="00992AA5">
        <w:rPr>
          <w:sz w:val="22"/>
          <w:szCs w:val="22"/>
        </w:rPr>
        <w:t xml:space="preserve">przeznaczonym do świadczenia </w:t>
      </w:r>
      <w:r w:rsidR="00432D68" w:rsidRPr="00992AA5">
        <w:rPr>
          <w:sz w:val="22"/>
          <w:szCs w:val="22"/>
        </w:rPr>
        <w:t xml:space="preserve">ekwiwalentnych </w:t>
      </w:r>
      <w:r w:rsidRPr="00992AA5">
        <w:rPr>
          <w:sz w:val="22"/>
          <w:szCs w:val="22"/>
        </w:rPr>
        <w:t xml:space="preserve">usług. </w:t>
      </w:r>
    </w:p>
    <w:p w:rsidR="00A41BD5" w:rsidRPr="00992AA5" w:rsidRDefault="008D02AE" w:rsidP="00EB6C89">
      <w:pPr>
        <w:pStyle w:val="Tekstpodstawowy"/>
        <w:spacing w:before="120"/>
        <w:rPr>
          <w:sz w:val="22"/>
          <w:szCs w:val="22"/>
        </w:rPr>
      </w:pPr>
      <w:r w:rsidRPr="00992AA5">
        <w:rPr>
          <w:sz w:val="22"/>
          <w:szCs w:val="22"/>
        </w:rPr>
        <w:t>Środek trwały jest uznawany za nieefektywny w sytuacji, gdy jego stosowanie jest nieuzasadnione ze względu na postęp technologiczny.</w:t>
      </w:r>
    </w:p>
    <w:p w:rsidR="00B92BFC" w:rsidRPr="00992AA5" w:rsidRDefault="00B92BFC" w:rsidP="00EB6C89">
      <w:pPr>
        <w:pStyle w:val="Tekstpodstawowy"/>
        <w:spacing w:before="120"/>
        <w:rPr>
          <w:sz w:val="22"/>
          <w:szCs w:val="22"/>
        </w:rPr>
      </w:pPr>
      <w:r w:rsidRPr="00992AA5">
        <w:rPr>
          <w:sz w:val="22"/>
          <w:szCs w:val="22"/>
        </w:rPr>
        <w:t>Za nowoczesne odpowiedniki przyjmuje się takie same urządzenia, jakimi zastępowane są środki trwałe w przypadku ich rzeczywistej wymiany</w:t>
      </w:r>
      <w:r w:rsidR="00432D68" w:rsidRPr="00992AA5">
        <w:rPr>
          <w:sz w:val="22"/>
          <w:szCs w:val="22"/>
        </w:rPr>
        <w:t xml:space="preserve"> przy zachowaniu warunków optymalizacji kosztów</w:t>
      </w:r>
      <w:r w:rsidRPr="00992AA5">
        <w:rPr>
          <w:sz w:val="22"/>
          <w:szCs w:val="22"/>
        </w:rPr>
        <w:t xml:space="preserve">. </w:t>
      </w:r>
      <w:r w:rsidR="00432D68" w:rsidRPr="00992AA5">
        <w:rPr>
          <w:sz w:val="22"/>
          <w:szCs w:val="22"/>
        </w:rPr>
        <w:t xml:space="preserve">Wybór nowoczesnego odpowiednika uzależniono od architektury sieci zastosowanej przez </w:t>
      </w:r>
      <w:r w:rsidR="005A504D" w:rsidRPr="00992AA5">
        <w:rPr>
          <w:sz w:val="22"/>
          <w:szCs w:val="22"/>
        </w:rPr>
        <w:t>OPL</w:t>
      </w:r>
      <w:r w:rsidR="00432D68" w:rsidRPr="00992AA5">
        <w:rPr>
          <w:sz w:val="22"/>
          <w:szCs w:val="22"/>
        </w:rPr>
        <w:t xml:space="preserve">. </w:t>
      </w:r>
    </w:p>
    <w:p w:rsidR="00B92BFC" w:rsidRPr="00992AA5" w:rsidRDefault="00B92BFC" w:rsidP="00EB6C89">
      <w:pPr>
        <w:pStyle w:val="Tekstpodstawowy"/>
        <w:spacing w:before="120"/>
        <w:rPr>
          <w:sz w:val="22"/>
          <w:szCs w:val="22"/>
        </w:rPr>
      </w:pPr>
      <w:r w:rsidRPr="00992AA5">
        <w:rPr>
          <w:sz w:val="22"/>
          <w:szCs w:val="22"/>
        </w:rPr>
        <w:t xml:space="preserve">W przypadku stosowania wyceny MEA, przeszacowanie odbywa się w dwóch następujących </w:t>
      </w:r>
      <w:r w:rsidR="00224F78" w:rsidRPr="00992AA5">
        <w:rPr>
          <w:sz w:val="22"/>
          <w:szCs w:val="22"/>
        </w:rPr>
        <w:t xml:space="preserve">po sobie </w:t>
      </w:r>
      <w:r w:rsidRPr="00992AA5">
        <w:rPr>
          <w:sz w:val="22"/>
          <w:szCs w:val="22"/>
        </w:rPr>
        <w:t>krokach:</w:t>
      </w:r>
    </w:p>
    <w:p w:rsidR="00B92BFC" w:rsidRPr="00992AA5" w:rsidRDefault="00B92BFC" w:rsidP="00EB6C89">
      <w:pPr>
        <w:pStyle w:val="Listapunktowana"/>
        <w:numPr>
          <w:ilvl w:val="0"/>
          <w:numId w:val="16"/>
        </w:numPr>
        <w:tabs>
          <w:tab w:val="clear" w:pos="284"/>
          <w:tab w:val="clear" w:pos="1437"/>
          <w:tab w:val="num" w:pos="720"/>
        </w:tabs>
        <w:spacing w:before="120" w:line="240" w:lineRule="auto"/>
        <w:ind w:left="714" w:hanging="357"/>
        <w:jc w:val="both"/>
        <w:rPr>
          <w:lang w:val="pl-PL"/>
        </w:rPr>
      </w:pPr>
      <w:r w:rsidRPr="00992AA5">
        <w:rPr>
          <w:lang w:val="pl-PL"/>
        </w:rPr>
        <w:t>określenie nowoczesnego odpowiednika dla poszczególnych grup środków trwałych</w:t>
      </w:r>
      <w:r w:rsidR="00224F78" w:rsidRPr="00992AA5">
        <w:rPr>
          <w:lang w:val="pl-PL"/>
        </w:rPr>
        <w:t xml:space="preserve"> lub wartości niematerialnych i prawnych</w:t>
      </w:r>
      <w:r w:rsidRPr="00992AA5">
        <w:rPr>
          <w:lang w:val="pl-PL"/>
        </w:rPr>
        <w:t xml:space="preserve">, </w:t>
      </w:r>
    </w:p>
    <w:p w:rsidR="00B92BFC" w:rsidRPr="00992AA5" w:rsidRDefault="00B92BFC" w:rsidP="00EB6C89">
      <w:pPr>
        <w:pStyle w:val="Listapunktowana"/>
        <w:numPr>
          <w:ilvl w:val="0"/>
          <w:numId w:val="16"/>
        </w:numPr>
        <w:tabs>
          <w:tab w:val="clear" w:pos="284"/>
          <w:tab w:val="clear" w:pos="1437"/>
          <w:tab w:val="num" w:pos="720"/>
        </w:tabs>
        <w:spacing w:before="120" w:line="240" w:lineRule="auto"/>
        <w:ind w:left="714" w:hanging="357"/>
        <w:jc w:val="both"/>
        <w:rPr>
          <w:lang w:val="pl-PL"/>
        </w:rPr>
      </w:pPr>
      <w:r w:rsidRPr="00992AA5">
        <w:rPr>
          <w:lang w:val="pl-PL"/>
        </w:rPr>
        <w:t>ustalenie wartości bieżącej, analogiczne do metody wyceny bezpośredniej.</w:t>
      </w:r>
    </w:p>
    <w:p w:rsidR="00432D68" w:rsidRPr="00992AA5" w:rsidRDefault="00B92BFC" w:rsidP="00EB6C89">
      <w:pPr>
        <w:pStyle w:val="Tekstpodstawowy2"/>
        <w:tabs>
          <w:tab w:val="clear" w:pos="567"/>
        </w:tabs>
        <w:spacing w:before="120" w:line="240" w:lineRule="auto"/>
        <w:rPr>
          <w:lang w:val="pl-PL"/>
        </w:rPr>
      </w:pPr>
      <w:r w:rsidRPr="00992AA5">
        <w:rPr>
          <w:lang w:val="pl-PL"/>
        </w:rPr>
        <w:t>Przy wycenie z wykorzystaniem nowoczesnego odpowiednika uwzględnia się również korekty wynikające z dodatkowych funkcjonalności</w:t>
      </w:r>
      <w:r w:rsidR="00224F78" w:rsidRPr="00992AA5">
        <w:rPr>
          <w:lang w:val="pl-PL"/>
        </w:rPr>
        <w:t xml:space="preserve">:  </w:t>
      </w:r>
    </w:p>
    <w:p w:rsidR="00432D68" w:rsidRPr="00992AA5" w:rsidRDefault="00432D68" w:rsidP="00EB6C89">
      <w:pPr>
        <w:pStyle w:val="Listapunktowana"/>
        <w:numPr>
          <w:ilvl w:val="0"/>
          <w:numId w:val="16"/>
        </w:numPr>
        <w:tabs>
          <w:tab w:val="clear" w:pos="284"/>
          <w:tab w:val="clear" w:pos="1437"/>
          <w:tab w:val="num" w:pos="720"/>
        </w:tabs>
        <w:spacing w:before="120" w:line="240" w:lineRule="auto"/>
        <w:ind w:left="714" w:hanging="357"/>
        <w:jc w:val="both"/>
        <w:rPr>
          <w:lang w:val="pl-PL"/>
        </w:rPr>
      </w:pPr>
      <w:r w:rsidRPr="00992AA5">
        <w:rPr>
          <w:lang w:val="pl-PL"/>
        </w:rPr>
        <w:t>Korekty wynikające z różnic funkcjonalnych nowoczesnego odpowiednika oraz,</w:t>
      </w:r>
    </w:p>
    <w:p w:rsidR="00432D68" w:rsidRPr="00992AA5" w:rsidRDefault="00432D68" w:rsidP="00EB6C89">
      <w:pPr>
        <w:pStyle w:val="Listapunktowana"/>
        <w:numPr>
          <w:ilvl w:val="0"/>
          <w:numId w:val="16"/>
        </w:numPr>
        <w:tabs>
          <w:tab w:val="clear" w:pos="284"/>
          <w:tab w:val="clear" w:pos="1437"/>
          <w:tab w:val="num" w:pos="720"/>
        </w:tabs>
        <w:spacing w:before="120" w:line="240" w:lineRule="auto"/>
        <w:ind w:left="714" w:hanging="357"/>
        <w:jc w:val="both"/>
        <w:rPr>
          <w:lang w:val="pl-PL"/>
        </w:rPr>
      </w:pPr>
      <w:r w:rsidRPr="00992AA5">
        <w:rPr>
          <w:lang w:val="pl-PL"/>
        </w:rPr>
        <w:t>Korekty kosztów operacyjnych, wynikające z wyższej efektywności nowoczesnego odpowiednika.</w:t>
      </w:r>
    </w:p>
    <w:p w:rsidR="00B92BFC" w:rsidRPr="00992AA5" w:rsidRDefault="00B92BFC" w:rsidP="00EB6C89">
      <w:pPr>
        <w:pStyle w:val="Tekstpodstawowy2"/>
        <w:tabs>
          <w:tab w:val="clear" w:pos="567"/>
        </w:tabs>
        <w:spacing w:before="120" w:line="240" w:lineRule="auto"/>
        <w:rPr>
          <w:lang w:val="pl-PL"/>
        </w:rPr>
      </w:pPr>
      <w:r w:rsidRPr="00992AA5">
        <w:rPr>
          <w:lang w:val="pl-PL"/>
        </w:rPr>
        <w:t>W przypadku, gdy nie jest możliwe wyodrębnienie i wycenienie elementu środka trwałego o</w:t>
      </w:r>
      <w:r w:rsidR="00432D68" w:rsidRPr="00992AA5">
        <w:rPr>
          <w:lang w:val="pl-PL"/>
        </w:rPr>
        <w:t> </w:t>
      </w:r>
      <w:r w:rsidRPr="00992AA5">
        <w:rPr>
          <w:lang w:val="pl-PL"/>
        </w:rPr>
        <w:t>dodatkowej funkcjonalności, nie dokonuje się tej korekty.</w:t>
      </w:r>
    </w:p>
    <w:p w:rsidR="00B92BFC" w:rsidRPr="00992AA5" w:rsidRDefault="00EB1372" w:rsidP="00EB6C89">
      <w:pPr>
        <w:pStyle w:val="Tekstpodstawowy2"/>
        <w:tabs>
          <w:tab w:val="clear" w:pos="567"/>
        </w:tabs>
        <w:spacing w:before="120" w:line="240" w:lineRule="auto"/>
        <w:rPr>
          <w:i/>
          <w:iCs/>
          <w:lang w:val="pl-PL"/>
        </w:rPr>
      </w:pPr>
      <w:r w:rsidRPr="00992AA5">
        <w:rPr>
          <w:lang w:val="pl-PL"/>
        </w:rPr>
        <w:t>Przy wyznaczaniu wartości środka trwałego z wykorzystaniem nowoczesnego odpowiednika należy przyjąć ten sam poziom umorzenia nowoczesnego odpowiednika co zastępowany środek trwały. W związku z tym wartość odtworzeniową brutto aktywów wycenianych według nowoczesnego odpowiednika należy skorygować o stopień dotychczasowego zamortyzowania aktywów wycenianych według nowoczesnego odpowiednika.</w:t>
      </w:r>
      <w:r w:rsidR="00BA2013" w:rsidRPr="00992AA5">
        <w:rPr>
          <w:lang w:val="pl-PL"/>
        </w:rPr>
        <w:t xml:space="preserve"> </w:t>
      </w:r>
    </w:p>
    <w:p w:rsidR="00B92BFC" w:rsidRPr="00992AA5" w:rsidRDefault="00B92BFC" w:rsidP="00EB6C89">
      <w:pPr>
        <w:pStyle w:val="MIKNagwek1"/>
        <w:numPr>
          <w:ilvl w:val="2"/>
          <w:numId w:val="26"/>
        </w:numPr>
        <w:tabs>
          <w:tab w:val="clear" w:pos="2127"/>
          <w:tab w:val="num" w:pos="851"/>
        </w:tabs>
        <w:spacing w:before="120" w:after="0" w:line="240" w:lineRule="auto"/>
        <w:ind w:hanging="2127"/>
        <w:rPr>
          <w:sz w:val="22"/>
          <w:szCs w:val="22"/>
        </w:rPr>
      </w:pPr>
      <w:bookmarkStart w:id="50" w:name="_Toc169500097"/>
      <w:bookmarkStart w:id="51" w:name="_Toc314727577"/>
      <w:bookmarkStart w:id="52" w:name="_Toc383521138"/>
      <w:proofErr w:type="spellStart"/>
      <w:r w:rsidRPr="00992AA5">
        <w:rPr>
          <w:sz w:val="22"/>
          <w:szCs w:val="22"/>
        </w:rPr>
        <w:lastRenderedPageBreak/>
        <w:t>Kosztorysowanie</w:t>
      </w:r>
      <w:proofErr w:type="spellEnd"/>
      <w:r w:rsidRPr="00992AA5">
        <w:rPr>
          <w:sz w:val="22"/>
          <w:szCs w:val="22"/>
        </w:rPr>
        <w:t xml:space="preserve"> </w:t>
      </w:r>
      <w:proofErr w:type="spellStart"/>
      <w:r w:rsidRPr="00992AA5">
        <w:rPr>
          <w:sz w:val="22"/>
          <w:szCs w:val="22"/>
        </w:rPr>
        <w:t>robót</w:t>
      </w:r>
      <w:proofErr w:type="spellEnd"/>
      <w:r w:rsidRPr="00992AA5">
        <w:rPr>
          <w:sz w:val="22"/>
          <w:szCs w:val="22"/>
        </w:rPr>
        <w:t xml:space="preserve"> </w:t>
      </w:r>
      <w:proofErr w:type="spellStart"/>
      <w:r w:rsidRPr="00992AA5">
        <w:rPr>
          <w:sz w:val="22"/>
          <w:szCs w:val="22"/>
        </w:rPr>
        <w:t>teletechnicznych</w:t>
      </w:r>
      <w:bookmarkEnd w:id="50"/>
      <w:bookmarkEnd w:id="51"/>
      <w:bookmarkEnd w:id="52"/>
      <w:proofErr w:type="spellEnd"/>
      <w:r w:rsidRPr="00992AA5">
        <w:rPr>
          <w:sz w:val="22"/>
          <w:szCs w:val="22"/>
        </w:rPr>
        <w:t xml:space="preserve"> </w:t>
      </w:r>
    </w:p>
    <w:p w:rsidR="00B92BFC" w:rsidRPr="00992AA5" w:rsidRDefault="00B92BFC" w:rsidP="00EB6C89">
      <w:pPr>
        <w:spacing w:before="120" w:line="240" w:lineRule="auto"/>
        <w:rPr>
          <w:lang w:val="pl-PL"/>
        </w:rPr>
      </w:pPr>
      <w:r w:rsidRPr="00992AA5">
        <w:rPr>
          <w:lang w:val="pl-PL"/>
        </w:rPr>
        <w:t xml:space="preserve">Kosztorysowanie robót teletechnicznych przeprowadzane jest za pomocą programu komputerowego „ZUZIA”, przyjętego w </w:t>
      </w:r>
      <w:r w:rsidR="005A504D" w:rsidRPr="00992AA5">
        <w:rPr>
          <w:lang w:val="pl-PL"/>
        </w:rPr>
        <w:t xml:space="preserve">OPL </w:t>
      </w:r>
      <w:r w:rsidRPr="00992AA5">
        <w:rPr>
          <w:lang w:val="pl-PL"/>
        </w:rPr>
        <w:t>jako oficjalny system kosztorysowy</w:t>
      </w:r>
      <w:r w:rsidR="003004FC" w:rsidRPr="00992AA5">
        <w:rPr>
          <w:lang w:val="pl-PL"/>
        </w:rPr>
        <w:t xml:space="preserve">, oraz Cennika Sieciowych Usług Budowlanych stanowiącego załącznik do umów zawartych </w:t>
      </w:r>
      <w:r w:rsidR="0042417B" w:rsidRPr="00992AA5">
        <w:rPr>
          <w:lang w:val="pl-PL"/>
        </w:rPr>
        <w:br/>
      </w:r>
      <w:r w:rsidR="003004FC" w:rsidRPr="00992AA5">
        <w:rPr>
          <w:lang w:val="pl-PL"/>
        </w:rPr>
        <w:t>z</w:t>
      </w:r>
      <w:r w:rsidR="00EB5E1D" w:rsidRPr="00992AA5">
        <w:rPr>
          <w:lang w:val="pl-PL"/>
        </w:rPr>
        <w:t xml:space="preserve"> </w:t>
      </w:r>
      <w:r w:rsidR="003004FC" w:rsidRPr="00992AA5">
        <w:rPr>
          <w:lang w:val="pl-PL"/>
        </w:rPr>
        <w:t>wykonawcami</w:t>
      </w:r>
      <w:r w:rsidRPr="00992AA5">
        <w:rPr>
          <w:lang w:val="pl-PL"/>
        </w:rPr>
        <w:t xml:space="preserve">. Przy opracowywaniu kosztorysów inwestycyjnych robót teletechnicznych stosuje się metodę szczegółowej kalkulacji, która uwzględnia: </w:t>
      </w:r>
    </w:p>
    <w:p w:rsidR="00B92BFC" w:rsidRPr="00992AA5" w:rsidRDefault="00B92BFC" w:rsidP="00EB6C89">
      <w:pPr>
        <w:numPr>
          <w:ilvl w:val="0"/>
          <w:numId w:val="16"/>
        </w:numPr>
        <w:spacing w:before="120" w:line="240" w:lineRule="auto"/>
        <w:rPr>
          <w:lang w:val="pl-PL"/>
        </w:rPr>
      </w:pPr>
      <w:r w:rsidRPr="00992AA5">
        <w:rPr>
          <w:lang w:val="pl-PL"/>
        </w:rPr>
        <w:t>opis technologii i organizacji wykonywania robót, (wiedza ekspercka);</w:t>
      </w:r>
    </w:p>
    <w:p w:rsidR="00B92BFC" w:rsidRPr="00992AA5" w:rsidRDefault="00B92BFC" w:rsidP="00EB6C89">
      <w:pPr>
        <w:numPr>
          <w:ilvl w:val="0"/>
          <w:numId w:val="16"/>
        </w:numPr>
        <w:spacing w:before="120" w:line="240" w:lineRule="auto"/>
        <w:rPr>
          <w:lang w:val="pl-PL"/>
        </w:rPr>
      </w:pPr>
      <w:r w:rsidRPr="00992AA5">
        <w:rPr>
          <w:lang w:val="pl-PL"/>
        </w:rPr>
        <w:t>ilość robót dla określonego obmiaru;</w:t>
      </w:r>
    </w:p>
    <w:p w:rsidR="00B92BFC" w:rsidRPr="00992AA5" w:rsidRDefault="00B92BFC" w:rsidP="00EB6C89">
      <w:pPr>
        <w:numPr>
          <w:ilvl w:val="0"/>
          <w:numId w:val="16"/>
        </w:numPr>
        <w:spacing w:before="120" w:line="240" w:lineRule="auto"/>
        <w:rPr>
          <w:lang w:val="pl-PL"/>
        </w:rPr>
      </w:pPr>
      <w:r w:rsidRPr="00992AA5">
        <w:rPr>
          <w:lang w:val="pl-PL"/>
        </w:rPr>
        <w:t>określenie rodzaju i ilości jednostkowych nakładów rzeczowych oraz cen czynników produkcji;</w:t>
      </w:r>
    </w:p>
    <w:p w:rsidR="00B92BFC" w:rsidRPr="00992AA5" w:rsidRDefault="00B92BFC" w:rsidP="00EB6C89">
      <w:pPr>
        <w:numPr>
          <w:ilvl w:val="0"/>
          <w:numId w:val="16"/>
        </w:numPr>
        <w:spacing w:before="120" w:line="240" w:lineRule="auto"/>
        <w:rPr>
          <w:lang w:val="pl-PL"/>
        </w:rPr>
      </w:pPr>
      <w:r w:rsidRPr="00992AA5">
        <w:rPr>
          <w:lang w:val="pl-PL"/>
        </w:rPr>
        <w:t>obliczenie ceny kosztorysowej stanowiącej wartość robót.</w:t>
      </w:r>
    </w:p>
    <w:p w:rsidR="00B92BFC" w:rsidRPr="00992AA5" w:rsidRDefault="00B92BFC" w:rsidP="00EB6C89">
      <w:pPr>
        <w:spacing w:before="120" w:line="240" w:lineRule="auto"/>
        <w:rPr>
          <w:lang w:val="pl-PL"/>
        </w:rPr>
      </w:pPr>
      <w:r w:rsidRPr="00992AA5">
        <w:rPr>
          <w:lang w:val="pl-PL"/>
        </w:rPr>
        <w:t xml:space="preserve">Podstawę do sporządzania kosztorysu stanowią elementy sieci użyte do kalkulacji kosztów w modelach. Założenia wejściowe do kosztorysowania są wybierane z jednostkowych nakładów rzeczowych zawartych w katalogach, a w razie ich braku, są one ustalane </w:t>
      </w:r>
      <w:r w:rsidR="0042417B" w:rsidRPr="00992AA5">
        <w:rPr>
          <w:lang w:val="pl-PL"/>
        </w:rPr>
        <w:br/>
      </w:r>
      <w:r w:rsidRPr="00992AA5">
        <w:rPr>
          <w:lang w:val="pl-PL"/>
        </w:rPr>
        <w:t>na podstawie kalkulacji metodą analogii, interpolacji albo ekstrapolacji.</w:t>
      </w:r>
    </w:p>
    <w:p w:rsidR="00B92BFC" w:rsidRPr="00992AA5" w:rsidRDefault="00B92BFC" w:rsidP="00EB6C89">
      <w:pPr>
        <w:spacing w:before="120" w:line="240" w:lineRule="auto"/>
        <w:rPr>
          <w:lang w:val="pl-PL"/>
        </w:rPr>
      </w:pPr>
      <w:r w:rsidRPr="00992AA5">
        <w:rPr>
          <w:lang w:val="pl-PL"/>
        </w:rPr>
        <w:t>Do kosztorysowania używa się cen jednostkowych netto czynników cenotwórczych:</w:t>
      </w:r>
    </w:p>
    <w:p w:rsidR="00B92BFC" w:rsidRPr="00992AA5" w:rsidRDefault="00B92BFC" w:rsidP="00EB6C89">
      <w:pPr>
        <w:numPr>
          <w:ilvl w:val="0"/>
          <w:numId w:val="17"/>
        </w:numPr>
        <w:spacing w:before="120" w:line="240" w:lineRule="auto"/>
        <w:rPr>
          <w:lang w:val="pl-PL"/>
        </w:rPr>
      </w:pPr>
      <w:r w:rsidRPr="00992AA5">
        <w:rPr>
          <w:lang w:val="pl-PL"/>
        </w:rPr>
        <w:t>Robocizny (R),</w:t>
      </w:r>
    </w:p>
    <w:p w:rsidR="00B92BFC" w:rsidRPr="00992AA5" w:rsidRDefault="00B92BFC" w:rsidP="00EB6C89">
      <w:pPr>
        <w:numPr>
          <w:ilvl w:val="0"/>
          <w:numId w:val="17"/>
        </w:numPr>
        <w:spacing w:before="120" w:line="240" w:lineRule="auto"/>
        <w:rPr>
          <w:lang w:val="pl-PL"/>
        </w:rPr>
      </w:pPr>
      <w:r w:rsidRPr="00992AA5">
        <w:rPr>
          <w:lang w:val="pl-PL"/>
        </w:rPr>
        <w:t>Materiałów (M),</w:t>
      </w:r>
    </w:p>
    <w:p w:rsidR="00B92BFC" w:rsidRPr="00992AA5" w:rsidRDefault="00B92BFC" w:rsidP="00EB6C89">
      <w:pPr>
        <w:numPr>
          <w:ilvl w:val="0"/>
          <w:numId w:val="17"/>
        </w:numPr>
        <w:spacing w:before="120" w:line="240" w:lineRule="auto"/>
        <w:rPr>
          <w:lang w:val="pl-PL"/>
        </w:rPr>
      </w:pPr>
      <w:r w:rsidRPr="00992AA5">
        <w:rPr>
          <w:lang w:val="pl-PL"/>
        </w:rPr>
        <w:t>Sprzętu (S).</w:t>
      </w:r>
    </w:p>
    <w:p w:rsidR="00F960A3" w:rsidRPr="00992AA5" w:rsidRDefault="00B92BFC" w:rsidP="00EB6C89">
      <w:pPr>
        <w:spacing w:before="120" w:line="240" w:lineRule="auto"/>
        <w:rPr>
          <w:lang w:val="pl-PL"/>
        </w:rPr>
      </w:pPr>
      <w:r w:rsidRPr="00992AA5">
        <w:rPr>
          <w:lang w:val="pl-PL"/>
        </w:rPr>
        <w:t xml:space="preserve">Stawki cenotwórcze robociznę (R) oraz sprzęt (S) stosuje się zgodnie z zawartymi przez </w:t>
      </w:r>
      <w:r w:rsidR="001D5E18" w:rsidRPr="00992AA5">
        <w:rPr>
          <w:lang w:val="pl-PL"/>
        </w:rPr>
        <w:t xml:space="preserve">Spółkę </w:t>
      </w:r>
      <w:r w:rsidRPr="00992AA5">
        <w:rPr>
          <w:lang w:val="pl-PL"/>
        </w:rPr>
        <w:t>umowami ramowymi na wykonywanie budowlanych robót inwestycyjnych przez firmy zewnętrzne</w:t>
      </w:r>
      <w:r w:rsidR="00A77DAA" w:rsidRPr="00992AA5">
        <w:rPr>
          <w:lang w:val="pl-PL"/>
        </w:rPr>
        <w:t>,</w:t>
      </w:r>
      <w:r w:rsidR="00F960A3" w:rsidRPr="00992AA5">
        <w:rPr>
          <w:lang w:val="pl-PL"/>
        </w:rPr>
        <w:t xml:space="preserve"> wraz z uwzględnieniem wszelkich upustów i rabatów uzyskiwanych przez Spółkę od dostawców materiałów inwestycyjnych potwierdzonych wysokością wystawionej faktury</w:t>
      </w:r>
      <w:r w:rsidRPr="00992AA5">
        <w:rPr>
          <w:lang w:val="pl-PL"/>
        </w:rPr>
        <w:t xml:space="preserve">. </w:t>
      </w:r>
    </w:p>
    <w:p w:rsidR="00B92BFC" w:rsidRPr="00992AA5" w:rsidRDefault="00B92BFC" w:rsidP="00EB6C89">
      <w:pPr>
        <w:spacing w:before="120" w:line="240" w:lineRule="auto"/>
        <w:rPr>
          <w:lang w:val="pl-PL"/>
        </w:rPr>
      </w:pPr>
      <w:r w:rsidRPr="00992AA5">
        <w:rPr>
          <w:lang w:val="pl-PL"/>
        </w:rPr>
        <w:t xml:space="preserve">Stosując szczegółową analizę wykonywanych prac przez poszczególne firmy uzyskuje się stawkę ważoną czynnika cenotwórczego wraz z narzutami dla kosztów robocizny </w:t>
      </w:r>
      <w:r w:rsidR="0042417B" w:rsidRPr="00992AA5">
        <w:rPr>
          <w:lang w:val="pl-PL"/>
        </w:rPr>
        <w:br/>
      </w:r>
      <w:r w:rsidRPr="00992AA5">
        <w:rPr>
          <w:lang w:val="pl-PL"/>
        </w:rPr>
        <w:t>(R) i kosztów sprzętu (S).</w:t>
      </w:r>
    </w:p>
    <w:p w:rsidR="00B92BFC" w:rsidRPr="00992AA5" w:rsidRDefault="00B92BFC" w:rsidP="00EB6C89">
      <w:pPr>
        <w:spacing w:before="120" w:line="240" w:lineRule="auto"/>
        <w:rPr>
          <w:lang w:val="pl-PL"/>
        </w:rPr>
      </w:pPr>
      <w:r w:rsidRPr="00992AA5">
        <w:rPr>
          <w:lang w:val="pl-PL"/>
        </w:rPr>
        <w:t xml:space="preserve">W przypadku braku umów zawartych przez </w:t>
      </w:r>
      <w:r w:rsidR="00905979" w:rsidRPr="00992AA5">
        <w:rPr>
          <w:lang w:val="pl-PL"/>
        </w:rPr>
        <w:t xml:space="preserve">OPL </w:t>
      </w:r>
      <w:r w:rsidRPr="00992AA5">
        <w:rPr>
          <w:lang w:val="pl-PL"/>
        </w:rPr>
        <w:t xml:space="preserve">stosuje się na wyżej wymienione roboty inwestycyjne stawki rynkowe. </w:t>
      </w:r>
    </w:p>
    <w:p w:rsidR="00F960A3" w:rsidRPr="00992AA5" w:rsidRDefault="00F960A3" w:rsidP="00EB6C89">
      <w:pPr>
        <w:spacing w:before="120" w:line="240" w:lineRule="auto"/>
        <w:rPr>
          <w:lang w:val="pl-PL"/>
        </w:rPr>
      </w:pPr>
      <w:r w:rsidRPr="00992AA5">
        <w:rPr>
          <w:lang w:val="pl-PL"/>
        </w:rPr>
        <w:t xml:space="preserve">Wyliczone w systemie Zuzia średnie ceny jednostkowe materiałów, robocizny i sprzętu </w:t>
      </w:r>
      <w:r w:rsidR="0042417B" w:rsidRPr="00992AA5">
        <w:rPr>
          <w:lang w:val="pl-PL"/>
        </w:rPr>
        <w:br/>
      </w:r>
      <w:r w:rsidRPr="00992AA5">
        <w:rPr>
          <w:lang w:val="pl-PL"/>
        </w:rPr>
        <w:t xml:space="preserve">są porównywane z cenami normatywnymi pochodzącymi z tabel cennika kosztorysowego </w:t>
      </w:r>
      <w:proofErr w:type="spellStart"/>
      <w:r w:rsidRPr="00992AA5">
        <w:rPr>
          <w:lang w:val="pl-PL"/>
        </w:rPr>
        <w:t>Sekocenbud</w:t>
      </w:r>
      <w:proofErr w:type="spellEnd"/>
      <w:r w:rsidRPr="00992AA5">
        <w:rPr>
          <w:lang w:val="pl-PL"/>
        </w:rPr>
        <w:t xml:space="preserve">, aktualnych w dniu wyceny środków trwałych. Zastosowanie mają tutaj następujące tabele </w:t>
      </w:r>
      <w:proofErr w:type="spellStart"/>
      <w:r w:rsidRPr="00992AA5">
        <w:rPr>
          <w:lang w:val="pl-PL"/>
        </w:rPr>
        <w:t>Sekocenbud</w:t>
      </w:r>
      <w:proofErr w:type="spellEnd"/>
      <w:r w:rsidRPr="00992AA5">
        <w:rPr>
          <w:lang w:val="pl-PL"/>
        </w:rPr>
        <w:t>:</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informacja o cenach materiałów budowlanych IMB,</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informacja o cenach materiałów instalacyjnych IMI,</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informacja o cenach materiałów elektrycznych IME,</w:t>
      </w:r>
    </w:p>
    <w:p w:rsidR="00F960A3" w:rsidRPr="00992AA5" w:rsidRDefault="00F960A3" w:rsidP="00EB6C89">
      <w:pPr>
        <w:pStyle w:val="CM15"/>
        <w:numPr>
          <w:ilvl w:val="1"/>
          <w:numId w:val="28"/>
        </w:numPr>
        <w:spacing w:before="120" w:after="0"/>
        <w:jc w:val="both"/>
        <w:rPr>
          <w:rFonts w:ascii="Arial" w:hAnsi="Arial" w:cs="Arial"/>
          <w:sz w:val="22"/>
          <w:szCs w:val="22"/>
        </w:rPr>
      </w:pPr>
      <w:r w:rsidRPr="00992AA5">
        <w:rPr>
          <w:rFonts w:ascii="Arial" w:hAnsi="Arial" w:cs="Arial"/>
          <w:sz w:val="22"/>
          <w:szCs w:val="22"/>
        </w:rPr>
        <w:t>informacja o stawkach robocizny kosztorysowej oraz cenach pracy sprzętu budowlanego IRS.</w:t>
      </w:r>
    </w:p>
    <w:p w:rsidR="004558AF" w:rsidRPr="00992AA5" w:rsidRDefault="00F960A3" w:rsidP="00EB6C89">
      <w:pPr>
        <w:spacing w:before="120" w:line="240" w:lineRule="auto"/>
        <w:rPr>
          <w:lang w:val="pl-PL"/>
        </w:rPr>
      </w:pPr>
      <w:r w:rsidRPr="00992AA5">
        <w:rPr>
          <w:lang w:val="pl-PL"/>
        </w:rPr>
        <w:t>Do wyliczenia wartości bieżącej danej grupy środków trwałych stosowane są te ceny jednostkowe czynników cenotwórczych, które są niższe. Niższe z dwóch porównywalnych cen jednostkowych</w:t>
      </w:r>
      <w:r w:rsidR="00036E51" w:rsidRPr="00992AA5">
        <w:rPr>
          <w:lang w:val="pl-PL"/>
        </w:rPr>
        <w:t xml:space="preserve">, </w:t>
      </w:r>
      <w:r w:rsidR="00036E51" w:rsidRPr="00992AA5">
        <w:rPr>
          <w:iCs/>
          <w:lang w:val="pl-PL"/>
        </w:rPr>
        <w:t xml:space="preserve">po skorygowaniu o średnie upusty i rabaty uzyskiwane przez </w:t>
      </w:r>
      <w:r w:rsidR="00905979" w:rsidRPr="00992AA5">
        <w:rPr>
          <w:iCs/>
          <w:lang w:val="pl-PL"/>
        </w:rPr>
        <w:t xml:space="preserve">Spółkę </w:t>
      </w:r>
      <w:r w:rsidR="0042417B" w:rsidRPr="00992AA5">
        <w:rPr>
          <w:iCs/>
          <w:lang w:val="pl-PL"/>
        </w:rPr>
        <w:br/>
      </w:r>
      <w:r w:rsidR="00036E51" w:rsidRPr="00992AA5">
        <w:rPr>
          <w:iCs/>
          <w:lang w:val="pl-PL"/>
        </w:rPr>
        <w:t>od dostawców robót teletechnicznych,</w:t>
      </w:r>
      <w:r w:rsidRPr="00992AA5">
        <w:rPr>
          <w:lang w:val="pl-PL"/>
        </w:rPr>
        <w:t xml:space="preserve"> wymnażane przez odpowiedni wolumen elementów sieci.</w:t>
      </w:r>
      <w:r w:rsidR="004558AF" w:rsidRPr="00992AA5">
        <w:rPr>
          <w:lang w:val="pl-PL"/>
        </w:rPr>
        <w:t xml:space="preserve"> </w:t>
      </w:r>
    </w:p>
    <w:p w:rsidR="004558AF" w:rsidRPr="00992AA5" w:rsidRDefault="004558AF" w:rsidP="00EB6C89">
      <w:pPr>
        <w:spacing w:before="120" w:line="240" w:lineRule="auto"/>
        <w:rPr>
          <w:lang w:val="pl-PL"/>
        </w:rPr>
      </w:pPr>
      <w:r w:rsidRPr="00992AA5">
        <w:rPr>
          <w:lang w:val="pl-PL"/>
        </w:rPr>
        <w:t xml:space="preserve">Koszty dodatkowe realizacji inwestycji obejmujące dokumentację projektową oraz kompleksową obsługę inwestycji (tj. koszt powykonawczej dokumentacji geodezyjnej, opłaty </w:t>
      </w:r>
      <w:r w:rsidRPr="00992AA5">
        <w:rPr>
          <w:lang w:val="pl-PL"/>
        </w:rPr>
        <w:lastRenderedPageBreak/>
        <w:t>za zajęcie pasa drogowego, opłaty za projekty organizacji ruchu, koszty badań zagęszczenia gruntu, opłaty za umieszczenie urządzeń telekomunikacyjnych, opłaty za utrudnienie ruchu, opłaty za nadzory branżowe) ustala się na podstawie umów zawartych z wykonawcami bądź na podstawie Środowiskowych Zasad Wyceny Prac Projektowych. Koszty dodatkowe realizacji inwestycji dotyczące odszkodowań ustala się na podstawie zrealizowanych inwestycji.</w:t>
      </w:r>
      <w:r w:rsidR="00F960A3" w:rsidRPr="00992AA5">
        <w:rPr>
          <w:lang w:val="pl-PL"/>
        </w:rPr>
        <w:t xml:space="preserve"> </w:t>
      </w:r>
    </w:p>
    <w:p w:rsidR="00F960A3" w:rsidRPr="00992AA5" w:rsidRDefault="00F960A3" w:rsidP="00EB6C89">
      <w:pPr>
        <w:spacing w:before="120" w:line="240" w:lineRule="auto"/>
        <w:rPr>
          <w:lang w:val="pl-PL"/>
        </w:rPr>
      </w:pPr>
      <w:r w:rsidRPr="00992AA5">
        <w:rPr>
          <w:lang w:val="pl-PL"/>
        </w:rPr>
        <w:t>W ten sposób otrzymujemy wartość bieżącą danej grupy środków trwałych.</w:t>
      </w:r>
    </w:p>
    <w:p w:rsidR="004B0B30" w:rsidRPr="00992AA5" w:rsidRDefault="00F960A3" w:rsidP="00EB6C89">
      <w:pPr>
        <w:spacing w:before="120" w:line="240" w:lineRule="auto"/>
        <w:rPr>
          <w:lang w:val="pl-PL"/>
        </w:rPr>
      </w:pPr>
      <w:r w:rsidRPr="00992AA5">
        <w:rPr>
          <w:lang w:val="pl-PL"/>
        </w:rPr>
        <w:t xml:space="preserve">Ponadto każdorazowe zastosowanie dodatkowych składników ceny kosztorysowej dla danej grupy środków trwałych poza kosztami materiałów budowlanych, instalacyjnych, elektrycznych, robocizny oraz pracy sprzętu budowlanego powinno być uzasadnione w dokumentacji </w:t>
      </w:r>
      <w:r w:rsidR="00C64C60" w:rsidRPr="00992AA5">
        <w:rPr>
          <w:lang w:val="pl-PL"/>
        </w:rPr>
        <w:t>wyceny</w:t>
      </w:r>
      <w:r w:rsidRPr="00992AA5">
        <w:rPr>
          <w:lang w:val="pl-PL"/>
        </w:rPr>
        <w:t>.</w:t>
      </w:r>
      <w:r w:rsidR="004B0B30" w:rsidRPr="00992AA5">
        <w:rPr>
          <w:lang w:val="pl-PL"/>
        </w:rPr>
        <w:t xml:space="preserve"> </w:t>
      </w:r>
    </w:p>
    <w:p w:rsidR="00B92BFC" w:rsidRPr="00992AA5" w:rsidRDefault="00B92BFC" w:rsidP="00EB6C89">
      <w:pPr>
        <w:pStyle w:val="MIKNagwek1"/>
        <w:numPr>
          <w:ilvl w:val="2"/>
          <w:numId w:val="26"/>
        </w:numPr>
        <w:tabs>
          <w:tab w:val="clear" w:pos="2127"/>
          <w:tab w:val="num" w:pos="851"/>
        </w:tabs>
        <w:spacing w:before="120" w:after="0" w:line="240" w:lineRule="auto"/>
        <w:ind w:hanging="2127"/>
        <w:rPr>
          <w:sz w:val="22"/>
          <w:szCs w:val="22"/>
          <w:lang w:val="pl-PL"/>
        </w:rPr>
      </w:pPr>
      <w:bookmarkStart w:id="53" w:name="_Toc67362837"/>
      <w:bookmarkStart w:id="54" w:name="_Toc169500098"/>
      <w:bookmarkStart w:id="55" w:name="_Toc314727578"/>
      <w:bookmarkStart w:id="56" w:name="_Toc383521139"/>
      <w:r w:rsidRPr="00992AA5">
        <w:rPr>
          <w:sz w:val="22"/>
          <w:szCs w:val="22"/>
          <w:lang w:val="pl-PL"/>
        </w:rPr>
        <w:t>Indeksacja</w:t>
      </w:r>
      <w:bookmarkEnd w:id="53"/>
      <w:bookmarkEnd w:id="54"/>
      <w:bookmarkEnd w:id="55"/>
      <w:bookmarkEnd w:id="56"/>
    </w:p>
    <w:p w:rsidR="001B582B" w:rsidRPr="00992AA5" w:rsidRDefault="001B582B" w:rsidP="00EB6C89">
      <w:pPr>
        <w:spacing w:before="120" w:line="240" w:lineRule="auto"/>
        <w:rPr>
          <w:lang w:val="pl-PL"/>
        </w:rPr>
      </w:pPr>
      <w:r w:rsidRPr="00992AA5">
        <w:rPr>
          <w:lang w:val="pl-PL"/>
        </w:rPr>
        <w:t xml:space="preserve">Metoda indeksacji </w:t>
      </w:r>
      <w:r w:rsidR="00747494" w:rsidRPr="00992AA5">
        <w:rPr>
          <w:lang w:val="pl-PL"/>
        </w:rPr>
        <w:t>jest</w:t>
      </w:r>
      <w:r w:rsidRPr="00992AA5">
        <w:rPr>
          <w:lang w:val="pl-PL"/>
        </w:rPr>
        <w:t xml:space="preserve"> stosowana do wyceny środków trwałych i wartości niematerialnych </w:t>
      </w:r>
      <w:r w:rsidR="0042417B" w:rsidRPr="00992AA5">
        <w:rPr>
          <w:lang w:val="pl-PL"/>
        </w:rPr>
        <w:br/>
      </w:r>
      <w:r w:rsidRPr="00992AA5">
        <w:rPr>
          <w:lang w:val="pl-PL"/>
        </w:rPr>
        <w:t>i prawnych w przypadku</w:t>
      </w:r>
      <w:r w:rsidR="00181D1E" w:rsidRPr="00992AA5">
        <w:rPr>
          <w:lang w:val="pl-PL"/>
        </w:rPr>
        <w:t xml:space="preserve"> niemożności zastosowania metody bezpośredniej lub MEA, ale jedynie przy spełnieniu następujących warunków: </w:t>
      </w:r>
    </w:p>
    <w:p w:rsidR="007013B4" w:rsidRPr="00992AA5" w:rsidRDefault="007013B4" w:rsidP="00EB6C89">
      <w:pPr>
        <w:numPr>
          <w:ilvl w:val="0"/>
          <w:numId w:val="29"/>
        </w:numPr>
        <w:tabs>
          <w:tab w:val="clear" w:pos="360"/>
          <w:tab w:val="clear" w:pos="567"/>
          <w:tab w:val="num" w:pos="900"/>
        </w:tabs>
        <w:spacing w:before="120" w:line="240" w:lineRule="auto"/>
        <w:ind w:left="900"/>
        <w:rPr>
          <w:iCs/>
          <w:lang w:val="pl-PL"/>
        </w:rPr>
      </w:pPr>
      <w:r w:rsidRPr="00992AA5">
        <w:rPr>
          <w:iCs/>
          <w:lang w:val="pl-PL"/>
        </w:rPr>
        <w:t xml:space="preserve">składniki grupy są dostępne na rynku i nie przeszły istotnych zmian technologicznych; </w:t>
      </w:r>
    </w:p>
    <w:p w:rsidR="007013B4" w:rsidRPr="00992AA5" w:rsidRDefault="007013B4" w:rsidP="00EB6C89">
      <w:pPr>
        <w:numPr>
          <w:ilvl w:val="0"/>
          <w:numId w:val="29"/>
        </w:numPr>
        <w:tabs>
          <w:tab w:val="clear" w:pos="360"/>
          <w:tab w:val="clear" w:pos="567"/>
          <w:tab w:val="num" w:pos="900"/>
        </w:tabs>
        <w:spacing w:before="120" w:line="240" w:lineRule="auto"/>
        <w:ind w:left="900"/>
        <w:rPr>
          <w:iCs/>
          <w:lang w:val="pl-PL"/>
        </w:rPr>
      </w:pPr>
      <w:r w:rsidRPr="00992AA5">
        <w:rPr>
          <w:iCs/>
          <w:lang w:val="pl-PL"/>
        </w:rPr>
        <w:t xml:space="preserve">są dostępne w </w:t>
      </w:r>
      <w:r w:rsidR="00905979" w:rsidRPr="00992AA5">
        <w:rPr>
          <w:iCs/>
          <w:lang w:val="pl-PL"/>
        </w:rPr>
        <w:t xml:space="preserve">OPL </w:t>
      </w:r>
      <w:r w:rsidRPr="00992AA5">
        <w:rPr>
          <w:iCs/>
          <w:lang w:val="pl-PL"/>
        </w:rPr>
        <w:t>indeksy wyliczone na podstawie rzetelnych, udokumentowanych i weryfikowalnych danych, pokazujące trend cenowy dla środków trwałych w danej kategorii (np. na podstawie transakcji zakupowych z Działu zakupów) uwzględniający również, jeśli jest to uzasadnione, zmiany kursów walut z tabel NBP;</w:t>
      </w:r>
    </w:p>
    <w:p w:rsidR="001B582B" w:rsidRPr="00992AA5" w:rsidRDefault="001B582B" w:rsidP="00EB6C89">
      <w:pPr>
        <w:numPr>
          <w:ilvl w:val="0"/>
          <w:numId w:val="29"/>
        </w:numPr>
        <w:tabs>
          <w:tab w:val="clear" w:pos="360"/>
          <w:tab w:val="clear" w:pos="567"/>
          <w:tab w:val="num" w:pos="900"/>
        </w:tabs>
        <w:spacing w:before="120" w:line="240" w:lineRule="auto"/>
        <w:ind w:left="896" w:hanging="357"/>
        <w:rPr>
          <w:lang w:val="pl-PL"/>
        </w:rPr>
      </w:pPr>
      <w:r w:rsidRPr="00992AA5">
        <w:rPr>
          <w:lang w:val="pl-PL"/>
        </w:rPr>
        <w:t xml:space="preserve">przeszacowywane grupy środków trwałych są wewnętrznie jednorodne, </w:t>
      </w:r>
      <w:r w:rsidR="00747494" w:rsidRPr="00992AA5">
        <w:rPr>
          <w:lang w:val="pl-PL"/>
        </w:rPr>
        <w:t>gdy</w:t>
      </w:r>
      <w:r w:rsidRPr="00992AA5">
        <w:rPr>
          <w:lang w:val="pl-PL"/>
        </w:rPr>
        <w:t xml:space="preserve"> </w:t>
      </w:r>
      <w:r w:rsidR="007013B4" w:rsidRPr="00992AA5">
        <w:rPr>
          <w:iCs/>
          <w:lang w:val="pl-PL"/>
        </w:rPr>
        <w:t>spełniają warunki uznania ich za jednorodne kategorie kosztowe</w:t>
      </w:r>
      <w:r w:rsidRPr="00992AA5">
        <w:rPr>
          <w:lang w:val="pl-PL"/>
        </w:rPr>
        <w:t>,</w:t>
      </w:r>
    </w:p>
    <w:p w:rsidR="001B582B" w:rsidRPr="00992AA5" w:rsidRDefault="001B582B" w:rsidP="00EB6C89">
      <w:pPr>
        <w:numPr>
          <w:ilvl w:val="0"/>
          <w:numId w:val="29"/>
        </w:numPr>
        <w:tabs>
          <w:tab w:val="clear" w:pos="360"/>
          <w:tab w:val="clear" w:pos="567"/>
          <w:tab w:val="num" w:pos="900"/>
        </w:tabs>
        <w:spacing w:before="120" w:line="240" w:lineRule="auto"/>
        <w:ind w:left="896" w:hanging="357"/>
        <w:rPr>
          <w:lang w:val="pl-PL"/>
        </w:rPr>
      </w:pPr>
      <w:r w:rsidRPr="00992AA5">
        <w:rPr>
          <w:lang w:val="pl-PL"/>
        </w:rPr>
        <w:t xml:space="preserve">dla wszystkich środków trwałych w ramach kategorii istnieją w </w:t>
      </w:r>
      <w:r w:rsidR="00905979" w:rsidRPr="00992AA5">
        <w:rPr>
          <w:lang w:val="pl-PL"/>
        </w:rPr>
        <w:t xml:space="preserve">OPL </w:t>
      </w:r>
      <w:r w:rsidRPr="00992AA5">
        <w:rPr>
          <w:lang w:val="pl-PL"/>
        </w:rPr>
        <w:t>rzetelne dane określające datę i koszt nabycia;</w:t>
      </w:r>
    </w:p>
    <w:p w:rsidR="001B582B" w:rsidRPr="00992AA5" w:rsidRDefault="00984311" w:rsidP="00EB6C89">
      <w:pPr>
        <w:numPr>
          <w:ilvl w:val="0"/>
          <w:numId w:val="29"/>
        </w:numPr>
        <w:tabs>
          <w:tab w:val="clear" w:pos="360"/>
          <w:tab w:val="clear" w:pos="567"/>
          <w:tab w:val="num" w:pos="900"/>
        </w:tabs>
        <w:spacing w:before="120" w:line="240" w:lineRule="auto"/>
        <w:ind w:left="896" w:hanging="357"/>
        <w:rPr>
          <w:lang w:val="pl-PL"/>
        </w:rPr>
      </w:pPr>
      <w:r w:rsidRPr="00992AA5">
        <w:rPr>
          <w:lang w:val="pl-PL"/>
        </w:rPr>
        <w:t xml:space="preserve">koszt historyczny środka trwałego nie został ukształtowany pod wpływem wyjątkowych okoliczności </w:t>
      </w:r>
      <w:r w:rsidR="00AC702C" w:rsidRPr="00992AA5">
        <w:rPr>
          <w:lang w:val="pl-PL"/>
        </w:rPr>
        <w:t xml:space="preserve">i nie może odbiegać od cen rynkowych w momencie zakupu. </w:t>
      </w:r>
    </w:p>
    <w:p w:rsidR="001B582B" w:rsidRPr="00992AA5" w:rsidRDefault="001B582B" w:rsidP="00EB6C89">
      <w:pPr>
        <w:spacing w:before="120" w:line="240" w:lineRule="auto"/>
        <w:rPr>
          <w:lang w:val="pl-PL"/>
        </w:rPr>
      </w:pPr>
      <w:r w:rsidRPr="00992AA5">
        <w:rPr>
          <w:lang w:val="pl-PL"/>
        </w:rPr>
        <w:t xml:space="preserve">Indeksy zmiany cen </w:t>
      </w:r>
      <w:r w:rsidR="006E396B" w:rsidRPr="00992AA5">
        <w:rPr>
          <w:lang w:val="pl-PL"/>
        </w:rPr>
        <w:t>wyliczane</w:t>
      </w:r>
      <w:r w:rsidR="00005611" w:rsidRPr="00992AA5">
        <w:rPr>
          <w:lang w:val="pl-PL"/>
        </w:rPr>
        <w:t xml:space="preserve"> są</w:t>
      </w:r>
      <w:r w:rsidRPr="00992AA5">
        <w:rPr>
          <w:lang w:val="pl-PL"/>
        </w:rPr>
        <w:t xml:space="preserve"> w oparciu o</w:t>
      </w:r>
      <w:r w:rsidR="00005611" w:rsidRPr="00992AA5">
        <w:rPr>
          <w:lang w:val="pl-PL"/>
        </w:rPr>
        <w:t xml:space="preserve"> </w:t>
      </w:r>
      <w:r w:rsidRPr="00992AA5">
        <w:rPr>
          <w:lang w:val="pl-PL"/>
        </w:rPr>
        <w:t xml:space="preserve">przeciętny koszt zakupu środka trwałego z danej grupy w poszczególnych latach </w:t>
      </w:r>
      <w:r w:rsidR="00005611" w:rsidRPr="00992AA5">
        <w:rPr>
          <w:lang w:val="pl-PL"/>
        </w:rPr>
        <w:t>(</w:t>
      </w:r>
      <w:r w:rsidRPr="00992AA5">
        <w:rPr>
          <w:lang w:val="pl-PL"/>
        </w:rPr>
        <w:t xml:space="preserve">na podstawie transakcji zakupowych </w:t>
      </w:r>
      <w:r w:rsidR="007833CC" w:rsidRPr="00992AA5">
        <w:rPr>
          <w:lang w:val="pl-PL"/>
        </w:rPr>
        <w:t>z Działu</w:t>
      </w:r>
      <w:r w:rsidRPr="00992AA5">
        <w:rPr>
          <w:lang w:val="pl-PL"/>
        </w:rPr>
        <w:t xml:space="preserve"> Zakupów </w:t>
      </w:r>
      <w:r w:rsidR="00905979" w:rsidRPr="00992AA5">
        <w:rPr>
          <w:lang w:val="pl-PL"/>
        </w:rPr>
        <w:t>OPL</w:t>
      </w:r>
      <w:r w:rsidRPr="00992AA5">
        <w:rPr>
          <w:lang w:val="pl-PL"/>
        </w:rPr>
        <w:t>)</w:t>
      </w:r>
      <w:r w:rsidR="00C567AE" w:rsidRPr="00992AA5">
        <w:rPr>
          <w:lang w:val="pl-PL"/>
        </w:rPr>
        <w:t>.</w:t>
      </w:r>
      <w:r w:rsidRPr="00992AA5">
        <w:rPr>
          <w:lang w:val="pl-PL"/>
        </w:rPr>
        <w:t>Sposób wyliczenia indeksów musi przebiegać w taki sposób, aby odzwierciedlał on wiarygodne trendy zmian cen środków trwałych</w:t>
      </w:r>
      <w:r w:rsidR="00C567AE" w:rsidRPr="00992AA5">
        <w:rPr>
          <w:lang w:val="pl-PL"/>
        </w:rPr>
        <w:t xml:space="preserve"> i wartości niematerialnych </w:t>
      </w:r>
      <w:r w:rsidR="0042417B" w:rsidRPr="00992AA5">
        <w:rPr>
          <w:lang w:val="pl-PL"/>
        </w:rPr>
        <w:br/>
      </w:r>
      <w:r w:rsidR="00C567AE" w:rsidRPr="00992AA5">
        <w:rPr>
          <w:lang w:val="pl-PL"/>
        </w:rPr>
        <w:t>i prawnych</w:t>
      </w:r>
      <w:r w:rsidRPr="00992AA5">
        <w:rPr>
          <w:lang w:val="pl-PL"/>
        </w:rPr>
        <w:t>, do których wyceny zostanie zastosowany</w:t>
      </w:r>
      <w:r w:rsidR="0090002F" w:rsidRPr="00992AA5">
        <w:rPr>
          <w:lang w:val="pl-PL"/>
        </w:rPr>
        <w:t xml:space="preserve">, </w:t>
      </w:r>
      <w:r w:rsidR="0090002F" w:rsidRPr="00992AA5">
        <w:rPr>
          <w:iCs/>
          <w:lang w:val="pl-PL"/>
        </w:rPr>
        <w:t>z uwzględnieniem zmian kursów walut obcych z tabel NBP</w:t>
      </w:r>
      <w:r w:rsidRPr="00992AA5">
        <w:rPr>
          <w:lang w:val="pl-PL"/>
        </w:rPr>
        <w:t>.</w:t>
      </w:r>
    </w:p>
    <w:p w:rsidR="001B582B" w:rsidRPr="00992AA5" w:rsidRDefault="001B582B" w:rsidP="00EB6C89">
      <w:pPr>
        <w:spacing w:before="120" w:line="240" w:lineRule="auto"/>
        <w:rPr>
          <w:lang w:val="pl-PL"/>
        </w:rPr>
      </w:pPr>
      <w:r w:rsidRPr="00992AA5">
        <w:rPr>
          <w:lang w:val="pl-PL"/>
        </w:rPr>
        <w:t>Do indeksacji przyjmuje się okres pięciu lat poprzedzających moment dokonania wyceny tj. dzień kończący rok obrotowy.</w:t>
      </w:r>
    </w:p>
    <w:p w:rsidR="00B92BFC" w:rsidRPr="00992AA5" w:rsidRDefault="0090002F" w:rsidP="00EB6C89">
      <w:pPr>
        <w:tabs>
          <w:tab w:val="clear" w:pos="567"/>
        </w:tabs>
        <w:spacing w:before="120" w:line="240" w:lineRule="auto"/>
        <w:rPr>
          <w:iCs/>
          <w:lang w:val="pl-PL"/>
        </w:rPr>
      </w:pPr>
      <w:bookmarkStart w:id="57" w:name="_Toc67362840"/>
      <w:r w:rsidRPr="00992AA5">
        <w:rPr>
          <w:iCs/>
          <w:lang w:val="pl-PL"/>
        </w:rPr>
        <w:t>W przypadku braku wiarygodnych danych transakcyjnych z Działu Zakupów TP, pozwalających na stworzenie indeksu dla danej grupy środków trwałych, możliwe jest zastosowanie właściwego indeksu GUS, a w ostateczności właściwego indeksu Turnera.</w:t>
      </w:r>
    </w:p>
    <w:p w:rsidR="00B92BFC" w:rsidRPr="00992AA5" w:rsidRDefault="00B92BFC" w:rsidP="00EB6C89">
      <w:pPr>
        <w:pStyle w:val="MIKNagwek1"/>
        <w:numPr>
          <w:ilvl w:val="2"/>
          <w:numId w:val="26"/>
        </w:numPr>
        <w:tabs>
          <w:tab w:val="clear" w:pos="2127"/>
          <w:tab w:val="num" w:pos="851"/>
        </w:tabs>
        <w:spacing w:before="120" w:after="0" w:line="240" w:lineRule="auto"/>
        <w:ind w:hanging="2127"/>
        <w:rPr>
          <w:sz w:val="22"/>
          <w:szCs w:val="22"/>
        </w:rPr>
      </w:pPr>
      <w:bookmarkStart w:id="58" w:name="_Toc169500099"/>
      <w:bookmarkStart w:id="59" w:name="_Toc314727579"/>
      <w:bookmarkStart w:id="60" w:name="_Toc383521140"/>
      <w:proofErr w:type="spellStart"/>
      <w:r w:rsidRPr="00992AA5">
        <w:rPr>
          <w:sz w:val="22"/>
          <w:szCs w:val="22"/>
        </w:rPr>
        <w:t>Przyjęcie</w:t>
      </w:r>
      <w:proofErr w:type="spellEnd"/>
      <w:r w:rsidRPr="00992AA5">
        <w:rPr>
          <w:sz w:val="22"/>
          <w:szCs w:val="22"/>
        </w:rPr>
        <w:t xml:space="preserve"> </w:t>
      </w:r>
      <w:proofErr w:type="spellStart"/>
      <w:r w:rsidRPr="00992AA5">
        <w:rPr>
          <w:sz w:val="22"/>
          <w:szCs w:val="22"/>
        </w:rPr>
        <w:t>kosztu</w:t>
      </w:r>
      <w:proofErr w:type="spellEnd"/>
      <w:r w:rsidRPr="00992AA5">
        <w:rPr>
          <w:sz w:val="22"/>
          <w:szCs w:val="22"/>
        </w:rPr>
        <w:t xml:space="preserve"> </w:t>
      </w:r>
      <w:proofErr w:type="spellStart"/>
      <w:r w:rsidRPr="00992AA5">
        <w:rPr>
          <w:sz w:val="22"/>
          <w:szCs w:val="22"/>
        </w:rPr>
        <w:t>historycznego</w:t>
      </w:r>
      <w:bookmarkEnd w:id="57"/>
      <w:bookmarkEnd w:id="58"/>
      <w:bookmarkEnd w:id="59"/>
      <w:bookmarkEnd w:id="60"/>
      <w:proofErr w:type="spellEnd"/>
    </w:p>
    <w:p w:rsidR="001B582B" w:rsidRPr="00992AA5" w:rsidRDefault="001B582B" w:rsidP="00EB6C89">
      <w:pPr>
        <w:spacing w:before="120" w:line="240" w:lineRule="auto"/>
        <w:rPr>
          <w:lang w:val="pl-PL"/>
        </w:rPr>
      </w:pPr>
      <w:r w:rsidRPr="00992AA5">
        <w:rPr>
          <w:lang w:val="pl-PL"/>
        </w:rPr>
        <w:t>Metoda kosztu historycznego jest dopuszczalna jedynie dla grup środków trwałych i wartości niematerialnych i prawnych charakteryzujących się:</w:t>
      </w:r>
    </w:p>
    <w:p w:rsidR="001B582B" w:rsidRPr="00992AA5" w:rsidRDefault="001B582B" w:rsidP="00EB6C89">
      <w:pPr>
        <w:numPr>
          <w:ilvl w:val="0"/>
          <w:numId w:val="29"/>
        </w:numPr>
        <w:tabs>
          <w:tab w:val="clear" w:pos="360"/>
          <w:tab w:val="clear" w:pos="567"/>
          <w:tab w:val="num" w:pos="900"/>
        </w:tabs>
        <w:spacing w:before="120" w:line="240" w:lineRule="auto"/>
        <w:ind w:left="896" w:hanging="357"/>
        <w:rPr>
          <w:lang w:val="pl-PL"/>
        </w:rPr>
      </w:pPr>
      <w:r w:rsidRPr="00992AA5">
        <w:rPr>
          <w:lang w:val="pl-PL"/>
        </w:rPr>
        <w:t xml:space="preserve">niską wartością </w:t>
      </w:r>
      <w:r w:rsidR="008275B6" w:rsidRPr="00992AA5">
        <w:rPr>
          <w:lang w:val="pl-PL"/>
        </w:rPr>
        <w:t xml:space="preserve">początkową, </w:t>
      </w:r>
      <w:r w:rsidRPr="00992AA5">
        <w:rPr>
          <w:lang w:val="pl-PL"/>
        </w:rPr>
        <w:t xml:space="preserve">lub </w:t>
      </w:r>
    </w:p>
    <w:p w:rsidR="001B582B" w:rsidRPr="00992AA5" w:rsidRDefault="001B582B" w:rsidP="00EB6C89">
      <w:pPr>
        <w:numPr>
          <w:ilvl w:val="0"/>
          <w:numId w:val="29"/>
        </w:numPr>
        <w:tabs>
          <w:tab w:val="clear" w:pos="360"/>
          <w:tab w:val="clear" w:pos="567"/>
          <w:tab w:val="num" w:pos="900"/>
        </w:tabs>
        <w:spacing w:before="120" w:line="240" w:lineRule="auto"/>
        <w:ind w:left="896" w:hanging="357"/>
        <w:rPr>
          <w:lang w:val="pl-PL"/>
        </w:rPr>
      </w:pPr>
      <w:r w:rsidRPr="00992AA5">
        <w:rPr>
          <w:lang w:val="pl-PL"/>
        </w:rPr>
        <w:t>krótkim okresem użytkowania;</w:t>
      </w:r>
    </w:p>
    <w:p w:rsidR="001B582B" w:rsidRPr="00992AA5" w:rsidRDefault="001B582B" w:rsidP="00EB6C89">
      <w:pPr>
        <w:numPr>
          <w:ilvl w:val="0"/>
          <w:numId w:val="29"/>
        </w:numPr>
        <w:tabs>
          <w:tab w:val="clear" w:pos="360"/>
          <w:tab w:val="clear" w:pos="567"/>
          <w:tab w:val="num" w:pos="900"/>
        </w:tabs>
        <w:spacing w:before="120" w:line="240" w:lineRule="auto"/>
        <w:ind w:left="896" w:hanging="357"/>
        <w:rPr>
          <w:lang w:val="pl-PL"/>
        </w:rPr>
      </w:pPr>
      <w:r w:rsidRPr="00992AA5">
        <w:rPr>
          <w:lang w:val="pl-PL"/>
        </w:rPr>
        <w:t>oraz brakiem istotnych zmian technologicznych</w:t>
      </w:r>
      <w:r w:rsidR="004A7010" w:rsidRPr="00992AA5">
        <w:rPr>
          <w:lang w:val="pl-PL"/>
        </w:rPr>
        <w:t>;</w:t>
      </w:r>
    </w:p>
    <w:p w:rsidR="001B582B" w:rsidRPr="00992AA5" w:rsidRDefault="00350642" w:rsidP="00EB6C89">
      <w:pPr>
        <w:numPr>
          <w:ilvl w:val="0"/>
          <w:numId w:val="29"/>
        </w:numPr>
        <w:tabs>
          <w:tab w:val="clear" w:pos="360"/>
          <w:tab w:val="clear" w:pos="567"/>
          <w:tab w:val="num" w:pos="900"/>
        </w:tabs>
        <w:spacing w:before="120" w:line="240" w:lineRule="auto"/>
        <w:ind w:left="896" w:hanging="357"/>
        <w:rPr>
          <w:lang w:val="pl-PL"/>
        </w:rPr>
      </w:pPr>
      <w:r w:rsidRPr="00992AA5">
        <w:rPr>
          <w:lang w:val="pl-PL"/>
        </w:rPr>
        <w:lastRenderedPageBreak/>
        <w:t xml:space="preserve">lub zakupionych w ciągu ostatniego roku. </w:t>
      </w:r>
    </w:p>
    <w:p w:rsidR="001B582B" w:rsidRPr="00992AA5" w:rsidRDefault="001B582B" w:rsidP="00EB6C89">
      <w:pPr>
        <w:spacing w:before="120" w:line="240" w:lineRule="auto"/>
        <w:rPr>
          <w:lang w:val="pl-PL"/>
        </w:rPr>
      </w:pPr>
      <w:r w:rsidRPr="00992AA5">
        <w:rPr>
          <w:lang w:val="pl-PL"/>
        </w:rPr>
        <w:t xml:space="preserve">Wycena wg kosztu historycznego jest możliwa dla kategorii środków trwałych stanowiących nie więcej niż 15% łącznej wartości początkowej wszystkich grup środków trwałych i wartości niematerialnych i prawnych będących składnikami majątkowymi związanymi </w:t>
      </w:r>
      <w:r w:rsidR="0042417B" w:rsidRPr="00992AA5">
        <w:rPr>
          <w:lang w:val="pl-PL"/>
        </w:rPr>
        <w:br/>
      </w:r>
      <w:r w:rsidRPr="00992AA5">
        <w:rPr>
          <w:lang w:val="pl-PL"/>
        </w:rPr>
        <w:t>ze świadczeniem usług telekomunikacyjnych</w:t>
      </w:r>
      <w:r w:rsidR="007B3D6F" w:rsidRPr="00992AA5">
        <w:rPr>
          <w:lang w:val="pl-PL"/>
        </w:rPr>
        <w:t xml:space="preserve">, </w:t>
      </w:r>
      <w:r w:rsidR="007B3D6F" w:rsidRPr="00992AA5">
        <w:rPr>
          <w:iCs/>
          <w:lang w:val="pl-PL"/>
        </w:rPr>
        <w:t xml:space="preserve">jeżeli nie zniekształca to istotnie obrazu wartości bieżącej średniorocznego kapitału zaangażowanego </w:t>
      </w:r>
      <w:r w:rsidR="006E396B" w:rsidRPr="00992AA5">
        <w:rPr>
          <w:iCs/>
          <w:lang w:val="pl-PL"/>
        </w:rPr>
        <w:t>OPL</w:t>
      </w:r>
      <w:r w:rsidRPr="00992AA5">
        <w:rPr>
          <w:lang w:val="pl-PL"/>
        </w:rPr>
        <w:t>.</w:t>
      </w:r>
    </w:p>
    <w:p w:rsidR="001B582B" w:rsidRPr="00992AA5" w:rsidRDefault="001B582B" w:rsidP="00EB6C89">
      <w:pPr>
        <w:spacing w:before="120" w:line="240" w:lineRule="auto"/>
        <w:rPr>
          <w:lang w:val="pl-PL"/>
        </w:rPr>
      </w:pPr>
      <w:r w:rsidRPr="00992AA5">
        <w:rPr>
          <w:lang w:val="pl-PL"/>
        </w:rPr>
        <w:t xml:space="preserve">Każdy przypadek zastosowania tej metody wyceny powinien być uzasadniony w dokumentacji </w:t>
      </w:r>
      <w:r w:rsidR="007B3D6F" w:rsidRPr="00992AA5">
        <w:rPr>
          <w:lang w:val="pl-PL"/>
        </w:rPr>
        <w:t xml:space="preserve">modelu </w:t>
      </w:r>
      <w:r w:rsidR="006E396B" w:rsidRPr="00992AA5">
        <w:rPr>
          <w:lang w:val="pl-PL"/>
        </w:rPr>
        <w:t>OPL</w:t>
      </w:r>
      <w:r w:rsidRPr="00992AA5">
        <w:rPr>
          <w:lang w:val="pl-PL"/>
        </w:rPr>
        <w:t>.</w:t>
      </w:r>
      <w:r w:rsidR="00205824" w:rsidRPr="00992AA5">
        <w:rPr>
          <w:lang w:val="pl-PL"/>
        </w:rPr>
        <w:t xml:space="preserve"> </w:t>
      </w:r>
    </w:p>
    <w:p w:rsidR="00A6003D" w:rsidRPr="00992AA5" w:rsidRDefault="00A6003D" w:rsidP="00EB6C89">
      <w:pPr>
        <w:spacing w:before="120" w:line="240" w:lineRule="auto"/>
        <w:rPr>
          <w:iCs/>
          <w:lang w:val="pl-PL"/>
        </w:rPr>
      </w:pPr>
      <w:r w:rsidRPr="00992AA5">
        <w:rPr>
          <w:iCs/>
          <w:lang w:val="pl-PL"/>
        </w:rPr>
        <w:t xml:space="preserve">Biorąc pod uwagę podejście wyceny historycznej, podejmowane są następujące czynności: </w:t>
      </w:r>
    </w:p>
    <w:p w:rsidR="00A6003D" w:rsidRPr="00992AA5" w:rsidRDefault="00A6003D" w:rsidP="00EB6C89">
      <w:pPr>
        <w:tabs>
          <w:tab w:val="clear" w:pos="567"/>
        </w:tabs>
        <w:spacing w:before="120" w:line="240" w:lineRule="auto"/>
        <w:rPr>
          <w:lang w:val="pl-PL"/>
        </w:rPr>
      </w:pPr>
      <w:r w:rsidRPr="00992AA5">
        <w:rPr>
          <w:lang w:val="pl-PL"/>
        </w:rPr>
        <w:t xml:space="preserve">1) Analiza zmian zachodzące w technologiach poszczególnych </w:t>
      </w:r>
      <w:proofErr w:type="spellStart"/>
      <w:r w:rsidRPr="00992AA5">
        <w:rPr>
          <w:lang w:val="pl-PL"/>
        </w:rPr>
        <w:t>podkategorii</w:t>
      </w:r>
      <w:proofErr w:type="spellEnd"/>
      <w:r w:rsidRPr="00992AA5">
        <w:rPr>
          <w:lang w:val="pl-PL"/>
        </w:rPr>
        <w:t xml:space="preserve"> ŚT / </w:t>
      </w:r>
      <w:proofErr w:type="spellStart"/>
      <w:r w:rsidRPr="00992AA5">
        <w:rPr>
          <w:lang w:val="pl-PL"/>
        </w:rPr>
        <w:t>WNiP</w:t>
      </w:r>
      <w:proofErr w:type="spellEnd"/>
      <w:r w:rsidRPr="00992AA5">
        <w:rPr>
          <w:lang w:val="pl-PL"/>
        </w:rPr>
        <w:t xml:space="preserve">; </w:t>
      </w:r>
    </w:p>
    <w:p w:rsidR="00A6003D" w:rsidRPr="00992AA5" w:rsidRDefault="00A6003D" w:rsidP="00EB6C89">
      <w:pPr>
        <w:tabs>
          <w:tab w:val="clear" w:pos="567"/>
        </w:tabs>
        <w:spacing w:before="120" w:line="240" w:lineRule="auto"/>
        <w:rPr>
          <w:lang w:val="pl-PL"/>
        </w:rPr>
      </w:pPr>
      <w:r w:rsidRPr="00992AA5">
        <w:rPr>
          <w:lang w:val="pl-PL"/>
        </w:rPr>
        <w:t xml:space="preserve">2) Analiza, do świadczenia których usług wykorzystywane są poszczególne </w:t>
      </w:r>
      <w:proofErr w:type="spellStart"/>
      <w:r w:rsidRPr="00992AA5">
        <w:rPr>
          <w:lang w:val="pl-PL"/>
        </w:rPr>
        <w:t>podkategorie</w:t>
      </w:r>
      <w:proofErr w:type="spellEnd"/>
      <w:r w:rsidRPr="00992AA5">
        <w:rPr>
          <w:lang w:val="pl-PL"/>
        </w:rPr>
        <w:t xml:space="preserve"> środków trwałych. </w:t>
      </w:r>
    </w:p>
    <w:p w:rsidR="00A6003D" w:rsidRPr="00992AA5" w:rsidRDefault="00A6003D" w:rsidP="00EB6C89">
      <w:pPr>
        <w:tabs>
          <w:tab w:val="clear" w:pos="567"/>
        </w:tabs>
        <w:spacing w:before="120" w:line="240" w:lineRule="auto"/>
        <w:rPr>
          <w:lang w:val="pl-PL"/>
        </w:rPr>
      </w:pPr>
      <w:r w:rsidRPr="00992AA5">
        <w:rPr>
          <w:lang w:val="pl-PL"/>
        </w:rPr>
        <w:t>3) Ujęcie "</w:t>
      </w:r>
      <w:r w:rsidRPr="00992AA5">
        <w:rPr>
          <w:bCs/>
          <w:lang w:val="pl-PL"/>
        </w:rPr>
        <w:t>krótkiego okresu</w:t>
      </w:r>
      <w:r w:rsidRPr="00992AA5">
        <w:rPr>
          <w:lang w:val="pl-PL"/>
        </w:rPr>
        <w:t>"</w:t>
      </w:r>
      <w:r w:rsidR="006E396B" w:rsidRPr="00992AA5">
        <w:rPr>
          <w:lang w:val="pl-PL"/>
        </w:rPr>
        <w:t>,</w:t>
      </w:r>
      <w:r w:rsidRPr="00992AA5">
        <w:rPr>
          <w:lang w:val="pl-PL"/>
        </w:rPr>
        <w:t xml:space="preserve"> jako relatywnie krótkiego okres ekonomicznej użyteczności danego środka trwałego w relacji do okresów ekonomicznej użyteczności głównych elementów sieci telekomunikacyjnej wykorzystywanych przy świadczeniu określonej usługi. </w:t>
      </w:r>
    </w:p>
    <w:p w:rsidR="00A6003D" w:rsidRPr="00992AA5" w:rsidRDefault="00A6003D" w:rsidP="00EB6C89">
      <w:pPr>
        <w:tabs>
          <w:tab w:val="clear" w:pos="567"/>
        </w:tabs>
        <w:spacing w:before="120" w:line="240" w:lineRule="auto"/>
        <w:rPr>
          <w:lang w:val="pl-PL"/>
        </w:rPr>
      </w:pPr>
      <w:r w:rsidRPr="00992AA5">
        <w:rPr>
          <w:lang w:val="pl-PL"/>
        </w:rPr>
        <w:t xml:space="preserve">W praktyce sprowadza się to do tego, że rozpatrując </w:t>
      </w:r>
      <w:r w:rsidRPr="00992AA5">
        <w:rPr>
          <w:bCs/>
          <w:lang w:val="pl-PL"/>
        </w:rPr>
        <w:t xml:space="preserve">indywidualnie każdy przypadek rozpatrywany jest okres ekonomicznej użyteczności danej </w:t>
      </w:r>
      <w:proofErr w:type="spellStart"/>
      <w:r w:rsidRPr="00992AA5">
        <w:rPr>
          <w:bCs/>
          <w:lang w:val="pl-PL"/>
        </w:rPr>
        <w:t>podkategorii</w:t>
      </w:r>
      <w:proofErr w:type="spellEnd"/>
      <w:r w:rsidRPr="00992AA5">
        <w:rPr>
          <w:bCs/>
          <w:lang w:val="pl-PL"/>
        </w:rPr>
        <w:t xml:space="preserve"> ŚT/</w:t>
      </w:r>
      <w:proofErr w:type="spellStart"/>
      <w:r w:rsidRPr="00992AA5">
        <w:rPr>
          <w:bCs/>
          <w:lang w:val="pl-PL"/>
        </w:rPr>
        <w:t>WNiP</w:t>
      </w:r>
      <w:proofErr w:type="spellEnd"/>
      <w:r w:rsidRPr="00992AA5">
        <w:rPr>
          <w:bCs/>
          <w:lang w:val="pl-PL"/>
        </w:rPr>
        <w:t xml:space="preserve"> </w:t>
      </w:r>
      <w:r w:rsidR="0042417B" w:rsidRPr="00992AA5">
        <w:rPr>
          <w:bCs/>
          <w:lang w:val="pl-PL"/>
        </w:rPr>
        <w:br/>
      </w:r>
      <w:r w:rsidRPr="00992AA5">
        <w:rPr>
          <w:bCs/>
          <w:lang w:val="pl-PL"/>
        </w:rPr>
        <w:t>w porównaniu z okresami ekonomicznej użyteczności zasadniczych grup ŚT/</w:t>
      </w:r>
      <w:r w:rsidR="00656EB2" w:rsidRPr="00992AA5">
        <w:rPr>
          <w:bCs/>
          <w:lang w:val="pl-PL"/>
        </w:rPr>
        <w:t>W</w:t>
      </w:r>
      <w:r w:rsidRPr="00992AA5">
        <w:rPr>
          <w:bCs/>
          <w:lang w:val="pl-PL"/>
        </w:rPr>
        <w:t>N</w:t>
      </w:r>
      <w:r w:rsidR="00656EB2" w:rsidRPr="00992AA5">
        <w:rPr>
          <w:bCs/>
          <w:lang w:val="pl-PL"/>
        </w:rPr>
        <w:t>IP</w:t>
      </w:r>
      <w:r w:rsidRPr="00992AA5">
        <w:rPr>
          <w:bCs/>
          <w:lang w:val="pl-PL"/>
        </w:rPr>
        <w:t xml:space="preserve"> wykorzystywanych przy świadczeniu tych samych usług</w:t>
      </w:r>
      <w:r w:rsidRPr="00992AA5">
        <w:rPr>
          <w:lang w:val="pl-PL"/>
        </w:rPr>
        <w:t xml:space="preserve">, co rozpatrywana </w:t>
      </w:r>
      <w:proofErr w:type="spellStart"/>
      <w:r w:rsidRPr="00992AA5">
        <w:rPr>
          <w:lang w:val="pl-PL"/>
        </w:rPr>
        <w:t>podkategoria</w:t>
      </w:r>
      <w:proofErr w:type="spellEnd"/>
      <w:r w:rsidRPr="00992AA5">
        <w:rPr>
          <w:lang w:val="pl-PL"/>
        </w:rPr>
        <w:t xml:space="preserve"> ŚT/</w:t>
      </w:r>
      <w:proofErr w:type="spellStart"/>
      <w:r w:rsidRPr="00992AA5">
        <w:rPr>
          <w:lang w:val="pl-PL"/>
        </w:rPr>
        <w:t>WNiP</w:t>
      </w:r>
      <w:proofErr w:type="spellEnd"/>
      <w:r w:rsidRPr="00992AA5">
        <w:rPr>
          <w:lang w:val="pl-PL"/>
        </w:rPr>
        <w:t xml:space="preserve">. </w:t>
      </w:r>
    </w:p>
    <w:p w:rsidR="00A6003D" w:rsidRPr="00992AA5" w:rsidRDefault="00A6003D" w:rsidP="00EB6C89">
      <w:pPr>
        <w:tabs>
          <w:tab w:val="clear" w:pos="567"/>
        </w:tabs>
        <w:spacing w:before="120" w:line="240" w:lineRule="auto"/>
        <w:rPr>
          <w:lang w:val="pl-PL"/>
        </w:rPr>
      </w:pPr>
      <w:r w:rsidRPr="00992AA5">
        <w:rPr>
          <w:lang w:val="pl-PL"/>
        </w:rPr>
        <w:t>4) Ujęcie "</w:t>
      </w:r>
      <w:r w:rsidRPr="00992AA5">
        <w:rPr>
          <w:bCs/>
          <w:lang w:val="pl-PL"/>
        </w:rPr>
        <w:t>niskiej wartości</w:t>
      </w:r>
      <w:r w:rsidRPr="00992AA5">
        <w:rPr>
          <w:lang w:val="pl-PL"/>
        </w:rPr>
        <w:t xml:space="preserve">" jako relatywnie niskiej łącznej wartości początkowej wszystkich środków trwałych / </w:t>
      </w:r>
      <w:proofErr w:type="spellStart"/>
      <w:r w:rsidRPr="00992AA5">
        <w:rPr>
          <w:lang w:val="pl-PL"/>
        </w:rPr>
        <w:t>WNiP</w:t>
      </w:r>
      <w:proofErr w:type="spellEnd"/>
      <w:r w:rsidRPr="00992AA5">
        <w:rPr>
          <w:lang w:val="pl-PL"/>
        </w:rPr>
        <w:t xml:space="preserve"> wchodzących w zakres danej </w:t>
      </w:r>
      <w:proofErr w:type="spellStart"/>
      <w:r w:rsidRPr="00992AA5">
        <w:rPr>
          <w:lang w:val="pl-PL"/>
        </w:rPr>
        <w:t>podkategorii</w:t>
      </w:r>
      <w:proofErr w:type="spellEnd"/>
      <w:r w:rsidRPr="00992AA5">
        <w:rPr>
          <w:lang w:val="pl-PL"/>
        </w:rPr>
        <w:t xml:space="preserve"> dotyczących głównych elementów sieci telekomunikacyjnej wykorzystywanych przy świadczeniu określonej usługi. </w:t>
      </w:r>
    </w:p>
    <w:p w:rsidR="00A6003D" w:rsidRPr="00992AA5" w:rsidRDefault="00A6003D" w:rsidP="00EB6C89">
      <w:pPr>
        <w:tabs>
          <w:tab w:val="clear" w:pos="567"/>
        </w:tabs>
        <w:spacing w:before="120" w:line="240" w:lineRule="auto"/>
        <w:rPr>
          <w:lang w:val="pl-PL"/>
        </w:rPr>
      </w:pPr>
      <w:r w:rsidRPr="00992AA5">
        <w:rPr>
          <w:lang w:val="pl-PL"/>
        </w:rPr>
        <w:t xml:space="preserve">W praktyce sprowadza się to do tego, że rozpatrując </w:t>
      </w:r>
      <w:r w:rsidRPr="00992AA5">
        <w:rPr>
          <w:bCs/>
          <w:lang w:val="pl-PL"/>
        </w:rPr>
        <w:t xml:space="preserve">indywidualnie każdy przypadek </w:t>
      </w:r>
      <w:r w:rsidRPr="00992AA5">
        <w:rPr>
          <w:lang w:val="pl-PL"/>
        </w:rPr>
        <w:t>rozpatrujemy łączną wartość początkową ŚT/</w:t>
      </w:r>
      <w:proofErr w:type="spellStart"/>
      <w:r w:rsidRPr="00992AA5">
        <w:rPr>
          <w:lang w:val="pl-PL"/>
        </w:rPr>
        <w:t>WNiP</w:t>
      </w:r>
      <w:proofErr w:type="spellEnd"/>
      <w:r w:rsidRPr="00992AA5">
        <w:rPr>
          <w:lang w:val="pl-PL"/>
        </w:rPr>
        <w:t xml:space="preserve"> wchodzących w skład danej </w:t>
      </w:r>
      <w:proofErr w:type="spellStart"/>
      <w:r w:rsidRPr="00992AA5">
        <w:rPr>
          <w:lang w:val="pl-PL"/>
        </w:rPr>
        <w:t>podkategorii</w:t>
      </w:r>
      <w:proofErr w:type="spellEnd"/>
      <w:r w:rsidRPr="00992AA5">
        <w:rPr>
          <w:lang w:val="pl-PL"/>
        </w:rPr>
        <w:t> ŚT/</w:t>
      </w:r>
      <w:proofErr w:type="spellStart"/>
      <w:r w:rsidRPr="00992AA5">
        <w:rPr>
          <w:lang w:val="pl-PL"/>
        </w:rPr>
        <w:t>WNiP</w:t>
      </w:r>
      <w:proofErr w:type="spellEnd"/>
      <w:r w:rsidRPr="00992AA5">
        <w:rPr>
          <w:lang w:val="pl-PL"/>
        </w:rPr>
        <w:t xml:space="preserve"> z wartościami początkowymi zasadniczych </w:t>
      </w:r>
      <w:proofErr w:type="spellStart"/>
      <w:r w:rsidRPr="00992AA5">
        <w:rPr>
          <w:lang w:val="pl-PL"/>
        </w:rPr>
        <w:t>podkategorii</w:t>
      </w:r>
      <w:proofErr w:type="spellEnd"/>
      <w:r w:rsidRPr="00992AA5">
        <w:rPr>
          <w:lang w:val="pl-PL"/>
        </w:rPr>
        <w:t xml:space="preserve"> / kategorii ŚT/</w:t>
      </w:r>
      <w:proofErr w:type="spellStart"/>
      <w:r w:rsidRPr="00992AA5">
        <w:rPr>
          <w:lang w:val="pl-PL"/>
        </w:rPr>
        <w:t>WNiP</w:t>
      </w:r>
      <w:proofErr w:type="spellEnd"/>
      <w:r w:rsidRPr="00992AA5">
        <w:rPr>
          <w:lang w:val="pl-PL"/>
        </w:rPr>
        <w:t xml:space="preserve"> wykorzystywanych przy świadczeniu tych samych usług, co rozpatrywana </w:t>
      </w:r>
      <w:proofErr w:type="spellStart"/>
      <w:r w:rsidRPr="00992AA5">
        <w:rPr>
          <w:lang w:val="pl-PL"/>
        </w:rPr>
        <w:t>podkategoria</w:t>
      </w:r>
      <w:proofErr w:type="spellEnd"/>
      <w:r w:rsidRPr="00992AA5">
        <w:rPr>
          <w:lang w:val="pl-PL"/>
        </w:rPr>
        <w:t xml:space="preserve"> ŚT/</w:t>
      </w:r>
      <w:proofErr w:type="spellStart"/>
      <w:r w:rsidRPr="00992AA5">
        <w:rPr>
          <w:lang w:val="pl-PL"/>
        </w:rPr>
        <w:t>WNiP</w:t>
      </w:r>
      <w:proofErr w:type="spellEnd"/>
      <w:r w:rsidRPr="00992AA5">
        <w:rPr>
          <w:lang w:val="pl-PL"/>
        </w:rPr>
        <w:t xml:space="preserve">. </w:t>
      </w:r>
    </w:p>
    <w:p w:rsidR="00A6003D" w:rsidRPr="00992AA5" w:rsidRDefault="00A6003D" w:rsidP="00EB6C89">
      <w:pPr>
        <w:tabs>
          <w:tab w:val="clear" w:pos="567"/>
        </w:tabs>
        <w:spacing w:before="120" w:line="240" w:lineRule="auto"/>
        <w:rPr>
          <w:lang w:val="pl-PL"/>
        </w:rPr>
      </w:pPr>
      <w:r w:rsidRPr="00992AA5">
        <w:rPr>
          <w:lang w:val="pl-PL"/>
        </w:rPr>
        <w:t xml:space="preserve">5) Każdorazowo po uznaniu danej </w:t>
      </w:r>
      <w:proofErr w:type="spellStart"/>
      <w:r w:rsidRPr="00992AA5">
        <w:rPr>
          <w:lang w:val="pl-PL"/>
        </w:rPr>
        <w:t>podkategorii</w:t>
      </w:r>
      <w:proofErr w:type="spellEnd"/>
      <w:r w:rsidRPr="00992AA5">
        <w:rPr>
          <w:lang w:val="pl-PL"/>
        </w:rPr>
        <w:t xml:space="preserve"> środków trwałych jako spełniającej powyżej zdefiniowane kryteria weryfikuje się, czy łączna wartość początkowa takich </w:t>
      </w:r>
      <w:proofErr w:type="spellStart"/>
      <w:r w:rsidRPr="00992AA5">
        <w:rPr>
          <w:lang w:val="pl-PL"/>
        </w:rPr>
        <w:t>podkategorii</w:t>
      </w:r>
      <w:proofErr w:type="spellEnd"/>
      <w:r w:rsidRPr="00992AA5">
        <w:rPr>
          <w:lang w:val="pl-PL"/>
        </w:rPr>
        <w:t xml:space="preserve"> nie przekracza 15% łącznej wartości początkowej ŚT / </w:t>
      </w:r>
      <w:proofErr w:type="spellStart"/>
      <w:r w:rsidRPr="00992AA5">
        <w:rPr>
          <w:lang w:val="pl-PL"/>
        </w:rPr>
        <w:t>WNiP</w:t>
      </w:r>
      <w:proofErr w:type="spellEnd"/>
      <w:r w:rsidRPr="00992AA5">
        <w:rPr>
          <w:lang w:val="pl-PL"/>
        </w:rPr>
        <w:t xml:space="preserve"> zgodnie z Rozporządzeniem Kosztowym. </w:t>
      </w:r>
    </w:p>
    <w:p w:rsidR="00B92BFC" w:rsidRPr="00992AA5" w:rsidRDefault="00A6003D" w:rsidP="00992AA5">
      <w:pPr>
        <w:tabs>
          <w:tab w:val="clear" w:pos="567"/>
        </w:tabs>
        <w:spacing w:before="120" w:line="240" w:lineRule="auto"/>
        <w:rPr>
          <w:lang w:val="pl-PL"/>
        </w:rPr>
      </w:pPr>
      <w:r w:rsidRPr="00992AA5">
        <w:rPr>
          <w:lang w:val="pl-PL"/>
        </w:rPr>
        <w:t xml:space="preserve">6) Grupowanie tak zdefiniowanej grupy </w:t>
      </w:r>
      <w:proofErr w:type="spellStart"/>
      <w:r w:rsidRPr="00992AA5">
        <w:rPr>
          <w:lang w:val="pl-PL"/>
        </w:rPr>
        <w:t>podkategorii</w:t>
      </w:r>
      <w:proofErr w:type="spellEnd"/>
      <w:r w:rsidRPr="00992AA5">
        <w:rPr>
          <w:lang w:val="pl-PL"/>
        </w:rPr>
        <w:t xml:space="preserve"> w odpowiednie jednorodne HCC.</w:t>
      </w:r>
    </w:p>
    <w:p w:rsidR="00B92BFC" w:rsidRPr="00992AA5" w:rsidRDefault="00B92BFC" w:rsidP="00EB6C89">
      <w:pPr>
        <w:pStyle w:val="MIKNagwek1"/>
        <w:numPr>
          <w:ilvl w:val="2"/>
          <w:numId w:val="26"/>
        </w:numPr>
        <w:tabs>
          <w:tab w:val="clear" w:pos="2127"/>
          <w:tab w:val="num" w:pos="993"/>
        </w:tabs>
        <w:spacing w:before="120" w:after="0" w:line="240" w:lineRule="auto"/>
        <w:ind w:left="993" w:hanging="993"/>
        <w:rPr>
          <w:sz w:val="22"/>
          <w:szCs w:val="22"/>
          <w:lang w:val="pl-PL"/>
        </w:rPr>
      </w:pPr>
      <w:bookmarkStart w:id="61" w:name="_Toc169500100"/>
      <w:bookmarkStart w:id="62" w:name="_Toc314727580"/>
      <w:bookmarkStart w:id="63" w:name="_Toc383521141"/>
      <w:r w:rsidRPr="00992AA5">
        <w:rPr>
          <w:sz w:val="22"/>
          <w:szCs w:val="22"/>
          <w:lang w:val="pl-PL"/>
        </w:rPr>
        <w:t>Środki trwałe oraz wartości niematerialne i prawne w pełni zamortyzowane</w:t>
      </w:r>
      <w:bookmarkEnd w:id="61"/>
      <w:bookmarkEnd w:id="62"/>
      <w:bookmarkEnd w:id="63"/>
    </w:p>
    <w:p w:rsidR="00B92BFC" w:rsidRPr="00992AA5" w:rsidRDefault="00B92BFC" w:rsidP="00EB6C89">
      <w:pPr>
        <w:spacing w:before="120" w:line="240" w:lineRule="auto"/>
        <w:rPr>
          <w:lang w:val="pl-PL"/>
        </w:rPr>
      </w:pPr>
      <w:r w:rsidRPr="00992AA5">
        <w:rPr>
          <w:lang w:val="pl-PL"/>
        </w:rPr>
        <w:t xml:space="preserve">Zgodnie z §11 ust. 2 Rozporządzenia, środki trwałe oraz wartości niematerialne i prawne w danej grupie środków trwałych ustalonej zgodnie z metodologią opisaną w rozdziale 3.1, które na początek ostatniego zakończonego roku obrotowego, za który przedstawiane </w:t>
      </w:r>
      <w:r w:rsidR="0042417B" w:rsidRPr="00992AA5">
        <w:rPr>
          <w:lang w:val="pl-PL"/>
        </w:rPr>
        <w:br/>
      </w:r>
      <w:r w:rsidRPr="00992AA5">
        <w:rPr>
          <w:lang w:val="pl-PL"/>
        </w:rPr>
        <w:t xml:space="preserve">są sprawozdania z prowadzenia rachunkowości regulacyjnej lub wyniki kalkulacji kosztów, były w pełni zamortyzowane, nie podlegają aktualizacji wyceny i wykazywane </w:t>
      </w:r>
      <w:r w:rsidR="0042417B" w:rsidRPr="00992AA5">
        <w:rPr>
          <w:lang w:val="pl-PL"/>
        </w:rPr>
        <w:br/>
      </w:r>
      <w:r w:rsidRPr="00992AA5">
        <w:rPr>
          <w:lang w:val="pl-PL"/>
        </w:rPr>
        <w:t xml:space="preserve">są w wartościach historycznych. </w:t>
      </w:r>
    </w:p>
    <w:p w:rsidR="00AD75A7" w:rsidRPr="00992AA5" w:rsidRDefault="00B92BFC" w:rsidP="00EB6C89">
      <w:pPr>
        <w:pStyle w:val="MIKNagwek1"/>
        <w:numPr>
          <w:ilvl w:val="2"/>
          <w:numId w:val="26"/>
        </w:numPr>
        <w:tabs>
          <w:tab w:val="clear" w:pos="2127"/>
          <w:tab w:val="num" w:pos="993"/>
        </w:tabs>
        <w:spacing w:before="120" w:after="0" w:line="240" w:lineRule="auto"/>
        <w:ind w:left="993" w:hanging="993"/>
        <w:rPr>
          <w:sz w:val="22"/>
          <w:szCs w:val="22"/>
          <w:lang w:val="pl-PL"/>
        </w:rPr>
      </w:pPr>
      <w:bookmarkStart w:id="64" w:name="_Toc122859288"/>
      <w:bookmarkStart w:id="65" w:name="_Toc169500101"/>
      <w:bookmarkStart w:id="66" w:name="_Toc314727581"/>
      <w:bookmarkStart w:id="67" w:name="_Toc383521142"/>
      <w:r w:rsidRPr="00992AA5">
        <w:rPr>
          <w:sz w:val="22"/>
          <w:szCs w:val="22"/>
          <w:lang w:val="pl-PL"/>
        </w:rPr>
        <w:t xml:space="preserve">Sposoby ustalenia bieżącej wartości brutto </w:t>
      </w:r>
      <w:r w:rsidR="00BD4B06" w:rsidRPr="00992AA5">
        <w:rPr>
          <w:sz w:val="22"/>
          <w:szCs w:val="22"/>
          <w:lang w:val="pl-PL"/>
        </w:rPr>
        <w:t xml:space="preserve">i netto środków trwałych </w:t>
      </w:r>
      <w:r w:rsidR="00992AA5">
        <w:rPr>
          <w:sz w:val="22"/>
          <w:szCs w:val="22"/>
          <w:lang w:val="pl-PL"/>
        </w:rPr>
        <w:br/>
      </w:r>
      <w:r w:rsidR="00BD4B06" w:rsidRPr="00992AA5">
        <w:rPr>
          <w:sz w:val="22"/>
          <w:szCs w:val="22"/>
          <w:lang w:val="pl-PL"/>
        </w:rPr>
        <w:t xml:space="preserve">i wartości </w:t>
      </w:r>
      <w:r w:rsidRPr="00992AA5">
        <w:rPr>
          <w:sz w:val="22"/>
          <w:szCs w:val="22"/>
          <w:lang w:val="pl-PL"/>
        </w:rPr>
        <w:t>niematerialnych i prawnych</w:t>
      </w:r>
      <w:bookmarkEnd w:id="64"/>
      <w:bookmarkEnd w:id="65"/>
      <w:bookmarkEnd w:id="66"/>
      <w:bookmarkEnd w:id="67"/>
    </w:p>
    <w:p w:rsidR="00E9564C" w:rsidRPr="00992AA5" w:rsidRDefault="00C27C78" w:rsidP="00EB6C89">
      <w:pPr>
        <w:spacing w:before="120" w:line="240" w:lineRule="auto"/>
        <w:rPr>
          <w:lang w:val="pl-PL"/>
        </w:rPr>
      </w:pPr>
      <w:r w:rsidRPr="00992AA5">
        <w:rPr>
          <w:lang w:val="pl-PL"/>
        </w:rPr>
        <w:t xml:space="preserve">Ujęte w księgach rachunkowych Spółki prowadzonych zgodnie z Międzynarodowymi Standardami Sprawozdawczości Finansowej (MSSF) wartości brutto i netto środków trwałych, ich stopień umorzenia oraz przyjęte okresy ekonomicznej użyteczności </w:t>
      </w:r>
      <w:r w:rsidR="0042417B" w:rsidRPr="00992AA5">
        <w:rPr>
          <w:lang w:val="pl-PL"/>
        </w:rPr>
        <w:br/>
      </w:r>
      <w:r w:rsidRPr="00992AA5">
        <w:rPr>
          <w:lang w:val="pl-PL"/>
        </w:rPr>
        <w:t>są najlepszym odzwierciedleniem ich wartości godziwych, rzeczywistego stopnia umorzenia oraz efektywnej stawki amortyzacji i są bezpośrednio stosowane jako wartości księgowe brutto i netto</w:t>
      </w:r>
      <w:r w:rsidR="00182A0D" w:rsidRPr="00992AA5">
        <w:rPr>
          <w:lang w:val="pl-PL"/>
        </w:rPr>
        <w:t>, jak również wartości umorzenia i amortyzacji</w:t>
      </w:r>
      <w:r w:rsidRPr="00992AA5">
        <w:rPr>
          <w:lang w:val="pl-PL"/>
        </w:rPr>
        <w:t xml:space="preserve"> przy </w:t>
      </w:r>
      <w:r w:rsidR="00182A0D" w:rsidRPr="00992AA5">
        <w:rPr>
          <w:lang w:val="pl-PL"/>
        </w:rPr>
        <w:t xml:space="preserve">wyznaczaniu wartości </w:t>
      </w:r>
      <w:r w:rsidR="00182A0D" w:rsidRPr="00992AA5">
        <w:rPr>
          <w:lang w:val="pl-PL"/>
        </w:rPr>
        <w:lastRenderedPageBreak/>
        <w:t>kosztów od</w:t>
      </w:r>
      <w:r w:rsidRPr="00992AA5">
        <w:rPr>
          <w:lang w:val="pl-PL"/>
        </w:rPr>
        <w:t xml:space="preserve"> wartości bieżących </w:t>
      </w:r>
      <w:bookmarkStart w:id="68" w:name="_Toc67362842"/>
      <w:bookmarkStart w:id="69" w:name="_Ref76367248"/>
      <w:bookmarkStart w:id="70" w:name="_Ref91316623"/>
      <w:bookmarkStart w:id="71" w:name="_Ref91316740"/>
      <w:r w:rsidR="00C13388" w:rsidRPr="00992AA5">
        <w:rPr>
          <w:lang w:val="pl-PL"/>
        </w:rPr>
        <w:t xml:space="preserve">środków trwałych i wartości niematerialnych i prawnych </w:t>
      </w:r>
      <w:r w:rsidR="0042417B" w:rsidRPr="00992AA5">
        <w:rPr>
          <w:lang w:val="pl-PL"/>
        </w:rPr>
        <w:br/>
      </w:r>
      <w:r w:rsidR="00C13388" w:rsidRPr="00992AA5">
        <w:rPr>
          <w:lang w:val="pl-PL"/>
        </w:rPr>
        <w:t>w Części II i Części III niniejszego dokumentu</w:t>
      </w:r>
      <w:r w:rsidR="00406D66" w:rsidRPr="00992AA5">
        <w:rPr>
          <w:lang w:val="pl-PL"/>
        </w:rPr>
        <w:t xml:space="preserve">. </w:t>
      </w:r>
    </w:p>
    <w:p w:rsidR="00073C78" w:rsidRPr="00992AA5" w:rsidRDefault="00073C78" w:rsidP="00EB6C89">
      <w:pPr>
        <w:spacing w:before="120" w:line="240" w:lineRule="auto"/>
        <w:rPr>
          <w:lang w:val="pl-PL"/>
        </w:rPr>
      </w:pPr>
      <w:r w:rsidRPr="00992AA5">
        <w:rPr>
          <w:lang w:val="pl-PL"/>
        </w:rPr>
        <w:t>Informacje na temat okresów amortyzacji poszczególnych środków trwałych pogrupowanych w jednorodne komponenty kosztowe (HCC), wyrażonych w latach oraz w procentach zostają przekazane Prezesowi UKE w terminie 7 dni od dnia zakończenia badania, o którym mowa w art. 53 ust. 5 Pt.</w:t>
      </w:r>
    </w:p>
    <w:p w:rsidR="00073C78" w:rsidRPr="00992AA5" w:rsidRDefault="00073C78" w:rsidP="00EB6C89">
      <w:pPr>
        <w:spacing w:before="120" w:line="240" w:lineRule="auto"/>
        <w:rPr>
          <w:lang w:val="pl-PL"/>
        </w:rPr>
      </w:pPr>
    </w:p>
    <w:p w:rsidR="00B92BFC" w:rsidRPr="00992AA5" w:rsidRDefault="00B92BFC" w:rsidP="00EB6C89">
      <w:pPr>
        <w:pStyle w:val="MIKNagwek1"/>
        <w:spacing w:before="120" w:after="0" w:line="240" w:lineRule="auto"/>
        <w:rPr>
          <w:sz w:val="22"/>
          <w:szCs w:val="22"/>
          <w:lang w:val="pl-PL"/>
        </w:rPr>
      </w:pPr>
      <w:r w:rsidRPr="00992AA5">
        <w:rPr>
          <w:sz w:val="22"/>
          <w:szCs w:val="22"/>
          <w:lang w:val="pl-PL"/>
        </w:rPr>
        <w:br w:type="page"/>
      </w:r>
      <w:bookmarkStart w:id="72" w:name="_Toc169500102"/>
      <w:bookmarkStart w:id="73" w:name="_Toc314727582"/>
      <w:bookmarkStart w:id="74" w:name="_Toc383521143"/>
      <w:r w:rsidRPr="00992AA5">
        <w:rPr>
          <w:sz w:val="22"/>
          <w:szCs w:val="22"/>
          <w:lang w:val="pl-PL"/>
        </w:rPr>
        <w:lastRenderedPageBreak/>
        <w:t>Przeszacowanie poszczególnych grup środków trwałych</w:t>
      </w:r>
      <w:bookmarkEnd w:id="68"/>
      <w:bookmarkEnd w:id="69"/>
      <w:bookmarkEnd w:id="70"/>
      <w:bookmarkEnd w:id="71"/>
      <w:bookmarkEnd w:id="72"/>
      <w:r w:rsidR="002A0C2C" w:rsidRPr="00992AA5">
        <w:rPr>
          <w:sz w:val="22"/>
          <w:szCs w:val="22"/>
          <w:lang w:val="pl-PL"/>
        </w:rPr>
        <w:t xml:space="preserve"> i wartości niematerialnych i prawnych</w:t>
      </w:r>
      <w:bookmarkEnd w:id="73"/>
      <w:bookmarkEnd w:id="74"/>
    </w:p>
    <w:p w:rsidR="00B92BFC" w:rsidRPr="00183706" w:rsidRDefault="00B92BFC" w:rsidP="00EB6C89">
      <w:pPr>
        <w:spacing w:before="120" w:line="240" w:lineRule="auto"/>
        <w:rPr>
          <w:lang w:val="pl-PL"/>
        </w:rPr>
      </w:pPr>
      <w:bookmarkStart w:id="75" w:name="_Toc136053944"/>
      <w:bookmarkStart w:id="76" w:name="_Toc154381913"/>
    </w:p>
    <w:tbl>
      <w:tblPr>
        <w:tblW w:w="4962" w:type="pct"/>
        <w:tblInd w:w="70" w:type="dxa"/>
        <w:tblLayout w:type="fixed"/>
        <w:tblCellMar>
          <w:left w:w="70" w:type="dxa"/>
          <w:right w:w="70" w:type="dxa"/>
        </w:tblCellMar>
        <w:tblLook w:val="0000"/>
      </w:tblPr>
      <w:tblGrid>
        <w:gridCol w:w="719"/>
        <w:gridCol w:w="3240"/>
        <w:gridCol w:w="1497"/>
        <w:gridCol w:w="1993"/>
        <w:gridCol w:w="1693"/>
      </w:tblGrid>
      <w:tr w:rsidR="00B21585" w:rsidRPr="00183706">
        <w:trPr>
          <w:trHeight w:val="270"/>
          <w:tblHeader/>
        </w:trPr>
        <w:tc>
          <w:tcPr>
            <w:tcW w:w="393" w:type="pct"/>
            <w:tcBorders>
              <w:top w:val="single" w:sz="8" w:space="0" w:color="auto"/>
              <w:left w:val="single" w:sz="4" w:space="0" w:color="auto"/>
              <w:bottom w:val="single" w:sz="8" w:space="0" w:color="auto"/>
              <w:right w:val="single" w:sz="8" w:space="0" w:color="auto"/>
            </w:tcBorders>
            <w:shd w:val="clear" w:color="auto" w:fill="969696"/>
            <w:vAlign w:val="center"/>
          </w:tcPr>
          <w:p w:rsidR="00B21585" w:rsidRPr="00183706" w:rsidRDefault="00B21585" w:rsidP="00EB6C89">
            <w:pPr>
              <w:spacing w:before="120" w:line="240" w:lineRule="auto"/>
              <w:jc w:val="center"/>
              <w:rPr>
                <w:b/>
                <w:bCs/>
                <w:sz w:val="16"/>
                <w:szCs w:val="16"/>
                <w:lang w:val="pl-PL"/>
              </w:rPr>
            </w:pPr>
            <w:r w:rsidRPr="00183706">
              <w:rPr>
                <w:b/>
                <w:bCs/>
                <w:sz w:val="16"/>
                <w:szCs w:val="16"/>
                <w:lang w:val="pl-PL"/>
              </w:rPr>
              <w:t>Lp.</w:t>
            </w:r>
          </w:p>
        </w:tc>
        <w:tc>
          <w:tcPr>
            <w:tcW w:w="1772" w:type="pct"/>
            <w:tcBorders>
              <w:top w:val="single" w:sz="8" w:space="0" w:color="auto"/>
              <w:left w:val="nil"/>
              <w:bottom w:val="single" w:sz="8" w:space="0" w:color="auto"/>
              <w:right w:val="single" w:sz="8" w:space="0" w:color="auto"/>
            </w:tcBorders>
            <w:shd w:val="clear" w:color="auto" w:fill="969696"/>
            <w:vAlign w:val="center"/>
          </w:tcPr>
          <w:p w:rsidR="00B21585" w:rsidRPr="00183706" w:rsidRDefault="00B21585" w:rsidP="00EB6C89">
            <w:pPr>
              <w:spacing w:before="120" w:line="240" w:lineRule="auto"/>
              <w:jc w:val="center"/>
              <w:rPr>
                <w:b/>
                <w:bCs/>
                <w:sz w:val="16"/>
                <w:szCs w:val="16"/>
                <w:lang w:val="pl-PL"/>
              </w:rPr>
            </w:pPr>
            <w:r w:rsidRPr="00183706">
              <w:rPr>
                <w:b/>
                <w:bCs/>
                <w:sz w:val="16"/>
                <w:szCs w:val="16"/>
                <w:lang w:val="pl-PL"/>
              </w:rPr>
              <w:t>Grupa środków trwałych</w:t>
            </w:r>
          </w:p>
        </w:tc>
        <w:tc>
          <w:tcPr>
            <w:tcW w:w="819" w:type="pct"/>
            <w:tcBorders>
              <w:top w:val="single" w:sz="8" w:space="0" w:color="auto"/>
              <w:left w:val="nil"/>
              <w:bottom w:val="single" w:sz="8" w:space="0" w:color="auto"/>
              <w:right w:val="single" w:sz="8" w:space="0" w:color="auto"/>
            </w:tcBorders>
            <w:shd w:val="clear" w:color="auto" w:fill="969696"/>
            <w:vAlign w:val="center"/>
          </w:tcPr>
          <w:p w:rsidR="00B21585" w:rsidRPr="00183706" w:rsidRDefault="00B21585" w:rsidP="00EB6C89">
            <w:pPr>
              <w:spacing w:before="120" w:line="240" w:lineRule="auto"/>
              <w:jc w:val="center"/>
              <w:rPr>
                <w:b/>
                <w:bCs/>
                <w:sz w:val="16"/>
                <w:szCs w:val="16"/>
                <w:lang w:val="pl-PL"/>
              </w:rPr>
            </w:pPr>
            <w:r w:rsidRPr="00183706">
              <w:rPr>
                <w:b/>
                <w:bCs/>
                <w:sz w:val="16"/>
                <w:szCs w:val="16"/>
                <w:lang w:val="pl-PL"/>
              </w:rPr>
              <w:t>Metoda przeszacowania</w:t>
            </w:r>
          </w:p>
        </w:tc>
        <w:tc>
          <w:tcPr>
            <w:tcW w:w="1090" w:type="pct"/>
            <w:tcBorders>
              <w:top w:val="single" w:sz="8" w:space="0" w:color="auto"/>
              <w:left w:val="nil"/>
              <w:bottom w:val="single" w:sz="8" w:space="0" w:color="auto"/>
              <w:right w:val="single" w:sz="4" w:space="0" w:color="auto"/>
            </w:tcBorders>
            <w:shd w:val="clear" w:color="auto" w:fill="969696"/>
            <w:vAlign w:val="center"/>
          </w:tcPr>
          <w:p w:rsidR="00B21585" w:rsidRPr="00183706" w:rsidRDefault="00B21585" w:rsidP="00EB6C89">
            <w:pPr>
              <w:spacing w:before="120" w:line="240" w:lineRule="auto"/>
              <w:jc w:val="center"/>
              <w:rPr>
                <w:b/>
                <w:bCs/>
                <w:sz w:val="16"/>
                <w:szCs w:val="16"/>
                <w:lang w:val="pl-PL"/>
              </w:rPr>
            </w:pPr>
            <w:r w:rsidRPr="00183706">
              <w:rPr>
                <w:b/>
                <w:bCs/>
                <w:sz w:val="16"/>
                <w:szCs w:val="16"/>
                <w:lang w:val="pl-PL"/>
              </w:rPr>
              <w:t>Opis metody</w:t>
            </w:r>
          </w:p>
        </w:tc>
        <w:tc>
          <w:tcPr>
            <w:tcW w:w="926" w:type="pct"/>
            <w:tcBorders>
              <w:top w:val="single" w:sz="4" w:space="0" w:color="auto"/>
              <w:left w:val="single" w:sz="4" w:space="0" w:color="auto"/>
              <w:bottom w:val="single" w:sz="4" w:space="0" w:color="auto"/>
              <w:right w:val="single" w:sz="4" w:space="0" w:color="auto"/>
            </w:tcBorders>
            <w:shd w:val="clear" w:color="auto" w:fill="969696"/>
            <w:vAlign w:val="center"/>
          </w:tcPr>
          <w:p w:rsidR="00B21585" w:rsidRPr="00183706" w:rsidRDefault="00B21585" w:rsidP="00EB6C89">
            <w:pPr>
              <w:spacing w:before="120" w:line="240" w:lineRule="auto"/>
              <w:jc w:val="center"/>
              <w:rPr>
                <w:b/>
                <w:bCs/>
                <w:sz w:val="16"/>
                <w:szCs w:val="16"/>
                <w:lang w:val="pl-PL"/>
              </w:rPr>
            </w:pPr>
            <w:r w:rsidRPr="00183706">
              <w:rPr>
                <w:b/>
                <w:bCs/>
                <w:sz w:val="16"/>
                <w:szCs w:val="16"/>
                <w:lang w:val="pl-PL"/>
              </w:rPr>
              <w:t>Źródło danych do przeszacowania</w:t>
            </w:r>
          </w:p>
        </w:tc>
      </w:tr>
      <w:tr w:rsidR="00B21585" w:rsidRPr="00183706">
        <w:trPr>
          <w:trHeight w:val="330"/>
        </w:trPr>
        <w:tc>
          <w:tcPr>
            <w:tcW w:w="393" w:type="pct"/>
            <w:tcBorders>
              <w:top w:val="nil"/>
              <w:left w:val="single" w:sz="4" w:space="0" w:color="auto"/>
              <w:bottom w:val="single" w:sz="8" w:space="0" w:color="auto"/>
              <w:right w:val="single" w:sz="8" w:space="0" w:color="auto"/>
            </w:tcBorders>
            <w:vAlign w:val="center"/>
          </w:tcPr>
          <w:p w:rsidR="00B21585" w:rsidRPr="00183706" w:rsidRDefault="00B21585" w:rsidP="00EB6C89">
            <w:pPr>
              <w:spacing w:before="120" w:line="240" w:lineRule="auto"/>
              <w:rPr>
                <w:b/>
                <w:bCs/>
                <w:sz w:val="16"/>
                <w:szCs w:val="16"/>
                <w:lang w:val="pl-PL"/>
              </w:rPr>
            </w:pPr>
            <w:r w:rsidRPr="00183706">
              <w:rPr>
                <w:b/>
                <w:bCs/>
                <w:sz w:val="16"/>
                <w:szCs w:val="16"/>
                <w:lang w:val="pl-PL"/>
              </w:rPr>
              <w:t>1</w:t>
            </w:r>
          </w:p>
        </w:tc>
        <w:tc>
          <w:tcPr>
            <w:tcW w:w="3681" w:type="pct"/>
            <w:gridSpan w:val="3"/>
            <w:tcBorders>
              <w:top w:val="single" w:sz="8" w:space="0" w:color="auto"/>
              <w:left w:val="nil"/>
              <w:bottom w:val="single" w:sz="8" w:space="0" w:color="auto"/>
            </w:tcBorders>
            <w:vAlign w:val="center"/>
          </w:tcPr>
          <w:p w:rsidR="00B21585" w:rsidRPr="00183706" w:rsidRDefault="00B21585" w:rsidP="00EB6C89">
            <w:pPr>
              <w:spacing w:before="120" w:line="240" w:lineRule="auto"/>
              <w:rPr>
                <w:b/>
                <w:bCs/>
                <w:sz w:val="16"/>
                <w:szCs w:val="16"/>
                <w:lang w:val="pl-PL"/>
              </w:rPr>
            </w:pPr>
            <w:r w:rsidRPr="00183706">
              <w:rPr>
                <w:b/>
                <w:bCs/>
                <w:sz w:val="16"/>
                <w:szCs w:val="16"/>
                <w:lang w:val="pl-PL"/>
              </w:rPr>
              <w:t>Dostęp - Sieć pasywna</w:t>
            </w:r>
          </w:p>
        </w:tc>
        <w:tc>
          <w:tcPr>
            <w:tcW w:w="926" w:type="pct"/>
            <w:tcBorders>
              <w:top w:val="single" w:sz="4" w:space="0" w:color="auto"/>
              <w:bottom w:val="single" w:sz="4" w:space="0" w:color="auto"/>
              <w:right w:val="single" w:sz="4" w:space="0" w:color="auto"/>
            </w:tcBorders>
            <w:vAlign w:val="center"/>
          </w:tcPr>
          <w:p w:rsidR="00B21585" w:rsidRPr="00183706" w:rsidRDefault="00B21585" w:rsidP="00EB6C89">
            <w:pPr>
              <w:spacing w:before="120" w:line="240" w:lineRule="auto"/>
              <w:rPr>
                <w:b/>
                <w:bCs/>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1.1</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Infrastruktura linii napowietrznych</w:t>
            </w:r>
          </w:p>
        </w:tc>
        <w:tc>
          <w:tcPr>
            <w:tcW w:w="819" w:type="pct"/>
            <w:vMerge w:val="restart"/>
            <w:tcBorders>
              <w:top w:val="single" w:sz="4" w:space="0" w:color="auto"/>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1.2</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Kable miedziane sieci magistralnej</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1.3</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Kable miedziane sieci rozdzielczej</w:t>
            </w:r>
          </w:p>
        </w:tc>
        <w:tc>
          <w:tcPr>
            <w:tcW w:w="819" w:type="pct"/>
            <w:vMerge/>
            <w:tcBorders>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1.4</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 xml:space="preserve">Kable światłowodowe </w:t>
            </w:r>
            <w:proofErr w:type="spellStart"/>
            <w:r w:rsidRPr="00183706">
              <w:rPr>
                <w:sz w:val="16"/>
                <w:szCs w:val="16"/>
                <w:lang w:val="pl-PL"/>
              </w:rPr>
              <w:t>FTTx</w:t>
            </w:r>
            <w:proofErr w:type="spellEnd"/>
          </w:p>
        </w:tc>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rsidR="009D26E7" w:rsidRPr="00183706" w:rsidRDefault="0006055F" w:rsidP="00EB6C89">
            <w:pPr>
              <w:spacing w:before="120" w:line="240" w:lineRule="auto"/>
              <w:jc w:val="left"/>
              <w:rPr>
                <w:sz w:val="16"/>
                <w:szCs w:val="16"/>
                <w:lang w:val="pl-PL"/>
              </w:rPr>
            </w:pPr>
            <w:r w:rsidRPr="00183706">
              <w:rPr>
                <w:sz w:val="16"/>
                <w:szCs w:val="16"/>
                <w:lang w:val="pl-PL"/>
              </w:rPr>
              <w:t>koszt historyczny</w:t>
            </w:r>
          </w:p>
        </w:tc>
        <w:tc>
          <w:tcPr>
            <w:tcW w:w="1090" w:type="pct"/>
            <w:tcBorders>
              <w:top w:val="single" w:sz="4" w:space="0" w:color="auto"/>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926" w:type="pct"/>
            <w:tcBorders>
              <w:top w:val="single" w:sz="4" w:space="0" w:color="auto"/>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1.5</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Kanalizacja i infrastruktura</w:t>
            </w:r>
          </w:p>
        </w:tc>
        <w:tc>
          <w:tcPr>
            <w:tcW w:w="819" w:type="pct"/>
            <w:vMerge w:val="restart"/>
            <w:tcBorders>
              <w:top w:val="single" w:sz="4" w:space="0" w:color="auto"/>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Puszka lub skrzynka kablowa</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1.7</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Szafa kablowa</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1.8</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Przełącznice główne</w:t>
            </w:r>
          </w:p>
        </w:tc>
        <w:tc>
          <w:tcPr>
            <w:tcW w:w="819" w:type="pct"/>
            <w:vMerge/>
            <w:tcBorders>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2</w:t>
            </w:r>
          </w:p>
        </w:tc>
        <w:tc>
          <w:tcPr>
            <w:tcW w:w="3681" w:type="pct"/>
            <w:gridSpan w:val="3"/>
            <w:tcBorders>
              <w:top w:val="single" w:sz="8" w:space="0" w:color="auto"/>
              <w:left w:val="nil"/>
              <w:bottom w:val="single" w:sz="8"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Urządzenia w sieci dostępowej</w:t>
            </w:r>
          </w:p>
        </w:tc>
        <w:tc>
          <w:tcPr>
            <w:tcW w:w="926"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A8466E" w:rsidRPr="005E2C8D">
        <w:trPr>
          <w:trHeight w:val="1248"/>
        </w:trPr>
        <w:tc>
          <w:tcPr>
            <w:tcW w:w="393" w:type="pct"/>
            <w:tcBorders>
              <w:top w:val="nil"/>
              <w:left w:val="single" w:sz="4" w:space="0" w:color="auto"/>
              <w:bottom w:val="single" w:sz="8" w:space="0" w:color="auto"/>
              <w:right w:val="single" w:sz="8" w:space="0" w:color="auto"/>
            </w:tcBorders>
            <w:vAlign w:val="center"/>
          </w:tcPr>
          <w:p w:rsidR="00A8466E" w:rsidRPr="00183706" w:rsidRDefault="00A8466E" w:rsidP="00EB6C89">
            <w:pPr>
              <w:spacing w:before="120" w:line="240" w:lineRule="auto"/>
              <w:rPr>
                <w:sz w:val="16"/>
                <w:szCs w:val="16"/>
                <w:lang w:val="pl-PL"/>
              </w:rPr>
            </w:pPr>
            <w:r w:rsidRPr="00183706">
              <w:rPr>
                <w:sz w:val="16"/>
                <w:szCs w:val="16"/>
                <w:lang w:val="pl-PL"/>
              </w:rPr>
              <w:t>2.1</w:t>
            </w:r>
          </w:p>
        </w:tc>
        <w:tc>
          <w:tcPr>
            <w:tcW w:w="1772" w:type="pct"/>
            <w:tcBorders>
              <w:top w:val="nil"/>
              <w:left w:val="nil"/>
              <w:bottom w:val="single" w:sz="8" w:space="0" w:color="auto"/>
              <w:right w:val="single" w:sz="8" w:space="0" w:color="auto"/>
            </w:tcBorders>
            <w:shd w:val="clear" w:color="auto" w:fill="FFFFFF"/>
            <w:noWrap/>
            <w:vAlign w:val="center"/>
          </w:tcPr>
          <w:p w:rsidR="00A8466E" w:rsidRPr="00183706" w:rsidRDefault="00A8466E" w:rsidP="00EB6C89">
            <w:pPr>
              <w:spacing w:before="120" w:line="240" w:lineRule="auto"/>
              <w:rPr>
                <w:sz w:val="16"/>
                <w:szCs w:val="16"/>
                <w:lang w:val="pl-PL"/>
              </w:rPr>
            </w:pPr>
            <w:r w:rsidRPr="00183706">
              <w:rPr>
                <w:sz w:val="16"/>
                <w:szCs w:val="16"/>
                <w:lang w:val="pl-PL"/>
              </w:rPr>
              <w:t>PCM</w:t>
            </w:r>
          </w:p>
        </w:tc>
        <w:tc>
          <w:tcPr>
            <w:tcW w:w="819" w:type="pct"/>
            <w:tcBorders>
              <w:top w:val="nil"/>
              <w:left w:val="single" w:sz="8" w:space="0" w:color="auto"/>
              <w:bottom w:val="single" w:sz="4" w:space="0" w:color="auto"/>
              <w:right w:val="single" w:sz="8" w:space="0" w:color="auto"/>
            </w:tcBorders>
            <w:shd w:val="clear" w:color="auto" w:fill="auto"/>
            <w:vAlign w:val="center"/>
          </w:tcPr>
          <w:p w:rsidR="00A8466E" w:rsidRPr="00183706" w:rsidRDefault="00A8466E" w:rsidP="00EB6C89">
            <w:pPr>
              <w:spacing w:before="120" w:line="240" w:lineRule="auto"/>
              <w:jc w:val="left"/>
              <w:rPr>
                <w:sz w:val="16"/>
                <w:szCs w:val="16"/>
                <w:lang w:val="pl-PL"/>
              </w:rPr>
            </w:pPr>
            <w:r w:rsidRPr="00183706">
              <w:rPr>
                <w:sz w:val="16"/>
                <w:szCs w:val="16"/>
                <w:lang w:val="pl-PL"/>
              </w:rPr>
              <w:t>koszt historyczny</w:t>
            </w:r>
          </w:p>
        </w:tc>
        <w:tc>
          <w:tcPr>
            <w:tcW w:w="1090" w:type="pct"/>
            <w:tcBorders>
              <w:top w:val="nil"/>
              <w:left w:val="single" w:sz="8" w:space="0" w:color="auto"/>
              <w:bottom w:val="single" w:sz="4" w:space="0" w:color="auto"/>
              <w:right w:val="single" w:sz="8" w:space="0" w:color="auto"/>
            </w:tcBorders>
            <w:shd w:val="clear" w:color="auto" w:fill="auto"/>
            <w:vAlign w:val="center"/>
          </w:tcPr>
          <w:p w:rsidR="00A8466E" w:rsidRPr="00183706" w:rsidRDefault="00A8466E" w:rsidP="00EB6C89">
            <w:pPr>
              <w:spacing w:before="120" w:line="240" w:lineRule="auto"/>
              <w:jc w:val="left"/>
              <w:rPr>
                <w:sz w:val="16"/>
                <w:szCs w:val="16"/>
                <w:lang w:val="pl-PL"/>
              </w:rPr>
            </w:pPr>
            <w:r w:rsidRPr="00183706">
              <w:rPr>
                <w:sz w:val="16"/>
                <w:szCs w:val="16"/>
                <w:lang w:val="pl-PL"/>
              </w:rPr>
              <w:t>Dla całej grupy stosujemy metodę kosztu historycznego.</w:t>
            </w:r>
          </w:p>
        </w:tc>
        <w:tc>
          <w:tcPr>
            <w:tcW w:w="926" w:type="pct"/>
            <w:tcBorders>
              <w:top w:val="nil"/>
              <w:left w:val="single" w:sz="8" w:space="0" w:color="auto"/>
              <w:bottom w:val="single" w:sz="4" w:space="0" w:color="auto"/>
              <w:right w:val="single" w:sz="8" w:space="0" w:color="auto"/>
            </w:tcBorders>
            <w:shd w:val="clear" w:color="auto" w:fill="auto"/>
            <w:vAlign w:val="center"/>
          </w:tcPr>
          <w:p w:rsidR="00A8466E" w:rsidRPr="00183706" w:rsidRDefault="00A8466E" w:rsidP="00EB6C89">
            <w:pPr>
              <w:spacing w:before="120" w:line="240" w:lineRule="auto"/>
              <w:rPr>
                <w:sz w:val="16"/>
                <w:szCs w:val="16"/>
                <w:lang w:val="pl-PL"/>
              </w:rPr>
            </w:pPr>
          </w:p>
        </w:tc>
      </w:tr>
      <w:tr w:rsidR="009D26E7" w:rsidRPr="005E2C8D">
        <w:trPr>
          <w:trHeight w:val="270"/>
        </w:trPr>
        <w:tc>
          <w:tcPr>
            <w:tcW w:w="393" w:type="pct"/>
            <w:tcBorders>
              <w:top w:val="single" w:sz="4" w:space="0" w:color="auto"/>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2.2</w:t>
            </w:r>
          </w:p>
        </w:tc>
        <w:tc>
          <w:tcPr>
            <w:tcW w:w="1772" w:type="pct"/>
            <w:tcBorders>
              <w:top w:val="single" w:sz="4" w:space="0" w:color="auto"/>
              <w:left w:val="single" w:sz="4" w:space="0" w:color="auto"/>
              <w:bottom w:val="single" w:sz="8" w:space="0" w:color="auto"/>
              <w:right w:val="nil"/>
            </w:tcBorders>
            <w:shd w:val="clear" w:color="auto" w:fill="FFFFFF"/>
            <w:noWrap/>
            <w:vAlign w:val="center"/>
          </w:tcPr>
          <w:p w:rsidR="009D26E7" w:rsidRPr="00183706" w:rsidRDefault="009D26E7" w:rsidP="00EB6C89">
            <w:pPr>
              <w:spacing w:before="120" w:line="240" w:lineRule="auto"/>
              <w:rPr>
                <w:sz w:val="16"/>
                <w:szCs w:val="16"/>
                <w:lang w:val="pl-PL"/>
              </w:rPr>
            </w:pPr>
            <w:r w:rsidRPr="00183706">
              <w:rPr>
                <w:sz w:val="16"/>
                <w:szCs w:val="16"/>
                <w:lang w:val="pl-PL"/>
              </w:rPr>
              <w:t>ISDN – NT</w:t>
            </w:r>
          </w:p>
        </w:tc>
        <w:tc>
          <w:tcPr>
            <w:tcW w:w="819"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2.3</w:t>
            </w:r>
          </w:p>
        </w:tc>
        <w:tc>
          <w:tcPr>
            <w:tcW w:w="1772" w:type="pct"/>
            <w:tcBorders>
              <w:top w:val="nil"/>
              <w:left w:val="nil"/>
              <w:bottom w:val="single" w:sz="8" w:space="0" w:color="auto"/>
              <w:right w:val="single" w:sz="8" w:space="0" w:color="auto"/>
            </w:tcBorders>
            <w:shd w:val="clear" w:color="auto" w:fill="FFFFFF"/>
            <w:noWrap/>
            <w:vAlign w:val="center"/>
          </w:tcPr>
          <w:p w:rsidR="009D26E7" w:rsidRPr="00183706" w:rsidRDefault="009D26E7" w:rsidP="00EB6C89">
            <w:pPr>
              <w:spacing w:before="120" w:line="240" w:lineRule="auto"/>
              <w:rPr>
                <w:sz w:val="16"/>
                <w:szCs w:val="16"/>
                <w:lang w:val="pl-PL"/>
              </w:rPr>
            </w:pPr>
            <w:r w:rsidRPr="00183706">
              <w:rPr>
                <w:sz w:val="16"/>
                <w:szCs w:val="16"/>
                <w:lang w:val="pl-PL"/>
              </w:rPr>
              <w:t>HDSL – NT</w:t>
            </w:r>
          </w:p>
        </w:tc>
        <w:tc>
          <w:tcPr>
            <w:tcW w:w="819" w:type="pct"/>
            <w:vMerge/>
            <w:tcBorders>
              <w:left w:val="single" w:sz="8" w:space="0" w:color="auto"/>
              <w:right w:val="single" w:sz="8"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right w:val="single" w:sz="8"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right w:val="single" w:sz="8" w:space="0" w:color="auto"/>
            </w:tcBorders>
            <w:shd w:val="clear" w:color="auto" w:fill="auto"/>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2.4</w:t>
            </w:r>
          </w:p>
        </w:tc>
        <w:tc>
          <w:tcPr>
            <w:tcW w:w="1772" w:type="pct"/>
            <w:tcBorders>
              <w:top w:val="nil"/>
              <w:left w:val="single" w:sz="4" w:space="0" w:color="auto"/>
              <w:bottom w:val="single" w:sz="8" w:space="0" w:color="auto"/>
              <w:right w:val="nil"/>
            </w:tcBorders>
            <w:shd w:val="clear" w:color="auto" w:fill="FFFFFF"/>
            <w:noWrap/>
            <w:vAlign w:val="center"/>
          </w:tcPr>
          <w:p w:rsidR="009D26E7" w:rsidRPr="00183706" w:rsidRDefault="009D26E7" w:rsidP="00EB6C89">
            <w:pPr>
              <w:spacing w:before="120" w:line="240" w:lineRule="auto"/>
              <w:rPr>
                <w:sz w:val="16"/>
                <w:szCs w:val="16"/>
                <w:lang w:val="pl-PL"/>
              </w:rPr>
            </w:pPr>
            <w:r w:rsidRPr="00183706">
              <w:rPr>
                <w:sz w:val="16"/>
                <w:szCs w:val="16"/>
                <w:lang w:val="pl-PL"/>
              </w:rPr>
              <w:t>ADSL – NT</w:t>
            </w:r>
          </w:p>
        </w:tc>
        <w:tc>
          <w:tcPr>
            <w:tcW w:w="819" w:type="pct"/>
            <w:vMerge/>
            <w:tcBorders>
              <w:left w:val="single" w:sz="8"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3</w:t>
            </w:r>
          </w:p>
        </w:tc>
        <w:tc>
          <w:tcPr>
            <w:tcW w:w="4607" w:type="pct"/>
            <w:gridSpan w:val="4"/>
            <w:tcBorders>
              <w:top w:val="single" w:sz="8" w:space="0" w:color="auto"/>
              <w:left w:val="nil"/>
              <w:bottom w:val="single" w:sz="8" w:space="0" w:color="auto"/>
              <w:right w:val="single" w:sz="8" w:space="0" w:color="000000"/>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Dostęp bezprzewodowy</w:t>
            </w: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3.1</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DPS – Ruch</w:t>
            </w:r>
          </w:p>
        </w:tc>
        <w:tc>
          <w:tcPr>
            <w:tcW w:w="819" w:type="pct"/>
            <w:vMerge w:val="restart"/>
            <w:tcBorders>
              <w:top w:val="nil"/>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nil"/>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3.2</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DPS – POTS</w:t>
            </w:r>
          </w:p>
        </w:tc>
        <w:tc>
          <w:tcPr>
            <w:tcW w:w="819" w:type="pct"/>
            <w:vMerge/>
            <w:tcBorders>
              <w:top w:val="nil"/>
              <w:left w:val="single" w:sz="8"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nil"/>
              <w:left w:val="single" w:sz="8" w:space="0" w:color="auto"/>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4</w:t>
            </w:r>
          </w:p>
        </w:tc>
        <w:tc>
          <w:tcPr>
            <w:tcW w:w="3681" w:type="pct"/>
            <w:gridSpan w:val="3"/>
            <w:tcBorders>
              <w:top w:val="single" w:sz="8" w:space="0" w:color="auto"/>
              <w:left w:val="nil"/>
              <w:bottom w:val="single" w:sz="8"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Systemy Dostępowe</w:t>
            </w:r>
          </w:p>
        </w:tc>
        <w:tc>
          <w:tcPr>
            <w:tcW w:w="926" w:type="pct"/>
            <w:tcBorders>
              <w:top w:val="single" w:sz="4" w:space="0" w:color="auto"/>
              <w:left w:val="nil"/>
              <w:bottom w:val="single" w:sz="4" w:space="0" w:color="auto"/>
              <w:right w:val="single" w:sz="8" w:space="0" w:color="000000"/>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28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4.1</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dostępowe - POTS</w:t>
            </w:r>
          </w:p>
        </w:tc>
        <w:tc>
          <w:tcPr>
            <w:tcW w:w="819" w:type="pct"/>
            <w:vMerge w:val="restart"/>
            <w:tcBorders>
              <w:top w:val="nil"/>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MEA</w:t>
            </w:r>
          </w:p>
        </w:tc>
        <w:tc>
          <w:tcPr>
            <w:tcW w:w="1090" w:type="pct"/>
            <w:vMerge w:val="restart"/>
            <w:tcBorders>
              <w:top w:val="nil"/>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MEA</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4.2</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dostępowe – ISDN BRA</w:t>
            </w:r>
          </w:p>
        </w:tc>
        <w:tc>
          <w:tcPr>
            <w:tcW w:w="819" w:type="pct"/>
            <w:vMerge/>
            <w:tcBorders>
              <w:top w:val="nil"/>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nil"/>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4.3</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dostępowe – HDSL</w:t>
            </w:r>
          </w:p>
        </w:tc>
        <w:tc>
          <w:tcPr>
            <w:tcW w:w="819" w:type="pct"/>
            <w:vMerge/>
            <w:tcBorders>
              <w:top w:val="nil"/>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nil"/>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4.4</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dostępowe - ADSL</w:t>
            </w:r>
          </w:p>
        </w:tc>
        <w:tc>
          <w:tcPr>
            <w:tcW w:w="819" w:type="pct"/>
            <w:vMerge/>
            <w:tcBorders>
              <w:top w:val="nil"/>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nil"/>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4.5</w:t>
            </w:r>
          </w:p>
        </w:tc>
        <w:tc>
          <w:tcPr>
            <w:tcW w:w="1772" w:type="pct"/>
            <w:tcBorders>
              <w:top w:val="nil"/>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dostępowe - Transmisja</w:t>
            </w:r>
          </w:p>
        </w:tc>
        <w:tc>
          <w:tcPr>
            <w:tcW w:w="819" w:type="pct"/>
            <w:vMerge/>
            <w:tcBorders>
              <w:top w:val="nil"/>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nil"/>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5</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r w:rsidRPr="00183706">
              <w:rPr>
                <w:b/>
                <w:bCs/>
                <w:sz w:val="16"/>
                <w:szCs w:val="16"/>
                <w:lang w:val="pl-PL"/>
              </w:rPr>
              <w:t>Obiekty Wyniesione Central</w:t>
            </w:r>
          </w:p>
        </w:tc>
        <w:tc>
          <w:tcPr>
            <w:tcW w:w="926" w:type="pct"/>
            <w:tcBorders>
              <w:top w:val="single" w:sz="4" w:space="0" w:color="auto"/>
              <w:left w:val="nil"/>
              <w:bottom w:val="single" w:sz="4"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28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5.1</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RU – POTS</w:t>
            </w:r>
          </w:p>
        </w:tc>
        <w:tc>
          <w:tcPr>
            <w:tcW w:w="819" w:type="pct"/>
            <w:vMerge w:val="restart"/>
            <w:tcBorders>
              <w:top w:val="single" w:sz="4"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5.2</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RU – ISDN BRA</w:t>
            </w:r>
          </w:p>
        </w:tc>
        <w:tc>
          <w:tcPr>
            <w:tcW w:w="819" w:type="pct"/>
            <w:vMerge/>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5.3</w:t>
            </w:r>
          </w:p>
        </w:tc>
        <w:tc>
          <w:tcPr>
            <w:tcW w:w="1772" w:type="pct"/>
            <w:tcBorders>
              <w:top w:val="nil"/>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RU - Ruch</w:t>
            </w:r>
          </w:p>
        </w:tc>
        <w:tc>
          <w:tcPr>
            <w:tcW w:w="819" w:type="pct"/>
            <w:vMerge/>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6</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r w:rsidRPr="00183706">
              <w:rPr>
                <w:b/>
                <w:bCs/>
                <w:sz w:val="16"/>
                <w:szCs w:val="16"/>
                <w:lang w:val="pl-PL"/>
              </w:rPr>
              <w:t>Koncentratory Lokalne</w:t>
            </w:r>
          </w:p>
        </w:tc>
        <w:tc>
          <w:tcPr>
            <w:tcW w:w="926" w:type="pct"/>
            <w:tcBorders>
              <w:top w:val="single" w:sz="4" w:space="0" w:color="auto"/>
              <w:left w:val="nil"/>
              <w:bottom w:val="single" w:sz="4"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6.1</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LU - POTS</w:t>
            </w:r>
          </w:p>
        </w:tc>
        <w:tc>
          <w:tcPr>
            <w:tcW w:w="819" w:type="pct"/>
            <w:vMerge w:val="restart"/>
            <w:tcBorders>
              <w:top w:val="single" w:sz="4"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6.2</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LU – ISDN BRA</w:t>
            </w:r>
          </w:p>
        </w:tc>
        <w:tc>
          <w:tcPr>
            <w:tcW w:w="819" w:type="pct"/>
            <w:vMerge/>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6.3</w:t>
            </w:r>
          </w:p>
        </w:tc>
        <w:tc>
          <w:tcPr>
            <w:tcW w:w="1772" w:type="pct"/>
            <w:tcBorders>
              <w:top w:val="nil"/>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LU - Ruch</w:t>
            </w:r>
          </w:p>
        </w:tc>
        <w:tc>
          <w:tcPr>
            <w:tcW w:w="819" w:type="pct"/>
            <w:vMerge/>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7</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r w:rsidRPr="00183706">
              <w:rPr>
                <w:b/>
                <w:bCs/>
                <w:sz w:val="16"/>
                <w:szCs w:val="16"/>
                <w:lang w:val="pl-PL"/>
              </w:rPr>
              <w:t>Centrale Lokalne</w:t>
            </w:r>
          </w:p>
        </w:tc>
        <w:tc>
          <w:tcPr>
            <w:tcW w:w="926" w:type="pct"/>
            <w:tcBorders>
              <w:top w:val="single" w:sz="4" w:space="0" w:color="auto"/>
              <w:left w:val="nil"/>
              <w:bottom w:val="single" w:sz="4"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rsidTr="00A37BE6">
        <w:trPr>
          <w:trHeight w:val="28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7.1</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CL - POTS</w:t>
            </w:r>
          </w:p>
        </w:tc>
        <w:tc>
          <w:tcPr>
            <w:tcW w:w="819" w:type="pct"/>
            <w:vMerge w:val="restart"/>
            <w:tcBorders>
              <w:top w:val="single" w:sz="4"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 xml:space="preserve">Dla całej grupy stosujemy bezpośrednią metodę </w:t>
            </w:r>
            <w:r w:rsidRPr="00183706">
              <w:rPr>
                <w:sz w:val="16"/>
                <w:szCs w:val="16"/>
                <w:lang w:val="pl-PL"/>
              </w:rPr>
              <w:lastRenderedPageBreak/>
              <w:t>wyceny</w:t>
            </w:r>
          </w:p>
        </w:tc>
        <w:tc>
          <w:tcPr>
            <w:tcW w:w="926"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rsidTr="00A37BE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7.2</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CL – ISDN BRA</w:t>
            </w:r>
          </w:p>
        </w:tc>
        <w:tc>
          <w:tcPr>
            <w:tcW w:w="819" w:type="pct"/>
            <w:vMerge/>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rsidTr="00A37BE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lastRenderedPageBreak/>
              <w:t>7.3</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CL - Ruch</w:t>
            </w:r>
          </w:p>
        </w:tc>
        <w:tc>
          <w:tcPr>
            <w:tcW w:w="819" w:type="pct"/>
            <w:vMerge/>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lastRenderedPageBreak/>
              <w:t>7.4</w:t>
            </w:r>
          </w:p>
        </w:tc>
        <w:tc>
          <w:tcPr>
            <w:tcW w:w="1772" w:type="pct"/>
            <w:tcBorders>
              <w:top w:val="nil"/>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CL - Porty</w:t>
            </w:r>
          </w:p>
        </w:tc>
        <w:tc>
          <w:tcPr>
            <w:tcW w:w="819" w:type="pct"/>
            <w:vMerge/>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6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8</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r w:rsidRPr="00183706">
              <w:rPr>
                <w:b/>
                <w:bCs/>
                <w:sz w:val="16"/>
                <w:szCs w:val="16"/>
                <w:lang w:val="pl-PL"/>
              </w:rPr>
              <w:t>Centrale Końcowo-Tranzytowe</w:t>
            </w:r>
          </w:p>
        </w:tc>
        <w:tc>
          <w:tcPr>
            <w:tcW w:w="926" w:type="pct"/>
            <w:tcBorders>
              <w:top w:val="single" w:sz="4" w:space="0" w:color="auto"/>
              <w:left w:val="nil"/>
              <w:bottom w:val="single" w:sz="4"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28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8.1</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CKT - POTS</w:t>
            </w:r>
          </w:p>
        </w:tc>
        <w:tc>
          <w:tcPr>
            <w:tcW w:w="819" w:type="pct"/>
            <w:vMerge w:val="restart"/>
            <w:tcBorders>
              <w:top w:val="single" w:sz="4"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8.2</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CKT – ISDN BRA</w:t>
            </w:r>
          </w:p>
        </w:tc>
        <w:tc>
          <w:tcPr>
            <w:tcW w:w="819"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8.3</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CKT - Ruch</w:t>
            </w:r>
          </w:p>
        </w:tc>
        <w:tc>
          <w:tcPr>
            <w:tcW w:w="819"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8.4</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CKT - Porty</w:t>
            </w:r>
          </w:p>
        </w:tc>
        <w:tc>
          <w:tcPr>
            <w:tcW w:w="819"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8.5</w:t>
            </w:r>
          </w:p>
        </w:tc>
        <w:tc>
          <w:tcPr>
            <w:tcW w:w="1772" w:type="pct"/>
            <w:tcBorders>
              <w:top w:val="nil"/>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CKT - IN</w:t>
            </w:r>
          </w:p>
        </w:tc>
        <w:tc>
          <w:tcPr>
            <w:tcW w:w="819"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blPrEx>
          <w:tblCellMar>
            <w:left w:w="108" w:type="dxa"/>
            <w:right w:w="108" w:type="dxa"/>
          </w:tblCellMar>
        </w:tblPrEx>
        <w:trPr>
          <w:trHeight w:val="330"/>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9</w:t>
            </w:r>
          </w:p>
        </w:tc>
        <w:tc>
          <w:tcPr>
            <w:tcW w:w="1772" w:type="pct"/>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Centrale Tranzytowe</w:t>
            </w:r>
          </w:p>
        </w:tc>
        <w:tc>
          <w:tcPr>
            <w:tcW w:w="819" w:type="pct"/>
            <w:tcBorders>
              <w:top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tcBorders>
              <w:top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tcBorders>
              <w:top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5E2C8D">
        <w:trPr>
          <w:trHeight w:val="285"/>
        </w:trPr>
        <w:tc>
          <w:tcPr>
            <w:tcW w:w="393" w:type="pct"/>
            <w:tcBorders>
              <w:top w:val="single" w:sz="4" w:space="0" w:color="auto"/>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9.1</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CT -POTS</w:t>
            </w:r>
          </w:p>
        </w:tc>
        <w:tc>
          <w:tcPr>
            <w:tcW w:w="819" w:type="pct"/>
            <w:vMerge w:val="restart"/>
            <w:tcBorders>
              <w:top w:val="single" w:sz="4"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9.2</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CT – ISDN BRA</w:t>
            </w:r>
          </w:p>
        </w:tc>
        <w:tc>
          <w:tcPr>
            <w:tcW w:w="819" w:type="pct"/>
            <w:vMerge/>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9.3</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CT - Ruch</w:t>
            </w:r>
          </w:p>
        </w:tc>
        <w:tc>
          <w:tcPr>
            <w:tcW w:w="819" w:type="pct"/>
            <w:vMerge/>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9.4</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CT - Porty</w:t>
            </w:r>
          </w:p>
        </w:tc>
        <w:tc>
          <w:tcPr>
            <w:tcW w:w="819" w:type="pct"/>
            <w:vMerge/>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9.5</w:t>
            </w:r>
          </w:p>
        </w:tc>
        <w:tc>
          <w:tcPr>
            <w:tcW w:w="1772" w:type="pct"/>
            <w:tcBorders>
              <w:top w:val="nil"/>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CT - IN</w:t>
            </w:r>
          </w:p>
        </w:tc>
        <w:tc>
          <w:tcPr>
            <w:tcW w:w="819" w:type="pct"/>
            <w:vMerge/>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10</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r w:rsidRPr="00183706">
              <w:rPr>
                <w:b/>
                <w:bCs/>
                <w:sz w:val="16"/>
                <w:szCs w:val="16"/>
                <w:lang w:val="pl-PL"/>
              </w:rPr>
              <w:t>Centrale Międzynarodowe</w:t>
            </w:r>
          </w:p>
        </w:tc>
        <w:tc>
          <w:tcPr>
            <w:tcW w:w="926" w:type="pct"/>
            <w:tcBorders>
              <w:top w:val="single" w:sz="4" w:space="0" w:color="auto"/>
              <w:left w:val="nil"/>
              <w:bottom w:val="single" w:sz="4"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40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10.1</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CMN - Ruch</w:t>
            </w:r>
          </w:p>
        </w:tc>
        <w:tc>
          <w:tcPr>
            <w:tcW w:w="819" w:type="pct"/>
            <w:vMerge w:val="restart"/>
            <w:tcBorders>
              <w:top w:val="single" w:sz="4"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40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10.2</w:t>
            </w:r>
          </w:p>
        </w:tc>
        <w:tc>
          <w:tcPr>
            <w:tcW w:w="1772" w:type="pct"/>
            <w:tcBorders>
              <w:top w:val="nil"/>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CMN – Porty</w:t>
            </w:r>
          </w:p>
        </w:tc>
        <w:tc>
          <w:tcPr>
            <w:tcW w:w="819" w:type="pct"/>
            <w:vMerge/>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8"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11</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r w:rsidRPr="00183706">
              <w:rPr>
                <w:b/>
                <w:bCs/>
                <w:sz w:val="16"/>
                <w:szCs w:val="16"/>
                <w:lang w:val="pl-PL"/>
              </w:rPr>
              <w:t>Systemy nadzoru – komutacja</w:t>
            </w:r>
          </w:p>
        </w:tc>
        <w:tc>
          <w:tcPr>
            <w:tcW w:w="926" w:type="pct"/>
            <w:tcBorders>
              <w:top w:val="single" w:sz="4" w:space="0" w:color="auto"/>
              <w:left w:val="nil"/>
              <w:bottom w:val="single" w:sz="4"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188"/>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11.1</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nadzoru - komutacja</w:t>
            </w:r>
          </w:p>
        </w:tc>
        <w:tc>
          <w:tcPr>
            <w:tcW w:w="819"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vMerge w:val="restart"/>
            <w:tcBorders>
              <w:top w:val="single" w:sz="4" w:space="0" w:color="auto"/>
              <w:left w:val="single" w:sz="8"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183706">
        <w:trPr>
          <w:trHeight w:val="294"/>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11.2</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 zarządzania ruchem</w:t>
            </w:r>
          </w:p>
        </w:tc>
        <w:tc>
          <w:tcPr>
            <w:tcW w:w="819"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34"/>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11.3</w:t>
            </w:r>
          </w:p>
        </w:tc>
        <w:tc>
          <w:tcPr>
            <w:tcW w:w="1772" w:type="pct"/>
            <w:tcBorders>
              <w:top w:val="single" w:sz="4" w:space="0" w:color="auto"/>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 zarządzania WLR</w:t>
            </w:r>
          </w:p>
        </w:tc>
        <w:tc>
          <w:tcPr>
            <w:tcW w:w="819" w:type="pct"/>
            <w:vMerge/>
            <w:tcBorders>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12</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sz w:val="16"/>
                <w:szCs w:val="16"/>
                <w:lang w:val="pl-PL"/>
              </w:rPr>
            </w:pPr>
            <w:r w:rsidRPr="00183706">
              <w:rPr>
                <w:b/>
                <w:bCs/>
                <w:sz w:val="16"/>
                <w:szCs w:val="16"/>
                <w:lang w:val="pl-PL"/>
              </w:rPr>
              <w:t>Komutacja - pozostałe urządzenia</w:t>
            </w:r>
          </w:p>
        </w:tc>
        <w:tc>
          <w:tcPr>
            <w:tcW w:w="926"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270"/>
        </w:trPr>
        <w:tc>
          <w:tcPr>
            <w:tcW w:w="393" w:type="pct"/>
            <w:tcBorders>
              <w:top w:val="nil"/>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12.1</w:t>
            </w:r>
          </w:p>
        </w:tc>
        <w:tc>
          <w:tcPr>
            <w:tcW w:w="1772" w:type="pct"/>
            <w:tcBorders>
              <w:top w:val="single" w:sz="4" w:space="0" w:color="auto"/>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Sieci Inteligentnej</w:t>
            </w:r>
          </w:p>
        </w:tc>
        <w:tc>
          <w:tcPr>
            <w:tcW w:w="819" w:type="pct"/>
            <w:vMerge w:val="restart"/>
            <w:tcBorders>
              <w:top w:val="single" w:sz="4" w:space="0" w:color="auto"/>
              <w:left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vMerge w:val="restart"/>
            <w:tcBorders>
              <w:top w:val="single" w:sz="4" w:space="0" w:color="auto"/>
              <w:left w:val="nil"/>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vMerge w:val="restart"/>
            <w:tcBorders>
              <w:top w:val="single" w:sz="8" w:space="0" w:color="auto"/>
              <w:left w:val="nil"/>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183706">
        <w:tblPrEx>
          <w:tblCellMar>
            <w:left w:w="108" w:type="dxa"/>
            <w:right w:w="108" w:type="dxa"/>
          </w:tblCellMar>
        </w:tblPrEx>
        <w:trPr>
          <w:trHeight w:val="671"/>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12.2</w:t>
            </w:r>
          </w:p>
        </w:tc>
        <w:tc>
          <w:tcPr>
            <w:tcW w:w="1772" w:type="pct"/>
            <w:tcBorders>
              <w:top w:val="single" w:sz="4" w:space="0" w:color="auto"/>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Sieci Sygnalizacyjnej</w:t>
            </w:r>
          </w:p>
        </w:tc>
        <w:tc>
          <w:tcPr>
            <w:tcW w:w="819" w:type="pct"/>
            <w:vMerge/>
            <w:tcBorders>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single" w:sz="4" w:space="0" w:color="auto"/>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13</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Sieć Transmisyjna</w:t>
            </w:r>
          </w:p>
        </w:tc>
        <w:tc>
          <w:tcPr>
            <w:tcW w:w="926" w:type="pct"/>
            <w:tcBorders>
              <w:top w:val="single" w:sz="4" w:space="0" w:color="auto"/>
              <w:left w:val="nil"/>
              <w:bottom w:val="nil"/>
              <w:right w:val="single" w:sz="8" w:space="0" w:color="000000"/>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13.1</w:t>
            </w:r>
          </w:p>
        </w:tc>
        <w:tc>
          <w:tcPr>
            <w:tcW w:w="1772"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Kanalizacja sieci transmisyjnej</w:t>
            </w:r>
          </w:p>
        </w:tc>
        <w:tc>
          <w:tcPr>
            <w:tcW w:w="819" w:type="pc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tcBorders>
              <w:top w:val="single" w:sz="8"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13.3</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Kable sieci transmisyjnej</w:t>
            </w:r>
          </w:p>
        </w:tc>
        <w:tc>
          <w:tcPr>
            <w:tcW w:w="819" w:type="pct"/>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MEA</w:t>
            </w:r>
          </w:p>
        </w:tc>
        <w:tc>
          <w:tcPr>
            <w:tcW w:w="1090" w:type="pct"/>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metodę MEA.</w:t>
            </w:r>
          </w:p>
        </w:tc>
        <w:tc>
          <w:tcPr>
            <w:tcW w:w="926" w:type="pct"/>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13.4</w:t>
            </w:r>
          </w:p>
        </w:tc>
        <w:tc>
          <w:tcPr>
            <w:tcW w:w="1772" w:type="pct"/>
            <w:tcBorders>
              <w:top w:val="nil"/>
              <w:left w:val="nil"/>
              <w:bottom w:val="single" w:sz="8"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Przełącznice optyczne</w:t>
            </w:r>
          </w:p>
        </w:tc>
        <w:tc>
          <w:tcPr>
            <w:tcW w:w="819" w:type="pct"/>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tcBorders>
              <w:top w:val="single" w:sz="8"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13.5</w:t>
            </w:r>
          </w:p>
        </w:tc>
        <w:tc>
          <w:tcPr>
            <w:tcW w:w="1772" w:type="pct"/>
            <w:tcBorders>
              <w:top w:val="nil"/>
              <w:left w:val="nil"/>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Radiolinie</w:t>
            </w:r>
          </w:p>
        </w:tc>
        <w:tc>
          <w:tcPr>
            <w:tcW w:w="819" w:type="pct"/>
            <w:tcBorders>
              <w:top w:val="nil"/>
              <w:left w:val="nil"/>
              <w:bottom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koszt historyczny</w:t>
            </w:r>
          </w:p>
        </w:tc>
        <w:tc>
          <w:tcPr>
            <w:tcW w:w="1090" w:type="pct"/>
            <w:tcBorders>
              <w:top w:val="nil"/>
              <w:left w:val="nil"/>
              <w:bottom w:val="single" w:sz="4" w:space="0" w:color="auto"/>
              <w:right w:val="single" w:sz="8" w:space="0" w:color="auto"/>
            </w:tcBorders>
            <w:vAlign w:val="center"/>
          </w:tcPr>
          <w:p w:rsidR="009D26E7" w:rsidRPr="00183706" w:rsidRDefault="009D26E7" w:rsidP="00EB6C89">
            <w:pPr>
              <w:spacing w:before="120" w:line="240" w:lineRule="auto"/>
              <w:jc w:val="left"/>
              <w:rPr>
                <w:b/>
                <w:bCs/>
                <w:sz w:val="16"/>
                <w:szCs w:val="16"/>
                <w:lang w:val="pl-PL"/>
              </w:rPr>
            </w:pPr>
          </w:p>
        </w:tc>
        <w:tc>
          <w:tcPr>
            <w:tcW w:w="926"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jc w:val="left"/>
              <w:rPr>
                <w:b/>
                <w:bCs/>
                <w:sz w:val="16"/>
                <w:szCs w:val="16"/>
                <w:lang w:val="pl-PL"/>
              </w:rPr>
            </w:pPr>
          </w:p>
        </w:tc>
      </w:tr>
      <w:tr w:rsidR="009D26E7" w:rsidRPr="00183706" w:rsidTr="00073C78">
        <w:trPr>
          <w:trHeight w:val="330"/>
        </w:trPr>
        <w:tc>
          <w:tcPr>
            <w:tcW w:w="393" w:type="pct"/>
            <w:tcBorders>
              <w:top w:val="nil"/>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14</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Systemy Transmisyjne</w:t>
            </w:r>
          </w:p>
        </w:tc>
        <w:tc>
          <w:tcPr>
            <w:tcW w:w="926" w:type="pct"/>
            <w:tcBorders>
              <w:top w:val="single" w:sz="8" w:space="0" w:color="auto"/>
              <w:left w:val="nil"/>
              <w:bottom w:val="single" w:sz="4" w:space="0" w:color="auto"/>
              <w:right w:val="single" w:sz="8" w:space="0" w:color="000000"/>
            </w:tcBorders>
            <w:vAlign w:val="center"/>
          </w:tcPr>
          <w:p w:rsidR="009D26E7" w:rsidRPr="00183706" w:rsidRDefault="009D26E7" w:rsidP="00EB6C89">
            <w:pPr>
              <w:spacing w:before="120" w:line="240" w:lineRule="auto"/>
              <w:rPr>
                <w:b/>
                <w:bCs/>
                <w:sz w:val="16"/>
                <w:szCs w:val="16"/>
                <w:lang w:val="pl-PL"/>
              </w:rPr>
            </w:pPr>
          </w:p>
        </w:tc>
      </w:tr>
      <w:tr w:rsidR="009D26E7" w:rsidRPr="005E2C8D" w:rsidTr="00073C78">
        <w:trPr>
          <w:trHeight w:val="525"/>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14.1</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HDSL</w:t>
            </w:r>
          </w:p>
        </w:tc>
        <w:tc>
          <w:tcPr>
            <w:tcW w:w="819"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MEA</w:t>
            </w:r>
          </w:p>
        </w:tc>
        <w:tc>
          <w:tcPr>
            <w:tcW w:w="1090"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metodę MEA.</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rsidTr="00073C78">
        <w:trPr>
          <w:trHeight w:val="285"/>
        </w:trPr>
        <w:tc>
          <w:tcPr>
            <w:tcW w:w="393" w:type="pct"/>
            <w:tcBorders>
              <w:top w:val="single" w:sz="4" w:space="0" w:color="auto"/>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14.2</w:t>
            </w:r>
          </w:p>
        </w:tc>
        <w:tc>
          <w:tcPr>
            <w:tcW w:w="1772"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Modemy optyczne</w:t>
            </w:r>
          </w:p>
        </w:tc>
        <w:tc>
          <w:tcPr>
            <w:tcW w:w="819" w:type="pct"/>
            <w:tcBorders>
              <w:top w:val="single" w:sz="4" w:space="0" w:color="auto"/>
              <w:left w:val="nil"/>
              <w:bottom w:val="single" w:sz="8" w:space="0" w:color="000000"/>
              <w:right w:val="nil"/>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 xml:space="preserve">wycena bezpośrednia </w:t>
            </w:r>
          </w:p>
        </w:tc>
        <w:tc>
          <w:tcPr>
            <w:tcW w:w="1090" w:type="pct"/>
            <w:tcBorders>
              <w:top w:val="single" w:sz="4"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tcBorders>
              <w:top w:val="single" w:sz="4"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lastRenderedPageBreak/>
              <w:t>14.3</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SDH - warstwa PDH</w:t>
            </w:r>
          </w:p>
        </w:tc>
        <w:tc>
          <w:tcPr>
            <w:tcW w:w="819" w:type="pct"/>
            <w:tcBorders>
              <w:top w:val="single" w:sz="8" w:space="0" w:color="auto"/>
              <w:left w:val="nil"/>
              <w:bottom w:val="single" w:sz="4" w:space="0" w:color="auto"/>
              <w:right w:val="nil"/>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MEA</w:t>
            </w:r>
          </w:p>
        </w:tc>
        <w:tc>
          <w:tcPr>
            <w:tcW w:w="1090" w:type="pct"/>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metodę MEA.</w:t>
            </w:r>
          </w:p>
        </w:tc>
        <w:tc>
          <w:tcPr>
            <w:tcW w:w="926" w:type="pct"/>
            <w:tcBorders>
              <w:top w:val="single" w:sz="8"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482F9D" w:rsidRPr="005E2C8D">
        <w:trPr>
          <w:trHeight w:val="434"/>
        </w:trPr>
        <w:tc>
          <w:tcPr>
            <w:tcW w:w="393" w:type="pct"/>
            <w:tcBorders>
              <w:top w:val="nil"/>
              <w:left w:val="single" w:sz="4" w:space="0" w:color="auto"/>
              <w:bottom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14.4</w:t>
            </w:r>
          </w:p>
        </w:tc>
        <w:tc>
          <w:tcPr>
            <w:tcW w:w="1772" w:type="pct"/>
            <w:tcBorders>
              <w:top w:val="nil"/>
              <w:left w:val="nil"/>
              <w:bottom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Urządzenia SDH - warstwa lokalna</w:t>
            </w:r>
          </w:p>
        </w:tc>
        <w:tc>
          <w:tcPr>
            <w:tcW w:w="819" w:type="pct"/>
            <w:vMerge w:val="restart"/>
            <w:tcBorders>
              <w:top w:val="single" w:sz="4" w:space="0" w:color="auto"/>
              <w:left w:val="single" w:sz="4" w:space="0" w:color="auto"/>
              <w:right w:val="nil"/>
            </w:tcBorders>
            <w:vAlign w:val="center"/>
          </w:tcPr>
          <w:p w:rsidR="00482F9D" w:rsidRPr="00183706" w:rsidRDefault="00482F9D"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right w:val="single" w:sz="8" w:space="0" w:color="auto"/>
            </w:tcBorders>
            <w:vAlign w:val="center"/>
          </w:tcPr>
          <w:p w:rsidR="00482F9D" w:rsidRPr="00183706" w:rsidRDefault="00482F9D"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8" w:space="0" w:color="auto"/>
              <w:right w:val="single" w:sz="4" w:space="0" w:color="auto"/>
            </w:tcBorders>
            <w:vAlign w:val="center"/>
          </w:tcPr>
          <w:p w:rsidR="00482F9D" w:rsidRPr="00183706" w:rsidRDefault="00482F9D" w:rsidP="00EB6C89">
            <w:pPr>
              <w:spacing w:before="120" w:line="240" w:lineRule="auto"/>
              <w:jc w:val="left"/>
              <w:rPr>
                <w:sz w:val="16"/>
                <w:szCs w:val="16"/>
                <w:lang w:val="pl-PL"/>
              </w:rPr>
            </w:pPr>
          </w:p>
        </w:tc>
      </w:tr>
      <w:tr w:rsidR="00482F9D" w:rsidRPr="00183706">
        <w:trPr>
          <w:trHeight w:val="359"/>
        </w:trPr>
        <w:tc>
          <w:tcPr>
            <w:tcW w:w="393" w:type="pct"/>
            <w:tcBorders>
              <w:top w:val="nil"/>
              <w:left w:val="single" w:sz="4" w:space="0" w:color="auto"/>
              <w:bottom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14.5</w:t>
            </w:r>
          </w:p>
        </w:tc>
        <w:tc>
          <w:tcPr>
            <w:tcW w:w="1772" w:type="pct"/>
            <w:tcBorders>
              <w:top w:val="nil"/>
              <w:left w:val="nil"/>
              <w:bottom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Urządzenia SDH - warstwa regionalna</w:t>
            </w:r>
          </w:p>
        </w:tc>
        <w:tc>
          <w:tcPr>
            <w:tcW w:w="819" w:type="pct"/>
            <w:vMerge/>
            <w:tcBorders>
              <w:left w:val="single" w:sz="4" w:space="0" w:color="auto"/>
              <w:right w:val="nil"/>
            </w:tcBorders>
            <w:vAlign w:val="center"/>
          </w:tcPr>
          <w:p w:rsidR="00482F9D" w:rsidRPr="00183706" w:rsidRDefault="00482F9D"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p>
        </w:tc>
        <w:tc>
          <w:tcPr>
            <w:tcW w:w="926" w:type="pct"/>
            <w:vMerge/>
            <w:tcBorders>
              <w:left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p>
        </w:tc>
      </w:tr>
      <w:tr w:rsidR="00482F9D" w:rsidRPr="00183706">
        <w:trPr>
          <w:trHeight w:val="328"/>
        </w:trPr>
        <w:tc>
          <w:tcPr>
            <w:tcW w:w="393" w:type="pct"/>
            <w:tcBorders>
              <w:top w:val="nil"/>
              <w:left w:val="single" w:sz="4" w:space="0" w:color="auto"/>
              <w:bottom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14.6</w:t>
            </w:r>
          </w:p>
        </w:tc>
        <w:tc>
          <w:tcPr>
            <w:tcW w:w="1772" w:type="pct"/>
            <w:tcBorders>
              <w:top w:val="nil"/>
              <w:left w:val="nil"/>
              <w:bottom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Urządzenia SDH - warstwa tranzytowa</w:t>
            </w:r>
          </w:p>
        </w:tc>
        <w:tc>
          <w:tcPr>
            <w:tcW w:w="819" w:type="pct"/>
            <w:vMerge/>
            <w:tcBorders>
              <w:left w:val="single" w:sz="4" w:space="0" w:color="auto"/>
              <w:right w:val="nil"/>
            </w:tcBorders>
            <w:vAlign w:val="center"/>
          </w:tcPr>
          <w:p w:rsidR="00482F9D" w:rsidRPr="00183706" w:rsidRDefault="00482F9D"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p>
        </w:tc>
        <w:tc>
          <w:tcPr>
            <w:tcW w:w="926" w:type="pct"/>
            <w:vMerge/>
            <w:tcBorders>
              <w:left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p>
        </w:tc>
      </w:tr>
      <w:tr w:rsidR="00482F9D" w:rsidRPr="00183706">
        <w:trPr>
          <w:trHeight w:val="338"/>
        </w:trPr>
        <w:tc>
          <w:tcPr>
            <w:tcW w:w="393" w:type="pct"/>
            <w:tcBorders>
              <w:top w:val="nil"/>
              <w:left w:val="single" w:sz="4" w:space="0" w:color="auto"/>
              <w:bottom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14.7</w:t>
            </w:r>
          </w:p>
        </w:tc>
        <w:tc>
          <w:tcPr>
            <w:tcW w:w="1772" w:type="pct"/>
            <w:tcBorders>
              <w:top w:val="nil"/>
              <w:left w:val="nil"/>
              <w:bottom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Urządzenia DWDM – warstwa lokalna</w:t>
            </w:r>
          </w:p>
        </w:tc>
        <w:tc>
          <w:tcPr>
            <w:tcW w:w="819" w:type="pct"/>
            <w:vMerge/>
            <w:tcBorders>
              <w:left w:val="single" w:sz="4" w:space="0" w:color="auto"/>
              <w:right w:val="nil"/>
            </w:tcBorders>
            <w:vAlign w:val="center"/>
          </w:tcPr>
          <w:p w:rsidR="00482F9D" w:rsidRPr="00183706" w:rsidRDefault="00482F9D"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p>
        </w:tc>
        <w:tc>
          <w:tcPr>
            <w:tcW w:w="926" w:type="pct"/>
            <w:vMerge/>
            <w:tcBorders>
              <w:left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p>
        </w:tc>
      </w:tr>
      <w:tr w:rsidR="00482F9D" w:rsidRPr="00183706">
        <w:trPr>
          <w:trHeight w:val="338"/>
        </w:trPr>
        <w:tc>
          <w:tcPr>
            <w:tcW w:w="393" w:type="pct"/>
            <w:tcBorders>
              <w:top w:val="nil"/>
              <w:left w:val="single" w:sz="4" w:space="0" w:color="auto"/>
              <w:bottom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14.8</w:t>
            </w:r>
          </w:p>
        </w:tc>
        <w:tc>
          <w:tcPr>
            <w:tcW w:w="1772" w:type="pct"/>
            <w:tcBorders>
              <w:top w:val="nil"/>
              <w:left w:val="nil"/>
              <w:bottom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Urządzenia DWDM – warstwa regionalna</w:t>
            </w:r>
          </w:p>
        </w:tc>
        <w:tc>
          <w:tcPr>
            <w:tcW w:w="819" w:type="pct"/>
            <w:vMerge/>
            <w:tcBorders>
              <w:left w:val="single" w:sz="4" w:space="0" w:color="auto"/>
              <w:right w:val="nil"/>
            </w:tcBorders>
            <w:vAlign w:val="center"/>
          </w:tcPr>
          <w:p w:rsidR="00482F9D" w:rsidRPr="00183706" w:rsidRDefault="00482F9D"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p>
        </w:tc>
        <w:tc>
          <w:tcPr>
            <w:tcW w:w="926" w:type="pct"/>
            <w:vMerge/>
            <w:tcBorders>
              <w:left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p>
        </w:tc>
      </w:tr>
      <w:tr w:rsidR="00482F9D" w:rsidRPr="00183706" w:rsidTr="00FE3E96">
        <w:trPr>
          <w:trHeight w:val="338"/>
        </w:trPr>
        <w:tc>
          <w:tcPr>
            <w:tcW w:w="393" w:type="pct"/>
            <w:tcBorders>
              <w:top w:val="nil"/>
              <w:left w:val="single" w:sz="4" w:space="0" w:color="auto"/>
              <w:bottom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14.9</w:t>
            </w:r>
          </w:p>
        </w:tc>
        <w:tc>
          <w:tcPr>
            <w:tcW w:w="1772" w:type="pct"/>
            <w:tcBorders>
              <w:top w:val="nil"/>
              <w:left w:val="nil"/>
              <w:bottom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Urządzenia DWDM – warstwa tranzytowa</w:t>
            </w:r>
          </w:p>
        </w:tc>
        <w:tc>
          <w:tcPr>
            <w:tcW w:w="819" w:type="pct"/>
            <w:vMerge/>
            <w:tcBorders>
              <w:left w:val="single" w:sz="4" w:space="0" w:color="auto"/>
              <w:right w:val="nil"/>
            </w:tcBorders>
            <w:vAlign w:val="center"/>
          </w:tcPr>
          <w:p w:rsidR="00482F9D" w:rsidRPr="00183706" w:rsidRDefault="00482F9D"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482F9D" w:rsidRPr="00183706" w:rsidRDefault="00482F9D" w:rsidP="00EB6C89">
            <w:pPr>
              <w:spacing w:before="120" w:line="240" w:lineRule="auto"/>
              <w:rPr>
                <w:sz w:val="16"/>
                <w:szCs w:val="16"/>
                <w:lang w:val="pl-PL"/>
              </w:rPr>
            </w:pPr>
          </w:p>
        </w:tc>
        <w:tc>
          <w:tcPr>
            <w:tcW w:w="926" w:type="pct"/>
            <w:vMerge/>
            <w:tcBorders>
              <w:left w:val="single" w:sz="8" w:space="0" w:color="auto"/>
              <w:right w:val="single" w:sz="4" w:space="0" w:color="auto"/>
            </w:tcBorders>
            <w:vAlign w:val="center"/>
          </w:tcPr>
          <w:p w:rsidR="00482F9D" w:rsidRPr="00183706" w:rsidRDefault="00482F9D" w:rsidP="00EB6C89">
            <w:pPr>
              <w:spacing w:before="120" w:line="240" w:lineRule="auto"/>
              <w:rPr>
                <w:sz w:val="16"/>
                <w:szCs w:val="16"/>
                <w:lang w:val="pl-PL"/>
              </w:rPr>
            </w:pPr>
          </w:p>
        </w:tc>
      </w:tr>
      <w:tr w:rsidR="00482F9D" w:rsidRPr="00183706" w:rsidTr="00FE3E96">
        <w:trPr>
          <w:cantSplit/>
          <w:trHeight w:val="465"/>
        </w:trPr>
        <w:tc>
          <w:tcPr>
            <w:tcW w:w="393" w:type="pct"/>
            <w:tcBorders>
              <w:top w:val="single" w:sz="4" w:space="0" w:color="auto"/>
              <w:left w:val="single" w:sz="4" w:space="0" w:color="auto"/>
              <w:bottom w:val="single" w:sz="4" w:space="0" w:color="auto"/>
              <w:right w:val="single" w:sz="8"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14.10</w:t>
            </w:r>
          </w:p>
        </w:tc>
        <w:tc>
          <w:tcPr>
            <w:tcW w:w="1772" w:type="pct"/>
            <w:tcBorders>
              <w:top w:val="single" w:sz="4" w:space="0" w:color="auto"/>
              <w:left w:val="nil"/>
              <w:bottom w:val="single" w:sz="4" w:space="0" w:color="auto"/>
              <w:right w:val="single" w:sz="4" w:space="0" w:color="auto"/>
            </w:tcBorders>
            <w:vAlign w:val="center"/>
          </w:tcPr>
          <w:p w:rsidR="00482F9D" w:rsidRPr="00183706" w:rsidRDefault="00482F9D" w:rsidP="00EB6C89">
            <w:pPr>
              <w:spacing w:before="120" w:line="240" w:lineRule="auto"/>
              <w:rPr>
                <w:sz w:val="16"/>
                <w:szCs w:val="16"/>
                <w:lang w:val="pl-PL"/>
              </w:rPr>
            </w:pPr>
            <w:r w:rsidRPr="00183706">
              <w:rPr>
                <w:sz w:val="16"/>
                <w:szCs w:val="16"/>
                <w:lang w:val="pl-PL"/>
              </w:rPr>
              <w:t>Urządzenia ROADM - Warstwa tranzytowa</w:t>
            </w:r>
          </w:p>
        </w:tc>
        <w:tc>
          <w:tcPr>
            <w:tcW w:w="819" w:type="pct"/>
            <w:vMerge/>
            <w:tcBorders>
              <w:left w:val="single" w:sz="4" w:space="0" w:color="auto"/>
              <w:bottom w:val="single" w:sz="4" w:space="0" w:color="auto"/>
              <w:right w:val="single" w:sz="8" w:space="0" w:color="auto"/>
            </w:tcBorders>
            <w:vAlign w:val="center"/>
          </w:tcPr>
          <w:p w:rsidR="00482F9D" w:rsidRPr="00183706" w:rsidRDefault="00482F9D" w:rsidP="00EB6C89">
            <w:pPr>
              <w:spacing w:before="120" w:line="240" w:lineRule="auto"/>
              <w:rPr>
                <w:sz w:val="16"/>
                <w:szCs w:val="16"/>
                <w:lang w:val="pl-PL"/>
              </w:rPr>
            </w:pPr>
          </w:p>
        </w:tc>
        <w:tc>
          <w:tcPr>
            <w:tcW w:w="1090" w:type="pct"/>
            <w:vMerge/>
            <w:tcBorders>
              <w:left w:val="single" w:sz="8" w:space="0" w:color="auto"/>
              <w:bottom w:val="single" w:sz="4" w:space="0" w:color="auto"/>
              <w:right w:val="single" w:sz="8" w:space="0" w:color="auto"/>
            </w:tcBorders>
            <w:vAlign w:val="center"/>
          </w:tcPr>
          <w:p w:rsidR="00482F9D" w:rsidRPr="00183706" w:rsidRDefault="00482F9D" w:rsidP="00EB6C89">
            <w:pPr>
              <w:spacing w:before="120" w:line="240" w:lineRule="auto"/>
              <w:rPr>
                <w:sz w:val="16"/>
                <w:szCs w:val="16"/>
                <w:lang w:val="pl-PL"/>
              </w:rPr>
            </w:pPr>
          </w:p>
        </w:tc>
        <w:tc>
          <w:tcPr>
            <w:tcW w:w="926" w:type="pct"/>
            <w:vMerge/>
            <w:tcBorders>
              <w:left w:val="single" w:sz="8" w:space="0" w:color="auto"/>
              <w:bottom w:val="single" w:sz="4" w:space="0" w:color="auto"/>
              <w:right w:val="single" w:sz="4" w:space="0" w:color="auto"/>
            </w:tcBorders>
            <w:vAlign w:val="center"/>
          </w:tcPr>
          <w:p w:rsidR="00482F9D" w:rsidRPr="00183706" w:rsidRDefault="00482F9D" w:rsidP="00EB6C89">
            <w:pPr>
              <w:spacing w:before="120" w:line="240" w:lineRule="auto"/>
              <w:rPr>
                <w:sz w:val="16"/>
                <w:szCs w:val="16"/>
                <w:lang w:val="pl-PL"/>
              </w:rPr>
            </w:pPr>
          </w:p>
        </w:tc>
      </w:tr>
      <w:tr w:rsidR="009D26E7" w:rsidRPr="005E2C8D">
        <w:trPr>
          <w:cantSplit/>
          <w:trHeight w:val="465"/>
        </w:trPr>
        <w:tc>
          <w:tcPr>
            <w:tcW w:w="393" w:type="pct"/>
            <w:tcBorders>
              <w:top w:val="single" w:sz="4" w:space="0" w:color="auto"/>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14.11</w:t>
            </w:r>
          </w:p>
        </w:tc>
        <w:tc>
          <w:tcPr>
            <w:tcW w:w="1772" w:type="pct"/>
            <w:tcBorders>
              <w:top w:val="single" w:sz="4" w:space="0" w:color="auto"/>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 xml:space="preserve">Urządzenia Cross </w:t>
            </w:r>
            <w:proofErr w:type="spellStart"/>
            <w:r w:rsidRPr="00183706">
              <w:rPr>
                <w:sz w:val="16"/>
                <w:szCs w:val="16"/>
                <w:lang w:val="pl-PL"/>
              </w:rPr>
              <w:t>Connect</w:t>
            </w:r>
            <w:proofErr w:type="spellEnd"/>
          </w:p>
        </w:tc>
        <w:tc>
          <w:tcPr>
            <w:tcW w:w="819" w:type="pct"/>
            <w:tcBorders>
              <w:top w:val="single" w:sz="4"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indeksacja</w:t>
            </w:r>
          </w:p>
        </w:tc>
        <w:tc>
          <w:tcPr>
            <w:tcW w:w="1090" w:type="pct"/>
            <w:tcBorders>
              <w:top w:val="single" w:sz="4"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metodę indeksacji.</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 xml:space="preserve">Dla metody indeksacji – indeksy GUS lub wskaźniki zmian kursów walut NBP </w:t>
            </w:r>
          </w:p>
        </w:tc>
      </w:tr>
      <w:tr w:rsidR="009D26E7" w:rsidRPr="005E2C8D">
        <w:trPr>
          <w:trHeight w:val="465"/>
        </w:trPr>
        <w:tc>
          <w:tcPr>
            <w:tcW w:w="393" w:type="pct"/>
            <w:tcBorders>
              <w:top w:val="single" w:sz="4" w:space="0" w:color="auto"/>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14.12</w:t>
            </w:r>
          </w:p>
        </w:tc>
        <w:tc>
          <w:tcPr>
            <w:tcW w:w="1772" w:type="pct"/>
            <w:tcBorders>
              <w:top w:val="single" w:sz="4" w:space="0" w:color="auto"/>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nx64 - warstwa szkieletowa</w:t>
            </w:r>
          </w:p>
        </w:tc>
        <w:tc>
          <w:tcPr>
            <w:tcW w:w="819" w:type="pct"/>
            <w:tcBorders>
              <w:top w:val="single" w:sz="4"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tcBorders>
              <w:top w:val="single" w:sz="4"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rPr>
          <w:trHeight w:val="465"/>
        </w:trPr>
        <w:tc>
          <w:tcPr>
            <w:tcW w:w="393" w:type="pct"/>
            <w:tcBorders>
              <w:top w:val="single" w:sz="4" w:space="0" w:color="auto"/>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14.13</w:t>
            </w:r>
          </w:p>
        </w:tc>
        <w:tc>
          <w:tcPr>
            <w:tcW w:w="1772" w:type="pct"/>
            <w:tcBorders>
              <w:top w:val="single" w:sz="4" w:space="0" w:color="auto"/>
              <w:left w:val="nil"/>
              <w:bottom w:val="single" w:sz="4" w:space="0" w:color="auto"/>
              <w:right w:val="nil"/>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ASON</w:t>
            </w:r>
          </w:p>
        </w:tc>
        <w:tc>
          <w:tcPr>
            <w:tcW w:w="819" w:type="pct"/>
            <w:tcBorders>
              <w:top w:val="single" w:sz="4" w:space="0" w:color="auto"/>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tcBorders>
              <w:top w:val="single" w:sz="4" w:space="0" w:color="auto"/>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15</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Systemy nadzoru – transmisja</w:t>
            </w:r>
          </w:p>
        </w:tc>
        <w:tc>
          <w:tcPr>
            <w:tcW w:w="926" w:type="pct"/>
            <w:tcBorders>
              <w:top w:val="single" w:sz="4" w:space="0" w:color="auto"/>
              <w:left w:val="nil"/>
              <w:bottom w:val="single" w:sz="4" w:space="0" w:color="auto"/>
              <w:right w:val="single" w:sz="8" w:space="0" w:color="000000"/>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52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15.1</w:t>
            </w:r>
          </w:p>
        </w:tc>
        <w:tc>
          <w:tcPr>
            <w:tcW w:w="1772"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 xml:space="preserve">Urządzenia nadzoru - transmisja </w:t>
            </w:r>
          </w:p>
        </w:tc>
        <w:tc>
          <w:tcPr>
            <w:tcW w:w="819" w:type="pct"/>
            <w:tcBorders>
              <w:top w:val="single" w:sz="4" w:space="0" w:color="auto"/>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tcBorders>
              <w:top w:val="single" w:sz="4" w:space="0" w:color="auto"/>
              <w:left w:val="single" w:sz="8" w:space="0" w:color="auto"/>
              <w:bottom w:val="single" w:sz="8" w:space="0" w:color="000000"/>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16</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Urządzenia Sieci Pakietowej</w:t>
            </w:r>
          </w:p>
        </w:tc>
        <w:tc>
          <w:tcPr>
            <w:tcW w:w="926" w:type="pct"/>
            <w:tcBorders>
              <w:top w:val="single" w:sz="4" w:space="0" w:color="auto"/>
              <w:left w:val="nil"/>
              <w:bottom w:val="nil"/>
              <w:right w:val="single" w:sz="8" w:space="0" w:color="000000"/>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78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w:t>
            </w:r>
          </w:p>
        </w:tc>
        <w:tc>
          <w:tcPr>
            <w:tcW w:w="1772"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roofErr w:type="spellStart"/>
            <w:r w:rsidRPr="00183706">
              <w:rPr>
                <w:sz w:val="16"/>
                <w:szCs w:val="16"/>
                <w:lang w:val="pl-PL"/>
              </w:rPr>
              <w:t>Gateway</w:t>
            </w:r>
            <w:proofErr w:type="spellEnd"/>
            <w:r w:rsidRPr="00183706">
              <w:rPr>
                <w:sz w:val="16"/>
                <w:szCs w:val="16"/>
                <w:lang w:val="pl-PL"/>
              </w:rPr>
              <w:t xml:space="preserve"> PSTN - IP</w:t>
            </w:r>
          </w:p>
        </w:tc>
        <w:tc>
          <w:tcPr>
            <w:tcW w:w="819"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indeksacja</w:t>
            </w:r>
          </w:p>
        </w:tc>
        <w:tc>
          <w:tcPr>
            <w:tcW w:w="1090"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metodę indeksacji.</w:t>
            </w:r>
          </w:p>
        </w:tc>
        <w:tc>
          <w:tcPr>
            <w:tcW w:w="926" w:type="pct"/>
            <w:tcBorders>
              <w:top w:val="single" w:sz="8" w:space="0" w:color="auto"/>
              <w:left w:val="nil"/>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 xml:space="preserve">Dla metody indeksacji – indeksy GUS lub wskaźniki zmian kursów walut NBP </w:t>
            </w: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DSLAM – ADSL</w:t>
            </w:r>
          </w:p>
        </w:tc>
        <w:tc>
          <w:tcPr>
            <w:tcW w:w="819" w:type="pct"/>
            <w:vMerge w:val="restart"/>
            <w:tcBorders>
              <w:top w:val="nil"/>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nil"/>
              <w:left w:val="single" w:sz="8"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16.3</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DSLAM – VDSL</w:t>
            </w:r>
          </w:p>
        </w:tc>
        <w:tc>
          <w:tcPr>
            <w:tcW w:w="819" w:type="pct"/>
            <w:vMerge/>
            <w:tcBorders>
              <w:left w:val="single" w:sz="8" w:space="0" w:color="auto"/>
              <w:right w:val="single" w:sz="8"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16.4</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DSLAM – OPT</w:t>
            </w:r>
          </w:p>
        </w:tc>
        <w:tc>
          <w:tcPr>
            <w:tcW w:w="819" w:type="pct"/>
            <w:vMerge/>
            <w:tcBorders>
              <w:left w:val="single" w:sz="8" w:space="0" w:color="auto"/>
              <w:right w:val="single" w:sz="8"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16.5</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DSLAM – GPON</w:t>
            </w:r>
          </w:p>
        </w:tc>
        <w:tc>
          <w:tcPr>
            <w:tcW w:w="819" w:type="pct"/>
            <w:vMerge/>
            <w:tcBorders>
              <w:left w:val="single" w:sz="8" w:space="0" w:color="auto"/>
              <w:right w:val="single" w:sz="8"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16.6</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DSLAM – SHDSL</w:t>
            </w:r>
          </w:p>
        </w:tc>
        <w:tc>
          <w:tcPr>
            <w:tcW w:w="819" w:type="pct"/>
            <w:vMerge/>
            <w:tcBorders>
              <w:left w:val="single" w:sz="8" w:space="0" w:color="auto"/>
              <w:right w:val="single" w:sz="8"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16.7</w:t>
            </w:r>
          </w:p>
        </w:tc>
        <w:tc>
          <w:tcPr>
            <w:tcW w:w="1772" w:type="pct"/>
            <w:tcBorders>
              <w:top w:val="nil"/>
              <w:left w:val="nil"/>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DSLAM – POTS</w:t>
            </w:r>
          </w:p>
        </w:tc>
        <w:tc>
          <w:tcPr>
            <w:tcW w:w="819" w:type="pct"/>
            <w:vMerge/>
            <w:tcBorders>
              <w:left w:val="single" w:sz="8" w:space="0" w:color="auto"/>
              <w:bottom w:val="single" w:sz="4" w:space="0" w:color="auto"/>
              <w:right w:val="single" w:sz="8"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16.8</w:t>
            </w:r>
          </w:p>
        </w:tc>
        <w:tc>
          <w:tcPr>
            <w:tcW w:w="1772" w:type="pct"/>
            <w:tcBorders>
              <w:top w:val="nil"/>
              <w:left w:val="nil"/>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DSLAM – Transmisja</w:t>
            </w:r>
          </w:p>
        </w:tc>
        <w:tc>
          <w:tcPr>
            <w:tcW w:w="819" w:type="pct"/>
            <w:vMerge/>
            <w:tcBorders>
              <w:left w:val="single" w:sz="8" w:space="0" w:color="auto"/>
              <w:bottom w:val="single" w:sz="4" w:space="0" w:color="auto"/>
              <w:right w:val="single" w:sz="8"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blPrEx>
          <w:tblCellMar>
            <w:left w:w="108" w:type="dxa"/>
            <w:right w:w="108" w:type="dxa"/>
          </w:tblCellMar>
        </w:tblPrEx>
        <w:trPr>
          <w:trHeight w:val="479"/>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16.9</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GPON - Dostęp</w:t>
            </w:r>
          </w:p>
        </w:tc>
        <w:tc>
          <w:tcPr>
            <w:tcW w:w="819"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4" w:space="0" w:color="auto"/>
              <w:right w:val="single" w:sz="4" w:space="0" w:color="auto"/>
            </w:tcBorders>
            <w:vAlign w:val="center"/>
          </w:tcPr>
          <w:p w:rsidR="009D26E7" w:rsidRPr="00183706" w:rsidRDefault="00CE033A"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rsidTr="00073C78">
        <w:tblPrEx>
          <w:tblCellMar>
            <w:left w:w="108" w:type="dxa"/>
            <w:right w:w="108" w:type="dxa"/>
          </w:tblCellMar>
        </w:tblPrEx>
        <w:trPr>
          <w:trHeight w:val="479"/>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16.10</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GPON - Transmisja</w:t>
            </w:r>
          </w:p>
        </w:tc>
        <w:tc>
          <w:tcPr>
            <w:tcW w:w="819"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5E2C8D" w:rsidTr="00073C78">
        <w:tblPrEx>
          <w:tblCellMar>
            <w:left w:w="108" w:type="dxa"/>
            <w:right w:w="108" w:type="dxa"/>
          </w:tblCellMar>
        </w:tblPrEx>
        <w:trPr>
          <w:trHeight w:val="479"/>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16.11</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nadzoru – DSLAM</w:t>
            </w:r>
          </w:p>
        </w:tc>
        <w:tc>
          <w:tcPr>
            <w:tcW w:w="819"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183706" w:rsidTr="00A37BE6">
        <w:tblPrEx>
          <w:tblCellMar>
            <w:left w:w="108" w:type="dxa"/>
            <w:right w:w="108" w:type="dxa"/>
          </w:tblCellMar>
        </w:tblPrEx>
        <w:trPr>
          <w:trHeight w:val="376"/>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16.12</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WIMAX</w:t>
            </w:r>
          </w:p>
        </w:tc>
        <w:tc>
          <w:tcPr>
            <w:tcW w:w="819"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rsidTr="00A37BE6">
        <w:tblPrEx>
          <w:tblCellMar>
            <w:left w:w="108" w:type="dxa"/>
            <w:right w:w="108" w:type="dxa"/>
          </w:tblCellMar>
        </w:tblPrEx>
        <w:trPr>
          <w:trHeight w:val="356"/>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16.13</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ATM Koncentratory szerokopasmowe</w:t>
            </w:r>
          </w:p>
        </w:tc>
        <w:tc>
          <w:tcPr>
            <w:tcW w:w="81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 xml:space="preserve">wycena bezpośrednia </w:t>
            </w:r>
            <w:r w:rsidRPr="00183706">
              <w:rPr>
                <w:sz w:val="16"/>
                <w:szCs w:val="16"/>
                <w:lang w:val="pl-PL"/>
              </w:rPr>
              <w:lastRenderedPageBreak/>
              <w:t>i/lub MEA</w:t>
            </w:r>
          </w:p>
        </w:tc>
        <w:tc>
          <w:tcPr>
            <w:tcW w:w="1090"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lastRenderedPageBreak/>
              <w:t xml:space="preserve">Dla całej grupy stosujemy bezpośrednią </w:t>
            </w:r>
            <w:r w:rsidRPr="00183706">
              <w:rPr>
                <w:sz w:val="16"/>
                <w:szCs w:val="16"/>
                <w:lang w:val="pl-PL"/>
              </w:rPr>
              <w:lastRenderedPageBreak/>
              <w:t>metodę wyceny i/lub metodę MEA.</w:t>
            </w:r>
          </w:p>
        </w:tc>
        <w:tc>
          <w:tcPr>
            <w:tcW w:w="926"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p w:rsidR="009D26E7" w:rsidRPr="00183706" w:rsidRDefault="009D26E7" w:rsidP="00EB6C89">
            <w:pPr>
              <w:spacing w:before="120" w:line="240" w:lineRule="auto"/>
              <w:jc w:val="left"/>
              <w:rPr>
                <w:sz w:val="16"/>
                <w:szCs w:val="16"/>
                <w:lang w:val="pl-PL"/>
              </w:rPr>
            </w:pPr>
          </w:p>
          <w:p w:rsidR="009D26E7" w:rsidRPr="00183706" w:rsidRDefault="009D26E7" w:rsidP="00EB6C89">
            <w:pPr>
              <w:spacing w:before="120" w:line="240" w:lineRule="auto"/>
              <w:jc w:val="left"/>
              <w:rPr>
                <w:sz w:val="16"/>
                <w:szCs w:val="16"/>
                <w:lang w:val="pl-PL"/>
              </w:rPr>
            </w:pPr>
          </w:p>
          <w:p w:rsidR="009D26E7" w:rsidRPr="00183706" w:rsidRDefault="009D26E7" w:rsidP="00EB6C89">
            <w:pPr>
              <w:spacing w:before="120" w:line="240" w:lineRule="auto"/>
              <w:jc w:val="left"/>
              <w:rPr>
                <w:sz w:val="16"/>
                <w:szCs w:val="16"/>
                <w:lang w:val="pl-PL"/>
              </w:rPr>
            </w:pPr>
          </w:p>
        </w:tc>
      </w:tr>
      <w:tr w:rsidR="009D26E7" w:rsidRPr="00183706" w:rsidTr="00A37BE6">
        <w:trPr>
          <w:trHeight w:val="270"/>
        </w:trPr>
        <w:tc>
          <w:tcPr>
            <w:tcW w:w="393" w:type="pct"/>
            <w:tcBorders>
              <w:top w:val="single" w:sz="4" w:space="0" w:color="auto"/>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16.14</w:t>
            </w:r>
          </w:p>
        </w:tc>
        <w:tc>
          <w:tcPr>
            <w:tcW w:w="1772" w:type="pct"/>
            <w:tcBorders>
              <w:top w:val="single" w:sz="4" w:space="0" w:color="auto"/>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ATM/FR Brzeg – Dostęp</w:t>
            </w:r>
          </w:p>
        </w:tc>
        <w:tc>
          <w:tcPr>
            <w:tcW w:w="819" w:type="pct"/>
            <w:vMerge/>
            <w:tcBorders>
              <w:top w:val="single" w:sz="4" w:space="0" w:color="auto"/>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single" w:sz="4" w:space="0" w:color="auto"/>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lastRenderedPageBreak/>
              <w:t>16.15</w:t>
            </w:r>
          </w:p>
        </w:tc>
        <w:tc>
          <w:tcPr>
            <w:tcW w:w="1772" w:type="pct"/>
            <w:tcBorders>
              <w:top w:val="single" w:sz="4" w:space="0" w:color="auto"/>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ATM/FR Brzeg – Ruch</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lastRenderedPageBreak/>
              <w:t>16.16</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ATM/FR Szkielet – Dostęp</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16.17</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ATM/FR Szkielet – Ruch</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16.18</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brzegowe – Dostęp GE</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16.19</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brzegowe – Dostęp 10GE</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16.20</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brzegowe – Ruch</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16.21</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usługowe</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16.22</w:t>
            </w:r>
          </w:p>
        </w:tc>
        <w:tc>
          <w:tcPr>
            <w:tcW w:w="1772" w:type="pct"/>
            <w:tcBorders>
              <w:top w:val="nil"/>
              <w:left w:val="nil"/>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szkieletowe</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16.23</w:t>
            </w:r>
          </w:p>
        </w:tc>
        <w:tc>
          <w:tcPr>
            <w:tcW w:w="1772" w:type="pct"/>
            <w:tcBorders>
              <w:top w:val="single" w:sz="8" w:space="0" w:color="auto"/>
              <w:left w:val="nil"/>
              <w:bottom w:val="nil"/>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IPVPN</w:t>
            </w:r>
          </w:p>
        </w:tc>
        <w:tc>
          <w:tcPr>
            <w:tcW w:w="819" w:type="pct"/>
            <w:vMerge/>
            <w:tcBorders>
              <w:left w:val="single" w:sz="4" w:space="0" w:color="auto"/>
              <w:right w:val="single" w:sz="4" w:space="0" w:color="auto"/>
            </w:tcBorders>
            <w:shd w:val="clear" w:color="auto" w:fill="auto"/>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16.24</w:t>
            </w:r>
          </w:p>
        </w:tc>
        <w:tc>
          <w:tcPr>
            <w:tcW w:w="1772" w:type="pct"/>
            <w:tcBorders>
              <w:top w:val="single" w:sz="8" w:space="0" w:color="auto"/>
              <w:left w:val="nil"/>
              <w:bottom w:val="nil"/>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 Multimedia – Szkielet</w:t>
            </w:r>
          </w:p>
        </w:tc>
        <w:tc>
          <w:tcPr>
            <w:tcW w:w="819"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16.25</w:t>
            </w:r>
          </w:p>
        </w:tc>
        <w:tc>
          <w:tcPr>
            <w:tcW w:w="1772" w:type="pct"/>
            <w:tcBorders>
              <w:top w:val="single" w:sz="8" w:space="0" w:color="auto"/>
              <w:left w:val="nil"/>
              <w:bottom w:val="nil"/>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 Multimedia – Brzeg – Dostęp GE</w:t>
            </w:r>
          </w:p>
        </w:tc>
        <w:tc>
          <w:tcPr>
            <w:tcW w:w="819"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16.26</w:t>
            </w:r>
          </w:p>
        </w:tc>
        <w:tc>
          <w:tcPr>
            <w:tcW w:w="1772" w:type="pct"/>
            <w:tcBorders>
              <w:top w:val="single" w:sz="8" w:space="0" w:color="auto"/>
              <w:left w:val="nil"/>
              <w:bottom w:val="nil"/>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Routery – Multimedia – Brzeg – Dostęp 10GE</w:t>
            </w:r>
          </w:p>
        </w:tc>
        <w:tc>
          <w:tcPr>
            <w:tcW w:w="819"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16.27</w:t>
            </w:r>
          </w:p>
        </w:tc>
        <w:tc>
          <w:tcPr>
            <w:tcW w:w="1772" w:type="pct"/>
            <w:tcBorders>
              <w:top w:val="single" w:sz="8" w:space="0" w:color="auto"/>
              <w:left w:val="nil"/>
              <w:bottom w:val="single" w:sz="4" w:space="0" w:color="auto"/>
              <w:right w:val="single" w:sz="4" w:space="0" w:color="auto"/>
            </w:tcBorders>
            <w:vAlign w:val="center"/>
          </w:tcPr>
          <w:p w:rsidR="009D26E7" w:rsidRPr="00183706" w:rsidRDefault="009D26E7" w:rsidP="00EB6C89">
            <w:pPr>
              <w:spacing w:before="120" w:line="240" w:lineRule="auto"/>
              <w:rPr>
                <w:sz w:val="16"/>
                <w:szCs w:val="16"/>
              </w:rPr>
            </w:pPr>
            <w:r w:rsidRPr="00183706">
              <w:rPr>
                <w:sz w:val="16"/>
                <w:szCs w:val="16"/>
              </w:rPr>
              <w:t xml:space="preserve">IP </w:t>
            </w:r>
            <w:proofErr w:type="spellStart"/>
            <w:r w:rsidRPr="00183706">
              <w:rPr>
                <w:sz w:val="16"/>
                <w:szCs w:val="16"/>
              </w:rPr>
              <w:t>Routery</w:t>
            </w:r>
            <w:proofErr w:type="spellEnd"/>
            <w:r w:rsidRPr="00183706">
              <w:rPr>
                <w:sz w:val="16"/>
                <w:szCs w:val="16"/>
              </w:rPr>
              <w:t xml:space="preserve"> – Multimedia – </w:t>
            </w:r>
            <w:proofErr w:type="spellStart"/>
            <w:r w:rsidRPr="00183706">
              <w:rPr>
                <w:sz w:val="16"/>
                <w:szCs w:val="16"/>
              </w:rPr>
              <w:t>Brzeg</w:t>
            </w:r>
            <w:proofErr w:type="spellEnd"/>
            <w:r w:rsidRPr="00183706">
              <w:rPr>
                <w:sz w:val="16"/>
                <w:szCs w:val="16"/>
              </w:rPr>
              <w:t xml:space="preserve"> – </w:t>
            </w:r>
            <w:proofErr w:type="spellStart"/>
            <w:r w:rsidRPr="00183706">
              <w:rPr>
                <w:sz w:val="16"/>
                <w:szCs w:val="16"/>
              </w:rPr>
              <w:t>Ruch</w:t>
            </w:r>
            <w:proofErr w:type="spellEnd"/>
          </w:p>
        </w:tc>
        <w:tc>
          <w:tcPr>
            <w:tcW w:w="819"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rPr>
            </w:pPr>
          </w:p>
        </w:tc>
        <w:tc>
          <w:tcPr>
            <w:tcW w:w="1090"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rPr>
            </w:pPr>
          </w:p>
        </w:tc>
      </w:tr>
      <w:tr w:rsidR="009D26E7" w:rsidRPr="005E2C8D">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16.28</w:t>
            </w:r>
          </w:p>
        </w:tc>
        <w:tc>
          <w:tcPr>
            <w:tcW w:w="1772" w:type="pct"/>
            <w:tcBorders>
              <w:top w:val="single" w:sz="4" w:space="0" w:color="auto"/>
              <w:left w:val="nil"/>
              <w:bottom w:val="nil"/>
              <w:right w:val="single" w:sz="8" w:space="0" w:color="000000"/>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 xml:space="preserve">IP Serwery – Platforma </w:t>
            </w:r>
            <w:proofErr w:type="spellStart"/>
            <w:r w:rsidRPr="00183706">
              <w:rPr>
                <w:sz w:val="16"/>
                <w:szCs w:val="16"/>
                <w:lang w:val="pl-PL"/>
              </w:rPr>
              <w:t>VoIP</w:t>
            </w:r>
            <w:proofErr w:type="spellEnd"/>
          </w:p>
        </w:tc>
        <w:tc>
          <w:tcPr>
            <w:tcW w:w="819" w:type="pct"/>
            <w:vMerge w:val="restart"/>
            <w:tcBorders>
              <w:top w:val="single" w:sz="4" w:space="0" w:color="auto"/>
              <w:left w:val="nil"/>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5E2C8D">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16.29</w:t>
            </w:r>
          </w:p>
        </w:tc>
        <w:tc>
          <w:tcPr>
            <w:tcW w:w="1772" w:type="pct"/>
            <w:tcBorders>
              <w:top w:val="single" w:sz="8" w:space="0" w:color="auto"/>
              <w:left w:val="nil"/>
              <w:bottom w:val="nil"/>
              <w:right w:val="single" w:sz="8" w:space="0" w:color="000000"/>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 xml:space="preserve">IP Serwery – Platforma </w:t>
            </w:r>
            <w:proofErr w:type="spellStart"/>
            <w:r w:rsidRPr="00183706">
              <w:rPr>
                <w:sz w:val="16"/>
                <w:szCs w:val="16"/>
                <w:lang w:val="pl-PL"/>
              </w:rPr>
              <w:t>BTV&amp;VoD</w:t>
            </w:r>
            <w:proofErr w:type="spellEnd"/>
          </w:p>
        </w:tc>
        <w:tc>
          <w:tcPr>
            <w:tcW w:w="819" w:type="pct"/>
            <w:vMerge/>
            <w:tcBorders>
              <w:left w:val="nil"/>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16.30</w:t>
            </w:r>
          </w:p>
        </w:tc>
        <w:tc>
          <w:tcPr>
            <w:tcW w:w="1772" w:type="pct"/>
            <w:tcBorders>
              <w:top w:val="single" w:sz="8" w:space="0" w:color="auto"/>
              <w:left w:val="nil"/>
              <w:bottom w:val="nil"/>
              <w:right w:val="single" w:sz="8" w:space="0" w:color="000000"/>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Serwery – Autentykacja</w:t>
            </w:r>
          </w:p>
        </w:tc>
        <w:tc>
          <w:tcPr>
            <w:tcW w:w="819" w:type="pct"/>
            <w:vMerge/>
            <w:tcBorders>
              <w:left w:val="nil"/>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16.31</w:t>
            </w:r>
          </w:p>
        </w:tc>
        <w:tc>
          <w:tcPr>
            <w:tcW w:w="1772" w:type="pct"/>
            <w:tcBorders>
              <w:top w:val="single" w:sz="8" w:space="0" w:color="auto"/>
              <w:left w:val="nil"/>
              <w:bottom w:val="single" w:sz="4" w:space="0" w:color="auto"/>
              <w:right w:val="single" w:sz="8" w:space="0" w:color="000000"/>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IP Serwery – Usługi dodane</w:t>
            </w:r>
          </w:p>
        </w:tc>
        <w:tc>
          <w:tcPr>
            <w:tcW w:w="819" w:type="pct"/>
            <w:vMerge/>
            <w:tcBorders>
              <w:left w:val="nil"/>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16.32</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 xml:space="preserve">IP </w:t>
            </w:r>
            <w:proofErr w:type="spellStart"/>
            <w:r w:rsidRPr="00183706">
              <w:rPr>
                <w:sz w:val="16"/>
                <w:szCs w:val="16"/>
                <w:lang w:val="pl-PL"/>
              </w:rPr>
              <w:t>MetroEthernet</w:t>
            </w:r>
            <w:proofErr w:type="spellEnd"/>
          </w:p>
        </w:tc>
        <w:tc>
          <w:tcPr>
            <w:tcW w:w="819" w:type="pct"/>
            <w:vMerge/>
            <w:tcBorders>
              <w:left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56"/>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16.33</w:t>
            </w:r>
          </w:p>
        </w:tc>
        <w:tc>
          <w:tcPr>
            <w:tcW w:w="1772" w:type="pct"/>
            <w:tcBorders>
              <w:top w:val="single" w:sz="4" w:space="0" w:color="auto"/>
              <w:left w:val="nil"/>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nadzoru Sieci Pakietowej</w:t>
            </w:r>
          </w:p>
        </w:tc>
        <w:tc>
          <w:tcPr>
            <w:tcW w:w="819" w:type="pct"/>
            <w:vMerge/>
            <w:tcBorders>
              <w:left w:val="nil"/>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17</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Sieciowe Urządzenia Wspomagające</w:t>
            </w:r>
          </w:p>
        </w:tc>
        <w:tc>
          <w:tcPr>
            <w:tcW w:w="926" w:type="pct"/>
            <w:tcBorders>
              <w:top w:val="single" w:sz="8" w:space="0" w:color="auto"/>
              <w:left w:val="nil"/>
              <w:bottom w:val="nil"/>
              <w:right w:val="single" w:sz="8" w:space="0" w:color="000000"/>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322"/>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17.1</w:t>
            </w:r>
          </w:p>
        </w:tc>
        <w:tc>
          <w:tcPr>
            <w:tcW w:w="1772" w:type="pct"/>
            <w:tcBorders>
              <w:top w:val="single" w:sz="4" w:space="0" w:color="auto"/>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Baterie akumulatorów</w:t>
            </w:r>
          </w:p>
        </w:tc>
        <w:tc>
          <w:tcPr>
            <w:tcW w:w="819"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 xml:space="preserve">Dla całej grupy stosujemy bezpośrednią metodę wyceny. </w:t>
            </w:r>
          </w:p>
        </w:tc>
        <w:tc>
          <w:tcPr>
            <w:tcW w:w="926" w:type="pct"/>
            <w:vMerge w:val="restart"/>
            <w:tcBorders>
              <w:top w:val="single" w:sz="8" w:space="0" w:color="auto"/>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17.2</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Agregaty prądotwórcze</w:t>
            </w:r>
          </w:p>
        </w:tc>
        <w:tc>
          <w:tcPr>
            <w:tcW w:w="819"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17.3</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Siłownie telekomunikacyjne</w:t>
            </w:r>
          </w:p>
        </w:tc>
        <w:tc>
          <w:tcPr>
            <w:tcW w:w="819" w:type="pct"/>
            <w:vMerge/>
            <w:tcBorders>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bottom w:val="single" w:sz="8" w:space="0" w:color="000000"/>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17.4</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klimatyzacyjne</w:t>
            </w:r>
          </w:p>
        </w:tc>
        <w:tc>
          <w:tcPr>
            <w:tcW w:w="819" w:type="pct"/>
            <w:tcBorders>
              <w:top w:val="nil"/>
              <w:left w:val="nil"/>
              <w:bottom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tcBorders>
              <w:top w:val="nil"/>
              <w:left w:val="nil"/>
              <w:bottom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5E2C8D">
        <w:trPr>
          <w:trHeight w:val="270"/>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17.5</w:t>
            </w:r>
          </w:p>
        </w:tc>
        <w:tc>
          <w:tcPr>
            <w:tcW w:w="1772"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pomiarowe</w:t>
            </w:r>
          </w:p>
        </w:tc>
        <w:tc>
          <w:tcPr>
            <w:tcW w:w="819" w:type="pct"/>
            <w:tcBorders>
              <w:top w:val="nil"/>
              <w:left w:val="nil"/>
              <w:bottom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koszt historyczny</w:t>
            </w:r>
          </w:p>
        </w:tc>
        <w:tc>
          <w:tcPr>
            <w:tcW w:w="1090" w:type="pct"/>
            <w:tcBorders>
              <w:top w:val="nil"/>
              <w:left w:val="nil"/>
              <w:bottom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kosztu historycznego.</w:t>
            </w:r>
          </w:p>
        </w:tc>
        <w:tc>
          <w:tcPr>
            <w:tcW w:w="926"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rPr>
          <w:trHeight w:val="555"/>
        </w:trPr>
        <w:tc>
          <w:tcPr>
            <w:tcW w:w="393" w:type="pct"/>
            <w:tcBorders>
              <w:top w:val="nil"/>
              <w:left w:val="single" w:sz="4" w:space="0" w:color="auto"/>
              <w:bottom w:val="single" w:sz="8"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17.6</w:t>
            </w:r>
          </w:p>
        </w:tc>
        <w:tc>
          <w:tcPr>
            <w:tcW w:w="1772" w:type="pct"/>
            <w:tcBorders>
              <w:top w:val="nil"/>
              <w:left w:val="nil"/>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Urządzenia synchronizacji sieci</w:t>
            </w:r>
          </w:p>
        </w:tc>
        <w:tc>
          <w:tcPr>
            <w:tcW w:w="819" w:type="pct"/>
            <w:tcBorders>
              <w:top w:val="nil"/>
              <w:left w:val="nil"/>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tcBorders>
              <w:top w:val="nil"/>
              <w:left w:val="nil"/>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tcBorders>
              <w:top w:val="nil"/>
              <w:left w:val="nil"/>
              <w:bottom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183706">
        <w:trPr>
          <w:trHeight w:val="33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18</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Systemy obsługi klientów</w:t>
            </w:r>
          </w:p>
        </w:tc>
        <w:tc>
          <w:tcPr>
            <w:tcW w:w="926" w:type="pct"/>
            <w:tcBorders>
              <w:top w:val="single" w:sz="8" w:space="0" w:color="auto"/>
              <w:left w:val="nil"/>
              <w:bottom w:val="single" w:sz="4" w:space="0" w:color="auto"/>
              <w:right w:val="single" w:sz="8" w:space="0" w:color="000000"/>
            </w:tcBorders>
            <w:vAlign w:val="center"/>
          </w:tcPr>
          <w:p w:rsidR="009D26E7" w:rsidRPr="00183706" w:rsidRDefault="009D26E7" w:rsidP="00EB6C89">
            <w:pPr>
              <w:spacing w:before="120" w:line="240" w:lineRule="auto"/>
              <w:rPr>
                <w:b/>
                <w:bCs/>
                <w:sz w:val="16"/>
                <w:szCs w:val="16"/>
                <w:lang w:val="pl-PL"/>
              </w:rPr>
            </w:pPr>
          </w:p>
        </w:tc>
      </w:tr>
      <w:tr w:rsidR="009D26E7" w:rsidRPr="005E2C8D">
        <w:trPr>
          <w:trHeight w:val="27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18.1</w:t>
            </w:r>
          </w:p>
        </w:tc>
        <w:tc>
          <w:tcPr>
            <w:tcW w:w="1772" w:type="pct"/>
            <w:tcBorders>
              <w:top w:val="single" w:sz="4" w:space="0" w:color="auto"/>
              <w:left w:val="single" w:sz="4" w:space="0" w:color="auto"/>
              <w:bottom w:val="single" w:sz="4" w:space="0" w:color="auto"/>
              <w:right w:val="single" w:sz="4" w:space="0" w:color="auto"/>
            </w:tcBorders>
            <w:shd w:val="clear" w:color="auto" w:fill="FFFFFF"/>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UI</w:t>
            </w:r>
          </w:p>
        </w:tc>
        <w:tc>
          <w:tcPr>
            <w:tcW w:w="819" w:type="pct"/>
            <w:vMerge w:val="restart"/>
            <w:tcBorders>
              <w:top w:val="single" w:sz="4" w:space="0" w:color="auto"/>
              <w:left w:val="single" w:sz="4" w:space="0" w:color="auto"/>
              <w:right w:val="single" w:sz="4"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vMerge w:val="restart"/>
            <w:tcBorders>
              <w:top w:val="single" w:sz="4" w:space="0" w:color="auto"/>
              <w:left w:val="single" w:sz="4" w:space="0" w:color="auto"/>
              <w:right w:val="single" w:sz="4"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Indeksy GUS lub wskaźniki zmian kursów walut NBP</w:t>
            </w:r>
          </w:p>
        </w:tc>
      </w:tr>
      <w:tr w:rsidR="009D26E7" w:rsidRPr="00183706">
        <w:trPr>
          <w:cantSplit/>
          <w:trHeight w:val="544"/>
        </w:trPr>
        <w:tc>
          <w:tcPr>
            <w:tcW w:w="393" w:type="pct"/>
            <w:tcBorders>
              <w:top w:val="nil"/>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18.2</w:t>
            </w:r>
          </w:p>
        </w:tc>
        <w:tc>
          <w:tcPr>
            <w:tcW w:w="1772" w:type="pct"/>
            <w:tcBorders>
              <w:top w:val="single" w:sz="4" w:space="0" w:color="auto"/>
              <w:left w:val="nil"/>
              <w:bottom w:val="single" w:sz="4" w:space="0" w:color="auto"/>
              <w:right w:val="single" w:sz="4" w:space="0" w:color="auto"/>
            </w:tcBorders>
            <w:shd w:val="clear" w:color="auto" w:fill="FFFFFF"/>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CRM</w:t>
            </w:r>
          </w:p>
        </w:tc>
        <w:tc>
          <w:tcPr>
            <w:tcW w:w="819" w:type="pct"/>
            <w:vMerge/>
            <w:tcBorders>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blPrEx>
          <w:tblCellMar>
            <w:left w:w="108" w:type="dxa"/>
            <w:right w:w="108" w:type="dxa"/>
          </w:tblCellMar>
        </w:tblPrEx>
        <w:trPr>
          <w:trHeight w:val="525"/>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18.3</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Komutacja - CRM, UI</w:t>
            </w:r>
          </w:p>
        </w:tc>
        <w:tc>
          <w:tcPr>
            <w:tcW w:w="819"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rsidTr="00A37BE6">
        <w:trPr>
          <w:trHeight w:val="330"/>
        </w:trPr>
        <w:tc>
          <w:tcPr>
            <w:tcW w:w="393" w:type="pct"/>
            <w:tcBorders>
              <w:top w:val="single" w:sz="4" w:space="0" w:color="auto"/>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19</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Systemy IT</w:t>
            </w:r>
          </w:p>
        </w:tc>
        <w:tc>
          <w:tcPr>
            <w:tcW w:w="926" w:type="pct"/>
            <w:tcBorders>
              <w:top w:val="single" w:sz="4" w:space="0" w:color="auto"/>
              <w:left w:val="nil"/>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rsidTr="00A37BE6">
        <w:trPr>
          <w:trHeight w:val="270"/>
        </w:trPr>
        <w:tc>
          <w:tcPr>
            <w:tcW w:w="393" w:type="pct"/>
            <w:tcBorders>
              <w:top w:val="nil"/>
              <w:left w:val="single" w:sz="4" w:space="0" w:color="auto"/>
              <w:bottom w:val="single" w:sz="8"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19.1</w:t>
            </w:r>
          </w:p>
        </w:tc>
        <w:tc>
          <w:tcPr>
            <w:tcW w:w="1772" w:type="pct"/>
            <w:tcBorders>
              <w:top w:val="single" w:sz="4" w:space="0" w:color="auto"/>
              <w:left w:val="single" w:sz="4" w:space="0" w:color="auto"/>
              <w:bottom w:val="single" w:sz="4" w:space="0" w:color="auto"/>
              <w:right w:val="single" w:sz="4" w:space="0" w:color="auto"/>
            </w:tcBorders>
            <w:shd w:val="clear" w:color="auto" w:fill="FFFFFF"/>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Biling</w:t>
            </w:r>
          </w:p>
        </w:tc>
        <w:tc>
          <w:tcPr>
            <w:tcW w:w="819" w:type="pct"/>
            <w:vMerge w:val="restart"/>
            <w:tcBorders>
              <w:top w:val="single" w:sz="4" w:space="0" w:color="auto"/>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indeksacja</w:t>
            </w:r>
          </w:p>
        </w:tc>
        <w:tc>
          <w:tcPr>
            <w:tcW w:w="1090" w:type="pct"/>
            <w:vMerge w:val="restart"/>
            <w:tcBorders>
              <w:top w:val="single" w:sz="4" w:space="0" w:color="auto"/>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indeksacji.</w:t>
            </w:r>
          </w:p>
        </w:tc>
        <w:tc>
          <w:tcPr>
            <w:tcW w:w="926"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 xml:space="preserve">Indeksy GUS lub wskaźniki zmian </w:t>
            </w:r>
            <w:r w:rsidRPr="00183706">
              <w:rPr>
                <w:sz w:val="16"/>
                <w:szCs w:val="16"/>
                <w:lang w:val="pl-PL"/>
              </w:rPr>
              <w:lastRenderedPageBreak/>
              <w:t>kursów walut NBP</w:t>
            </w:r>
          </w:p>
        </w:tc>
      </w:tr>
      <w:tr w:rsidR="009D26E7" w:rsidRPr="00183706" w:rsidTr="00A37BE6">
        <w:trPr>
          <w:trHeight w:val="285"/>
        </w:trPr>
        <w:tc>
          <w:tcPr>
            <w:tcW w:w="393" w:type="pct"/>
            <w:tcBorders>
              <w:top w:val="nil"/>
              <w:left w:val="single" w:sz="4" w:space="0" w:color="auto"/>
              <w:bottom w:val="single" w:sz="4" w:space="0" w:color="auto"/>
              <w:right w:val="single" w:sz="8"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19.2</w:t>
            </w:r>
          </w:p>
        </w:tc>
        <w:tc>
          <w:tcPr>
            <w:tcW w:w="1772" w:type="pct"/>
            <w:tcBorders>
              <w:top w:val="single" w:sz="4" w:space="0" w:color="auto"/>
              <w:left w:val="nil"/>
              <w:bottom w:val="single" w:sz="4" w:space="0" w:color="auto"/>
              <w:right w:val="single" w:sz="8" w:space="0" w:color="auto"/>
            </w:tcBorders>
            <w:shd w:val="clear" w:color="auto" w:fill="FFFFFF"/>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Fakturowanie</w:t>
            </w:r>
          </w:p>
        </w:tc>
        <w:tc>
          <w:tcPr>
            <w:tcW w:w="819" w:type="pct"/>
            <w:vMerge/>
            <w:tcBorders>
              <w:top w:val="single" w:sz="4" w:space="0" w:color="auto"/>
              <w:left w:val="nil"/>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top w:val="single" w:sz="4" w:space="0" w:color="auto"/>
              <w:left w:val="nil"/>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top w:val="single" w:sz="4" w:space="0" w:color="auto"/>
              <w:left w:val="nil"/>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blPrEx>
          <w:tblCellMar>
            <w:left w:w="108" w:type="dxa"/>
            <w:right w:w="108" w:type="dxa"/>
          </w:tblCellMar>
        </w:tblPrEx>
        <w:trPr>
          <w:trHeight w:val="525"/>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lastRenderedPageBreak/>
              <w:t>19.3</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Systemy dedykowane na elementy sieci</w:t>
            </w:r>
          </w:p>
        </w:tc>
        <w:tc>
          <w:tcPr>
            <w:tcW w:w="819" w:type="pct"/>
            <w:vMerge/>
            <w:tcBorders>
              <w:left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blPrEx>
          <w:tblCellMar>
            <w:left w:w="108" w:type="dxa"/>
            <w:right w:w="108" w:type="dxa"/>
          </w:tblCellMar>
        </w:tblPrEx>
        <w:trPr>
          <w:trHeight w:val="525"/>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lastRenderedPageBreak/>
              <w:t>19.4</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Systemy obsługi finansowej</w:t>
            </w:r>
          </w:p>
        </w:tc>
        <w:tc>
          <w:tcPr>
            <w:tcW w:w="819" w:type="pct"/>
            <w:vMerge/>
            <w:tcBorders>
              <w:left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blPrEx>
          <w:tblCellMar>
            <w:left w:w="108" w:type="dxa"/>
            <w:right w:w="108" w:type="dxa"/>
          </w:tblCellMar>
        </w:tblPrEx>
        <w:trPr>
          <w:trHeight w:val="199"/>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19.5</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Systemy zarządzania zasobami ludzkimi</w:t>
            </w:r>
          </w:p>
        </w:tc>
        <w:tc>
          <w:tcPr>
            <w:tcW w:w="819" w:type="pct"/>
            <w:vMerge/>
            <w:tcBorders>
              <w:left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blPrEx>
          <w:tblCellMar>
            <w:left w:w="108" w:type="dxa"/>
            <w:right w:w="108" w:type="dxa"/>
          </w:tblCellMar>
        </w:tblPrEx>
        <w:trPr>
          <w:trHeight w:val="525"/>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19.6</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Systemy obsługi zaopatrzenia</w:t>
            </w:r>
          </w:p>
        </w:tc>
        <w:tc>
          <w:tcPr>
            <w:tcW w:w="819" w:type="pct"/>
            <w:vMerge/>
            <w:tcBorders>
              <w:left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blPrEx>
          <w:tblCellMar>
            <w:left w:w="108" w:type="dxa"/>
            <w:right w:w="108" w:type="dxa"/>
          </w:tblCellMar>
        </w:tblPrEx>
        <w:trPr>
          <w:trHeight w:val="261"/>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19.7</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aplikacje</w:t>
            </w:r>
          </w:p>
        </w:tc>
        <w:tc>
          <w:tcPr>
            <w:tcW w:w="819" w:type="pct"/>
            <w:vMerge/>
            <w:tcBorders>
              <w:left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183706">
        <w:tblPrEx>
          <w:tblCellMar>
            <w:left w:w="108" w:type="dxa"/>
            <w:right w:w="108" w:type="dxa"/>
          </w:tblCellMar>
        </w:tblPrEx>
        <w:trPr>
          <w:trHeight w:val="268"/>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19.8</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urządzenia</w:t>
            </w:r>
          </w:p>
        </w:tc>
        <w:tc>
          <w:tcPr>
            <w:tcW w:w="819" w:type="pct"/>
            <w:vMerge/>
            <w:tcBorders>
              <w:left w:val="single" w:sz="4" w:space="0" w:color="auto"/>
              <w:bottom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1090" w:type="pct"/>
            <w:vMerge/>
            <w:tcBorders>
              <w:left w:val="single" w:sz="8" w:space="0" w:color="auto"/>
              <w:bottom w:val="single" w:sz="4" w:space="0" w:color="auto"/>
              <w:right w:val="single" w:sz="8" w:space="0" w:color="auto"/>
            </w:tcBorders>
            <w:noWrap/>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8" w:space="0" w:color="auto"/>
              <w:bottom w:val="single" w:sz="4" w:space="0" w:color="auto"/>
              <w:right w:val="single" w:sz="8" w:space="0" w:color="auto"/>
            </w:tcBorders>
            <w:vAlign w:val="center"/>
          </w:tcPr>
          <w:p w:rsidR="009D26E7" w:rsidRPr="00183706" w:rsidRDefault="009D26E7" w:rsidP="00EB6C89">
            <w:pPr>
              <w:spacing w:before="120" w:line="240" w:lineRule="auto"/>
              <w:jc w:val="left"/>
              <w:rPr>
                <w:sz w:val="16"/>
                <w:szCs w:val="16"/>
                <w:lang w:val="pl-PL"/>
              </w:rPr>
            </w:pPr>
          </w:p>
        </w:tc>
      </w:tr>
      <w:tr w:rsidR="009D26E7" w:rsidRPr="005E2C8D">
        <w:tblPrEx>
          <w:tblCellMar>
            <w:left w:w="108" w:type="dxa"/>
            <w:right w:w="108" w:type="dxa"/>
          </w:tblCellMar>
        </w:tblPrEx>
        <w:trPr>
          <w:trHeight w:val="780"/>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19.9</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Systemy IT - Sieć korporacyjna</w:t>
            </w:r>
          </w:p>
        </w:tc>
        <w:tc>
          <w:tcPr>
            <w:tcW w:w="819"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indeksacja</w:t>
            </w:r>
          </w:p>
        </w:tc>
        <w:tc>
          <w:tcPr>
            <w:tcW w:w="1090"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metodę indeksacji.</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metody indeksacji – indeksy GUS lub wskaźniki zmian kursów walut NBP</w:t>
            </w:r>
          </w:p>
        </w:tc>
      </w:tr>
      <w:tr w:rsidR="009D26E7" w:rsidRPr="00183706">
        <w:trPr>
          <w:trHeight w:val="780"/>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19.10</w:t>
            </w:r>
          </w:p>
        </w:tc>
        <w:tc>
          <w:tcPr>
            <w:tcW w:w="1772"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9D26E7" w:rsidRPr="00183706" w:rsidRDefault="009D26E7" w:rsidP="00EB6C89">
            <w:pPr>
              <w:spacing w:before="120" w:line="240" w:lineRule="auto"/>
              <w:rPr>
                <w:sz w:val="16"/>
                <w:szCs w:val="16"/>
                <w:lang w:val="pl-PL"/>
              </w:rPr>
            </w:pPr>
            <w:r w:rsidRPr="00183706">
              <w:rPr>
                <w:sz w:val="16"/>
                <w:szCs w:val="16"/>
                <w:lang w:val="pl-PL"/>
              </w:rPr>
              <w:t>Komputery osobiste</w:t>
            </w:r>
          </w:p>
        </w:tc>
        <w:tc>
          <w:tcPr>
            <w:tcW w:w="819"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rPr>
          <w:trHeight w:val="330"/>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20</w:t>
            </w:r>
          </w:p>
        </w:tc>
        <w:tc>
          <w:tcPr>
            <w:tcW w:w="3681" w:type="pct"/>
            <w:gridSpan w:val="3"/>
            <w:tcBorders>
              <w:top w:val="single" w:sz="4" w:space="0" w:color="auto"/>
              <w:left w:val="single" w:sz="4" w:space="0" w:color="auto"/>
              <w:bottom w:val="single" w:sz="4" w:space="0" w:color="auto"/>
            </w:tcBorders>
            <w:vAlign w:val="center"/>
          </w:tcPr>
          <w:p w:rsidR="009D26E7" w:rsidRPr="00183706" w:rsidRDefault="009D26E7" w:rsidP="00EB6C89">
            <w:pPr>
              <w:spacing w:before="120" w:line="240" w:lineRule="auto"/>
              <w:rPr>
                <w:b/>
                <w:bCs/>
                <w:sz w:val="16"/>
                <w:szCs w:val="16"/>
                <w:lang w:val="pl-PL"/>
              </w:rPr>
            </w:pPr>
            <w:r w:rsidRPr="00183706">
              <w:rPr>
                <w:b/>
                <w:bCs/>
                <w:sz w:val="16"/>
                <w:szCs w:val="16"/>
                <w:lang w:val="pl-PL"/>
              </w:rPr>
              <w:t>Pozostałe</w:t>
            </w:r>
          </w:p>
        </w:tc>
        <w:tc>
          <w:tcPr>
            <w:tcW w:w="926" w:type="pct"/>
            <w:tcBorders>
              <w:top w:val="single" w:sz="4" w:space="0" w:color="auto"/>
              <w:left w:val="nil"/>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blPrEx>
          <w:tblCellMar>
            <w:left w:w="108" w:type="dxa"/>
            <w:right w:w="108" w:type="dxa"/>
          </w:tblCellMar>
        </w:tblPrEx>
        <w:trPr>
          <w:trHeight w:val="420"/>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20.1</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PAS</w:t>
            </w:r>
          </w:p>
        </w:tc>
        <w:tc>
          <w:tcPr>
            <w:tcW w:w="819"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5E2C8D">
        <w:trPr>
          <w:trHeight w:val="780"/>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20.2</w:t>
            </w:r>
          </w:p>
        </w:tc>
        <w:tc>
          <w:tcPr>
            <w:tcW w:w="1772"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9D26E7" w:rsidRPr="00183706" w:rsidRDefault="009D26E7" w:rsidP="00EB6C89">
            <w:pPr>
              <w:spacing w:before="120" w:line="240" w:lineRule="auto"/>
              <w:rPr>
                <w:sz w:val="16"/>
                <w:szCs w:val="16"/>
                <w:lang w:val="pl-PL"/>
              </w:rPr>
            </w:pPr>
            <w:r w:rsidRPr="00183706">
              <w:rPr>
                <w:sz w:val="16"/>
                <w:szCs w:val="16"/>
                <w:lang w:val="pl-PL"/>
              </w:rPr>
              <w:t>Środki transportu</w:t>
            </w:r>
          </w:p>
        </w:tc>
        <w:tc>
          <w:tcPr>
            <w:tcW w:w="819"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 i/lub koszt historyczny</w:t>
            </w:r>
          </w:p>
        </w:tc>
        <w:tc>
          <w:tcPr>
            <w:tcW w:w="1090"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 i/lub koszt historyczny.</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5E2C8D">
        <w:tblPrEx>
          <w:tblCellMar>
            <w:left w:w="108" w:type="dxa"/>
            <w:right w:w="108" w:type="dxa"/>
          </w:tblCellMar>
        </w:tblPrEx>
        <w:trPr>
          <w:trHeight w:val="493"/>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20.3</w:t>
            </w:r>
          </w:p>
        </w:tc>
        <w:tc>
          <w:tcPr>
            <w:tcW w:w="1772" w:type="pct"/>
            <w:tcBorders>
              <w:top w:val="single" w:sz="4" w:space="0" w:color="auto"/>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rPr>
                <w:sz w:val="16"/>
                <w:szCs w:val="16"/>
                <w:lang w:val="pl-PL"/>
              </w:rPr>
            </w:pPr>
            <w:r w:rsidRPr="00183706">
              <w:rPr>
                <w:sz w:val="16"/>
                <w:szCs w:val="16"/>
                <w:lang w:val="pl-PL"/>
              </w:rPr>
              <w:t>Meble, urządzenia biurowe i inne wyposażenie</w:t>
            </w:r>
          </w:p>
        </w:tc>
        <w:tc>
          <w:tcPr>
            <w:tcW w:w="819"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koszt historyczny</w:t>
            </w:r>
          </w:p>
        </w:tc>
        <w:tc>
          <w:tcPr>
            <w:tcW w:w="1090"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b/>
                <w:bCs/>
                <w:sz w:val="16"/>
                <w:szCs w:val="16"/>
                <w:lang w:val="pl-PL"/>
              </w:rPr>
            </w:pPr>
            <w:r w:rsidRPr="00183706">
              <w:rPr>
                <w:sz w:val="16"/>
                <w:szCs w:val="16"/>
                <w:lang w:val="pl-PL"/>
              </w:rPr>
              <w:t>Dla całej grupy stosujemy metodę kosztu historycznego.</w:t>
            </w:r>
          </w:p>
        </w:tc>
        <w:tc>
          <w:tcPr>
            <w:tcW w:w="926"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p>
        </w:tc>
      </w:tr>
      <w:tr w:rsidR="009D26E7" w:rsidRPr="005E2C8D">
        <w:tblPrEx>
          <w:tblCellMar>
            <w:left w:w="108" w:type="dxa"/>
            <w:right w:w="108" w:type="dxa"/>
          </w:tblCellMar>
        </w:tblPrEx>
        <w:trPr>
          <w:trHeight w:val="335"/>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20.4</w:t>
            </w:r>
          </w:p>
        </w:tc>
        <w:tc>
          <w:tcPr>
            <w:tcW w:w="1772" w:type="pct"/>
            <w:tcBorders>
              <w:top w:val="single" w:sz="4" w:space="0" w:color="auto"/>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rPr>
                <w:sz w:val="16"/>
                <w:szCs w:val="16"/>
                <w:lang w:val="pl-PL"/>
              </w:rPr>
            </w:pPr>
            <w:r w:rsidRPr="00183706">
              <w:rPr>
                <w:sz w:val="16"/>
                <w:szCs w:val="16"/>
                <w:lang w:val="pl-PL"/>
              </w:rPr>
              <w:t>Powierzchnia biurowa</w:t>
            </w:r>
          </w:p>
        </w:tc>
        <w:tc>
          <w:tcPr>
            <w:tcW w:w="819"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wycena bezpośrednia</w:t>
            </w:r>
          </w:p>
        </w:tc>
        <w:tc>
          <w:tcPr>
            <w:tcW w:w="1090"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bezpośrednią metodę wyceny.</w:t>
            </w:r>
          </w:p>
        </w:tc>
        <w:tc>
          <w:tcPr>
            <w:tcW w:w="926" w:type="pct"/>
            <w:vMerge w:val="restart"/>
            <w:tcBorders>
              <w:top w:val="single" w:sz="4" w:space="0" w:color="auto"/>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tblPrEx>
          <w:tblCellMar>
            <w:left w:w="108" w:type="dxa"/>
            <w:right w:w="108" w:type="dxa"/>
          </w:tblCellMar>
        </w:tblPrEx>
        <w:trPr>
          <w:trHeight w:val="359"/>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20.5</w:t>
            </w:r>
          </w:p>
        </w:tc>
        <w:tc>
          <w:tcPr>
            <w:tcW w:w="1772" w:type="pct"/>
            <w:tcBorders>
              <w:top w:val="single" w:sz="4" w:space="0" w:color="auto"/>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rPr>
                <w:sz w:val="16"/>
                <w:szCs w:val="16"/>
                <w:lang w:val="pl-PL"/>
              </w:rPr>
            </w:pPr>
            <w:r w:rsidRPr="00183706">
              <w:rPr>
                <w:sz w:val="16"/>
                <w:szCs w:val="16"/>
                <w:lang w:val="pl-PL"/>
              </w:rPr>
              <w:t>Powierzchnia magazynowa</w:t>
            </w:r>
          </w:p>
        </w:tc>
        <w:tc>
          <w:tcPr>
            <w:tcW w:w="819"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rsidTr="00073C78">
        <w:tblPrEx>
          <w:tblCellMar>
            <w:left w:w="108" w:type="dxa"/>
            <w:right w:w="108" w:type="dxa"/>
          </w:tblCellMar>
        </w:tblPrEx>
        <w:trPr>
          <w:trHeight w:val="298"/>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20.6</w:t>
            </w:r>
          </w:p>
        </w:tc>
        <w:tc>
          <w:tcPr>
            <w:tcW w:w="1772" w:type="pct"/>
            <w:tcBorders>
              <w:top w:val="single" w:sz="4" w:space="0" w:color="auto"/>
              <w:left w:val="single" w:sz="4" w:space="0" w:color="auto"/>
              <w:bottom w:val="single" w:sz="4" w:space="0" w:color="auto"/>
              <w:right w:val="single" w:sz="4" w:space="0" w:color="auto"/>
            </w:tcBorders>
            <w:noWrap/>
            <w:vAlign w:val="center"/>
          </w:tcPr>
          <w:p w:rsidR="009D26E7" w:rsidRPr="00183706" w:rsidRDefault="009D26E7" w:rsidP="00EB6C89">
            <w:pPr>
              <w:spacing w:before="120" w:line="240" w:lineRule="auto"/>
              <w:rPr>
                <w:sz w:val="16"/>
                <w:szCs w:val="16"/>
                <w:lang w:val="pl-PL"/>
              </w:rPr>
            </w:pPr>
            <w:r w:rsidRPr="00183706">
              <w:rPr>
                <w:sz w:val="16"/>
                <w:szCs w:val="16"/>
                <w:lang w:val="pl-PL"/>
              </w:rPr>
              <w:t>Powierzchnia techniczna</w:t>
            </w:r>
          </w:p>
        </w:tc>
        <w:tc>
          <w:tcPr>
            <w:tcW w:w="819"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p>
        </w:tc>
        <w:tc>
          <w:tcPr>
            <w:tcW w:w="926" w:type="pct"/>
            <w:vMerge/>
            <w:tcBorders>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5E2C8D" w:rsidTr="00073C78">
        <w:tblPrEx>
          <w:tblCellMar>
            <w:left w:w="108" w:type="dxa"/>
            <w:right w:w="108" w:type="dxa"/>
          </w:tblCellMar>
        </w:tblPrEx>
        <w:trPr>
          <w:trHeight w:val="266"/>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20.7</w:t>
            </w:r>
          </w:p>
        </w:tc>
        <w:tc>
          <w:tcPr>
            <w:tcW w:w="1772"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Pozostałe środki trwałe - sieciowe</w:t>
            </w:r>
          </w:p>
        </w:tc>
        <w:tc>
          <w:tcPr>
            <w:tcW w:w="819"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koszt historyczny</w:t>
            </w:r>
          </w:p>
        </w:tc>
        <w:tc>
          <w:tcPr>
            <w:tcW w:w="1090"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jc w:val="left"/>
              <w:rPr>
                <w:sz w:val="16"/>
                <w:szCs w:val="16"/>
                <w:lang w:val="pl-PL"/>
              </w:rPr>
            </w:pPr>
            <w:r w:rsidRPr="00183706">
              <w:rPr>
                <w:sz w:val="16"/>
                <w:szCs w:val="16"/>
                <w:lang w:val="pl-PL"/>
              </w:rPr>
              <w:t>Dla całej grupy stosujemy metodę kosztu historycznego.</w:t>
            </w:r>
          </w:p>
        </w:tc>
        <w:tc>
          <w:tcPr>
            <w:tcW w:w="926" w:type="pct"/>
            <w:vMerge w:val="restar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r>
      <w:tr w:rsidR="009D26E7" w:rsidRPr="00183706" w:rsidTr="00073C78">
        <w:trPr>
          <w:trHeight w:val="250"/>
        </w:trPr>
        <w:tc>
          <w:tcPr>
            <w:tcW w:w="393" w:type="pct"/>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r w:rsidRPr="00183706">
              <w:rPr>
                <w:sz w:val="16"/>
                <w:szCs w:val="16"/>
                <w:lang w:val="pl-PL"/>
              </w:rPr>
              <w:t>20.8</w:t>
            </w:r>
          </w:p>
        </w:tc>
        <w:tc>
          <w:tcPr>
            <w:tcW w:w="1772" w:type="pct"/>
            <w:tcBorders>
              <w:top w:val="single" w:sz="4" w:space="0" w:color="auto"/>
              <w:left w:val="single" w:sz="4" w:space="0" w:color="auto"/>
              <w:bottom w:val="single" w:sz="4" w:space="0" w:color="auto"/>
              <w:right w:val="single" w:sz="4" w:space="0" w:color="auto"/>
            </w:tcBorders>
            <w:shd w:val="clear" w:color="auto" w:fill="FFFFFF"/>
            <w:noWrap/>
            <w:vAlign w:val="center"/>
          </w:tcPr>
          <w:p w:rsidR="009D26E7" w:rsidRPr="00183706" w:rsidRDefault="009D26E7" w:rsidP="00EB6C89">
            <w:pPr>
              <w:spacing w:before="120" w:line="240" w:lineRule="auto"/>
              <w:rPr>
                <w:sz w:val="16"/>
                <w:szCs w:val="16"/>
                <w:lang w:val="pl-PL"/>
              </w:rPr>
            </w:pPr>
            <w:r w:rsidRPr="00183706">
              <w:rPr>
                <w:sz w:val="16"/>
                <w:szCs w:val="16"/>
                <w:lang w:val="pl-PL"/>
              </w:rPr>
              <w:t xml:space="preserve">Pozostałe środki trwałe - </w:t>
            </w:r>
            <w:proofErr w:type="spellStart"/>
            <w:r w:rsidRPr="00183706">
              <w:rPr>
                <w:sz w:val="16"/>
                <w:szCs w:val="16"/>
                <w:lang w:val="pl-PL"/>
              </w:rPr>
              <w:t>niesieciowe</w:t>
            </w:r>
            <w:proofErr w:type="spellEnd"/>
          </w:p>
        </w:tc>
        <w:tc>
          <w:tcPr>
            <w:tcW w:w="819"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sz w:val="16"/>
                <w:szCs w:val="16"/>
                <w:lang w:val="pl-PL"/>
              </w:rPr>
            </w:pPr>
          </w:p>
        </w:tc>
        <w:tc>
          <w:tcPr>
            <w:tcW w:w="1090"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p>
        </w:tc>
        <w:tc>
          <w:tcPr>
            <w:tcW w:w="926" w:type="pct"/>
            <w:vMerge/>
            <w:tcBorders>
              <w:top w:val="single" w:sz="4" w:space="0" w:color="auto"/>
              <w:left w:val="single" w:sz="4" w:space="0" w:color="auto"/>
              <w:bottom w:val="single" w:sz="4" w:space="0" w:color="auto"/>
              <w:right w:val="single" w:sz="4" w:space="0" w:color="auto"/>
            </w:tcBorders>
            <w:vAlign w:val="center"/>
          </w:tcPr>
          <w:p w:rsidR="009D26E7" w:rsidRPr="00183706" w:rsidRDefault="009D26E7" w:rsidP="00EB6C89">
            <w:pPr>
              <w:spacing w:before="120" w:line="240" w:lineRule="auto"/>
              <w:rPr>
                <w:b/>
                <w:bCs/>
                <w:sz w:val="16"/>
                <w:szCs w:val="16"/>
                <w:lang w:val="pl-PL"/>
              </w:rPr>
            </w:pPr>
          </w:p>
        </w:tc>
      </w:tr>
    </w:tbl>
    <w:p w:rsidR="00B92BFC" w:rsidRPr="00992AA5" w:rsidRDefault="00B92BFC" w:rsidP="00F50D4C">
      <w:pPr>
        <w:pStyle w:val="MIKNagwek2"/>
        <w:ind w:hanging="1134"/>
        <w:rPr>
          <w:sz w:val="22"/>
          <w:szCs w:val="22"/>
        </w:rPr>
      </w:pPr>
      <w:bookmarkStart w:id="77" w:name="_Toc169500103"/>
      <w:bookmarkStart w:id="78" w:name="_Toc314727583"/>
      <w:bookmarkStart w:id="79" w:name="_Toc383521144"/>
      <w:r w:rsidRPr="00992AA5">
        <w:rPr>
          <w:sz w:val="22"/>
          <w:szCs w:val="22"/>
        </w:rPr>
        <w:t>Sieć dostępowa</w:t>
      </w:r>
      <w:bookmarkEnd w:id="75"/>
      <w:bookmarkEnd w:id="76"/>
      <w:bookmarkEnd w:id="77"/>
      <w:bookmarkEnd w:id="78"/>
      <w:bookmarkEnd w:id="79"/>
    </w:p>
    <w:p w:rsidR="00B92BFC" w:rsidRPr="00992AA5" w:rsidRDefault="00B92BFC" w:rsidP="00F50D4C">
      <w:pPr>
        <w:pStyle w:val="MIKNagwek2"/>
        <w:ind w:hanging="1134"/>
        <w:rPr>
          <w:sz w:val="22"/>
          <w:szCs w:val="22"/>
        </w:rPr>
      </w:pPr>
      <w:bookmarkStart w:id="80" w:name="_Toc136053945"/>
      <w:bookmarkStart w:id="81" w:name="_Toc154381914"/>
      <w:bookmarkStart w:id="82" w:name="_Toc169500104"/>
      <w:bookmarkStart w:id="83" w:name="_Toc314727584"/>
      <w:bookmarkStart w:id="84" w:name="_Toc383521145"/>
      <w:r w:rsidRPr="00992AA5">
        <w:rPr>
          <w:sz w:val="22"/>
          <w:szCs w:val="22"/>
        </w:rPr>
        <w:t>Dostęp – Sieć pasywna</w:t>
      </w:r>
      <w:bookmarkEnd w:id="80"/>
      <w:bookmarkEnd w:id="81"/>
      <w:bookmarkEnd w:id="82"/>
      <w:bookmarkEnd w:id="83"/>
      <w:bookmarkEnd w:id="84"/>
    </w:p>
    <w:p w:rsidR="00B92BFC" w:rsidRPr="00992AA5" w:rsidRDefault="00B92BFC" w:rsidP="00EB6C89">
      <w:pPr>
        <w:pStyle w:val="MIKNagwek1"/>
        <w:numPr>
          <w:ilvl w:val="0"/>
          <w:numId w:val="0"/>
        </w:numPr>
        <w:spacing w:before="120" w:after="0" w:line="240" w:lineRule="auto"/>
        <w:ind w:left="1134" w:hanging="1134"/>
        <w:rPr>
          <w:sz w:val="22"/>
          <w:szCs w:val="22"/>
        </w:rPr>
      </w:pPr>
      <w:bookmarkStart w:id="85" w:name="_Toc63670223"/>
      <w:bookmarkStart w:id="86" w:name="_Toc136053946"/>
      <w:bookmarkStart w:id="87" w:name="_Toc154381915"/>
      <w:bookmarkStart w:id="88" w:name="_Toc169500105"/>
      <w:bookmarkStart w:id="89" w:name="_Toc314727585"/>
      <w:bookmarkStart w:id="90" w:name="_Toc383521146"/>
      <w:proofErr w:type="spellStart"/>
      <w:r w:rsidRPr="00992AA5">
        <w:rPr>
          <w:sz w:val="22"/>
          <w:szCs w:val="22"/>
        </w:rPr>
        <w:t>Infrastruktura</w:t>
      </w:r>
      <w:proofErr w:type="spellEnd"/>
      <w:r w:rsidRPr="00992AA5">
        <w:rPr>
          <w:sz w:val="22"/>
          <w:szCs w:val="22"/>
        </w:rPr>
        <w:t xml:space="preserve"> </w:t>
      </w:r>
      <w:proofErr w:type="spellStart"/>
      <w:r w:rsidRPr="00992AA5">
        <w:rPr>
          <w:sz w:val="22"/>
          <w:szCs w:val="22"/>
        </w:rPr>
        <w:t>linii</w:t>
      </w:r>
      <w:proofErr w:type="spellEnd"/>
      <w:r w:rsidRPr="00992AA5">
        <w:rPr>
          <w:sz w:val="22"/>
          <w:szCs w:val="22"/>
        </w:rPr>
        <w:t xml:space="preserve"> </w:t>
      </w:r>
      <w:proofErr w:type="spellStart"/>
      <w:r w:rsidRPr="00992AA5">
        <w:rPr>
          <w:sz w:val="22"/>
          <w:szCs w:val="22"/>
        </w:rPr>
        <w:t>napowietrznych</w:t>
      </w:r>
      <w:bookmarkEnd w:id="85"/>
      <w:bookmarkEnd w:id="86"/>
      <w:bookmarkEnd w:id="87"/>
      <w:bookmarkEnd w:id="88"/>
      <w:bookmarkEnd w:id="89"/>
      <w:bookmarkEnd w:id="90"/>
      <w:proofErr w:type="spellEnd"/>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liczby słupów oraz kosztu realizacji inwestycji i kosztu montażu wszystkich rodzajów infrastruktury linii napowietrznych stosowanych w </w:t>
      </w:r>
      <w:r w:rsidR="006E396B" w:rsidRPr="00992AA5">
        <w:rPr>
          <w:lang w:val="pl-PL"/>
        </w:rPr>
        <w:t>OPL</w:t>
      </w:r>
      <w:r w:rsidRPr="00992AA5">
        <w:rPr>
          <w:lang w:val="pl-PL"/>
        </w:rPr>
        <w:t>. Koszt montażu wylicza się na podstawie programu kosztorysowego "Zuzia"</w:t>
      </w:r>
      <w:r w:rsidR="00B104E8" w:rsidRPr="00992AA5">
        <w:rPr>
          <w:lang w:val="pl-PL"/>
        </w:rPr>
        <w:t xml:space="preserve"> oraz Cennika Sieciowych Usług Budowlanych stanowiącego załącznik do umów zawartych z wykonawcami</w:t>
      </w:r>
      <w:r w:rsidRPr="00992AA5">
        <w:rPr>
          <w:lang w:val="pl-PL"/>
        </w:rPr>
        <w:t xml:space="preserve">. Dane </w:t>
      </w:r>
      <w:r w:rsidR="00073C78" w:rsidRPr="00992AA5">
        <w:rPr>
          <w:lang w:val="pl-PL"/>
        </w:rPr>
        <w:br/>
      </w:r>
      <w:r w:rsidRPr="00992AA5">
        <w:rPr>
          <w:lang w:val="pl-PL"/>
        </w:rPr>
        <w:t xml:space="preserve">o wolumenach infrastruktury linii napowietrznych pozyskuje się z ankiet wypełnianych </w:t>
      </w:r>
      <w:r w:rsidR="00073C78" w:rsidRPr="00992AA5">
        <w:rPr>
          <w:lang w:val="pl-PL"/>
        </w:rPr>
        <w:br/>
      </w:r>
      <w:r w:rsidRPr="00992AA5">
        <w:rPr>
          <w:lang w:val="pl-PL"/>
        </w:rPr>
        <w:t xml:space="preserve">na podstawie sprawozdawczości wewnętrznej </w:t>
      </w:r>
      <w:r w:rsidR="006E396B" w:rsidRPr="00992AA5">
        <w:rPr>
          <w:lang w:val="pl-PL"/>
        </w:rPr>
        <w:t xml:space="preserve">OPL </w:t>
      </w:r>
      <w:r w:rsidRPr="00992AA5">
        <w:rPr>
          <w:lang w:val="pl-PL"/>
        </w:rPr>
        <w:t xml:space="preserve">oraz zakwalifikowania zgodnego </w:t>
      </w:r>
      <w:r w:rsidR="00073C78" w:rsidRPr="00992AA5">
        <w:rPr>
          <w:lang w:val="pl-PL"/>
        </w:rPr>
        <w:br/>
      </w:r>
      <w:r w:rsidRPr="00992AA5">
        <w:rPr>
          <w:lang w:val="pl-PL"/>
        </w:rPr>
        <w:t xml:space="preserve">z przeznaczeniem tej infrastruktury. Ceny poszczególnych elementów pozyskuje się z umów zawartych 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za utrudnienie ruchu, opłaty za nadzory branżowe) ustala się na </w:t>
      </w:r>
      <w:r w:rsidRPr="00992AA5">
        <w:rPr>
          <w:lang w:val="pl-PL"/>
        </w:rPr>
        <w:lastRenderedPageBreak/>
        <w:t>podstawie umów zawartych z wykonawcami. Koszty dodatkowe realizacji inwestycji dotyczące odszkodowań ustala się na podstawie zrealizowanych inwestycji.</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91" w:name="_Toc136053947"/>
      <w:bookmarkStart w:id="92" w:name="_Toc154381916"/>
      <w:bookmarkStart w:id="93" w:name="_Toc169500106"/>
      <w:bookmarkStart w:id="94" w:name="_Toc314727586"/>
      <w:bookmarkStart w:id="95" w:name="_Toc383521147"/>
      <w:r w:rsidRPr="00992AA5">
        <w:rPr>
          <w:sz w:val="22"/>
          <w:szCs w:val="22"/>
          <w:lang w:val="pl-PL"/>
        </w:rPr>
        <w:t>Kable miedziane sieci magistralnej</w:t>
      </w:r>
      <w:bookmarkEnd w:id="91"/>
      <w:bookmarkEnd w:id="92"/>
      <w:bookmarkEnd w:id="93"/>
      <w:bookmarkEnd w:id="94"/>
      <w:bookmarkEnd w:id="95"/>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długości oraz kosztu realizacji inwestycji i kosztu montażu dla wszystkich typów kabli stosowanych w </w:t>
      </w:r>
      <w:r w:rsidR="009C7A88" w:rsidRPr="00992AA5">
        <w:rPr>
          <w:lang w:val="pl-PL"/>
        </w:rPr>
        <w:t>OPL</w:t>
      </w:r>
      <w:r w:rsidRPr="00992AA5">
        <w:rPr>
          <w:lang w:val="pl-PL"/>
        </w:rPr>
        <w:t xml:space="preserve">. Koszt montażu wylicza się </w:t>
      </w:r>
      <w:r w:rsidR="00073C78" w:rsidRPr="00992AA5">
        <w:rPr>
          <w:lang w:val="pl-PL"/>
        </w:rPr>
        <w:br/>
      </w:r>
      <w:r w:rsidRPr="00992AA5">
        <w:rPr>
          <w:lang w:val="pl-PL"/>
        </w:rPr>
        <w:t>na podstawie programu kosztorysowego "Zuzia"</w:t>
      </w:r>
      <w:r w:rsidR="001C3E34" w:rsidRPr="00992AA5">
        <w:rPr>
          <w:lang w:val="pl-PL"/>
        </w:rPr>
        <w:t xml:space="preserve"> oraz Cennika Sieciowych Usług Budowlanych stanowiącego załącznik do umów zawartych z wykonawcami</w:t>
      </w:r>
      <w:r w:rsidRPr="00992AA5">
        <w:rPr>
          <w:lang w:val="pl-PL"/>
        </w:rPr>
        <w:t xml:space="preserve">. Dane </w:t>
      </w:r>
      <w:r w:rsidR="00073C78" w:rsidRPr="00992AA5">
        <w:rPr>
          <w:lang w:val="pl-PL"/>
        </w:rPr>
        <w:br/>
      </w:r>
      <w:r w:rsidRPr="00992AA5">
        <w:rPr>
          <w:lang w:val="pl-PL"/>
        </w:rPr>
        <w:t xml:space="preserve">o wolumenach kabli pozyskuje się z ankiet wypełnianych na podstawie sprawozdawczości wewnętrznej </w:t>
      </w:r>
      <w:r w:rsidR="009C7A88" w:rsidRPr="00992AA5">
        <w:rPr>
          <w:lang w:val="pl-PL"/>
        </w:rPr>
        <w:t xml:space="preserve">OPL </w:t>
      </w:r>
      <w:r w:rsidRPr="00992AA5">
        <w:rPr>
          <w:lang w:val="pl-PL"/>
        </w:rPr>
        <w:t>oraz zakwalifikowania zgodnego z przeznaczeniem kabli. Ceny poszczególnych elementów pozyskuje się z umów zawartych 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za utrudnienie ruchu, opłaty za nadzory branżowe) ustala się na podstawie umów zawartych z wykonawcami. Koszty dodatkowe realizacji inwestycji dotyczące odszkodowań ustala się na podstawie zrealizowanych inwestycji.</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96" w:name="_Toc136053948"/>
      <w:bookmarkStart w:id="97" w:name="_Toc154381917"/>
      <w:bookmarkStart w:id="98" w:name="_Toc169500107"/>
      <w:bookmarkStart w:id="99" w:name="_Toc314727587"/>
      <w:bookmarkStart w:id="100" w:name="_Toc383521148"/>
      <w:r w:rsidRPr="00992AA5">
        <w:rPr>
          <w:sz w:val="22"/>
          <w:szCs w:val="22"/>
          <w:lang w:val="pl-PL"/>
        </w:rPr>
        <w:t>Kable miedziane sieci rozdzielczej</w:t>
      </w:r>
      <w:bookmarkEnd w:id="96"/>
      <w:bookmarkEnd w:id="97"/>
      <w:bookmarkEnd w:id="98"/>
      <w:bookmarkEnd w:id="99"/>
      <w:bookmarkEnd w:id="100"/>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długości oraz kosztu realizacji inwestycji i kosztu montażu dla wszystkich typów kabli stosowanych w </w:t>
      </w:r>
      <w:r w:rsidR="009C7A88" w:rsidRPr="00992AA5">
        <w:rPr>
          <w:lang w:val="pl-PL"/>
        </w:rPr>
        <w:t>OPL</w:t>
      </w:r>
      <w:r w:rsidRPr="00992AA5">
        <w:rPr>
          <w:lang w:val="pl-PL"/>
        </w:rPr>
        <w:t xml:space="preserve">. Koszt montażu wylicza się </w:t>
      </w:r>
      <w:r w:rsidR="00073C78" w:rsidRPr="00992AA5">
        <w:rPr>
          <w:lang w:val="pl-PL"/>
        </w:rPr>
        <w:br/>
      </w:r>
      <w:r w:rsidRPr="00992AA5">
        <w:rPr>
          <w:lang w:val="pl-PL"/>
        </w:rPr>
        <w:t>na podstawie programu kosztorysowego "Zuzia"</w:t>
      </w:r>
      <w:r w:rsidR="001C3E34" w:rsidRPr="00992AA5">
        <w:rPr>
          <w:lang w:val="pl-PL"/>
        </w:rPr>
        <w:t xml:space="preserve"> oraz Cennika Sieciowych Usług Budowlanych stanowiącego załącznik do umów zawartych z wykonawcami. </w:t>
      </w:r>
      <w:r w:rsidRPr="00992AA5">
        <w:rPr>
          <w:lang w:val="pl-PL"/>
        </w:rPr>
        <w:t xml:space="preserve">Dane </w:t>
      </w:r>
      <w:r w:rsidR="00073C78" w:rsidRPr="00992AA5">
        <w:rPr>
          <w:lang w:val="pl-PL"/>
        </w:rPr>
        <w:br/>
      </w:r>
      <w:r w:rsidRPr="00992AA5">
        <w:rPr>
          <w:lang w:val="pl-PL"/>
        </w:rPr>
        <w:t xml:space="preserve">o wolumenach kabli pozyskuje się z ankiet wypełnianych na podstawie sprawozdawczości wewnętrznej </w:t>
      </w:r>
      <w:r w:rsidR="009C7A88" w:rsidRPr="00992AA5">
        <w:rPr>
          <w:lang w:val="pl-PL"/>
        </w:rPr>
        <w:t xml:space="preserve">OPL </w:t>
      </w:r>
      <w:r w:rsidRPr="00992AA5">
        <w:rPr>
          <w:lang w:val="pl-PL"/>
        </w:rPr>
        <w:t>oraz zakwalifikowania zgodnego z przeznaczeniem kabli. Ceny poszczególnych elementów pozyskuje się z umów zawartych 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za utrudnienie ruchu, opłaty za nadzory branżowe) ustala się na podstawie umów zawartych z wykonawcami. Koszty dodatkowe realizacji inwestycji dotyczące odszkodowań ustala się na podstawie zrealizowanych inwestycji.</w:t>
      </w:r>
    </w:p>
    <w:p w:rsidR="00953034" w:rsidRPr="00992AA5" w:rsidRDefault="00953034" w:rsidP="00EB6C89">
      <w:pPr>
        <w:pStyle w:val="MIKNagwek1"/>
        <w:numPr>
          <w:ilvl w:val="0"/>
          <w:numId w:val="0"/>
        </w:numPr>
        <w:spacing w:before="120" w:after="0" w:line="240" w:lineRule="auto"/>
        <w:ind w:left="1134" w:hanging="1134"/>
        <w:rPr>
          <w:sz w:val="22"/>
          <w:szCs w:val="22"/>
          <w:lang w:val="pl-PL"/>
        </w:rPr>
      </w:pPr>
      <w:bookmarkStart w:id="101" w:name="_Toc314727588"/>
      <w:bookmarkStart w:id="102" w:name="_Toc383521149"/>
      <w:r w:rsidRPr="00992AA5">
        <w:rPr>
          <w:sz w:val="22"/>
          <w:szCs w:val="22"/>
          <w:lang w:val="pl-PL"/>
        </w:rPr>
        <w:t xml:space="preserve">Kable światłowodowe </w:t>
      </w:r>
      <w:proofErr w:type="spellStart"/>
      <w:r w:rsidRPr="00992AA5">
        <w:rPr>
          <w:sz w:val="22"/>
          <w:szCs w:val="22"/>
          <w:lang w:val="pl-PL"/>
        </w:rPr>
        <w:t>FTTx</w:t>
      </w:r>
      <w:bookmarkEnd w:id="101"/>
      <w:bookmarkEnd w:id="102"/>
      <w:proofErr w:type="spellEnd"/>
    </w:p>
    <w:p w:rsidR="00BC375F" w:rsidRPr="00992AA5" w:rsidRDefault="00BC375F" w:rsidP="00EB6C89">
      <w:pPr>
        <w:spacing w:before="120" w:line="240" w:lineRule="auto"/>
        <w:rPr>
          <w:lang w:val="pl-PL"/>
        </w:rPr>
      </w:pPr>
      <w:r w:rsidRPr="00992AA5">
        <w:rPr>
          <w:lang w:val="pl-PL"/>
        </w:rPr>
        <w:t xml:space="preserve">Wartość bieżącą ustala się na bazie kosztu historycznego. Kable światłowodowe nie </w:t>
      </w:r>
      <w:r w:rsidR="00073C78" w:rsidRPr="00992AA5">
        <w:rPr>
          <w:lang w:val="pl-PL"/>
        </w:rPr>
        <w:br/>
      </w:r>
      <w:r w:rsidRPr="00992AA5">
        <w:rPr>
          <w:lang w:val="pl-PL"/>
        </w:rPr>
        <w:t>są przeszacowywane, do wyceny wykorzystuje się informacje o wartości brutto środków trwałych na dzi</w:t>
      </w:r>
      <w:r w:rsidR="003A00CF" w:rsidRPr="00992AA5">
        <w:rPr>
          <w:lang w:val="pl-PL"/>
        </w:rPr>
        <w:t>e</w:t>
      </w:r>
      <w:r w:rsidRPr="00992AA5">
        <w:rPr>
          <w:lang w:val="pl-PL"/>
        </w:rPr>
        <w:t>ń 31.12.</w:t>
      </w:r>
      <w:r w:rsidR="005B24B6" w:rsidRPr="00992AA5">
        <w:rPr>
          <w:lang w:val="pl-PL"/>
        </w:rPr>
        <w:t>2013</w:t>
      </w:r>
      <w:r w:rsidRPr="00992AA5">
        <w:rPr>
          <w:lang w:val="pl-PL"/>
        </w:rPr>
        <w:t xml:space="preserve"> pozyskane z systemu ewidencji środków trwałych.</w:t>
      </w:r>
    </w:p>
    <w:p w:rsidR="00953034" w:rsidRPr="00992AA5" w:rsidRDefault="00953034" w:rsidP="00EB6C89">
      <w:pPr>
        <w:spacing w:before="120" w:line="240" w:lineRule="auto"/>
        <w:rPr>
          <w:lang w:val="pl-PL"/>
        </w:rPr>
      </w:pP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03" w:name="_Toc136053949"/>
      <w:bookmarkStart w:id="104" w:name="_Toc154381918"/>
      <w:bookmarkStart w:id="105" w:name="_Toc169500108"/>
      <w:bookmarkStart w:id="106" w:name="_Toc314727589"/>
      <w:bookmarkStart w:id="107" w:name="_Toc383521150"/>
      <w:r w:rsidRPr="00992AA5">
        <w:rPr>
          <w:sz w:val="22"/>
          <w:szCs w:val="22"/>
          <w:lang w:val="pl-PL"/>
        </w:rPr>
        <w:t>Kanalizacja i infrastruktura</w:t>
      </w:r>
      <w:bookmarkEnd w:id="103"/>
      <w:bookmarkEnd w:id="104"/>
      <w:bookmarkEnd w:id="105"/>
      <w:bookmarkEnd w:id="106"/>
      <w:bookmarkEnd w:id="107"/>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długości oraz kosztu realizacji inwestycji i kosztu montażu typów kanalizacji stosowanych w </w:t>
      </w:r>
      <w:r w:rsidR="009C7A88" w:rsidRPr="00992AA5">
        <w:rPr>
          <w:lang w:val="pl-PL"/>
        </w:rPr>
        <w:t>OPL</w:t>
      </w:r>
      <w:r w:rsidRPr="00992AA5">
        <w:rPr>
          <w:lang w:val="pl-PL"/>
        </w:rPr>
        <w:t>. Koszt montażu wylicza się na podstawie programu kosztorysowego "Zuzia"</w:t>
      </w:r>
      <w:r w:rsidR="00B104E8" w:rsidRPr="00992AA5">
        <w:rPr>
          <w:lang w:val="pl-PL"/>
        </w:rPr>
        <w:t xml:space="preserve"> oraz Cennika Sieciowych Usług Budowlanych stanowiącego załącznik do umów zawartych z wykonawcami</w:t>
      </w:r>
      <w:r w:rsidRPr="00992AA5">
        <w:rPr>
          <w:lang w:val="pl-PL"/>
        </w:rPr>
        <w:t xml:space="preserve">. Dane o wolumenach kanalizacji pozyskuje się z ankiet wypełnianych na podstawie sprawozdawczości wewnętrznej </w:t>
      </w:r>
      <w:r w:rsidR="009C7A88" w:rsidRPr="00992AA5">
        <w:rPr>
          <w:lang w:val="pl-PL"/>
        </w:rPr>
        <w:t>OPL</w:t>
      </w:r>
      <w:r w:rsidRPr="00992AA5">
        <w:rPr>
          <w:lang w:val="pl-PL"/>
        </w:rPr>
        <w:t xml:space="preserve">. Ceny poszczególnych elementów pozyskuje się z umów zawartych 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w:t>
      </w:r>
      <w:r w:rsidRPr="00992AA5">
        <w:rPr>
          <w:lang w:val="pl-PL"/>
        </w:rPr>
        <w:lastRenderedPageBreak/>
        <w:t>za utrudnienie ruchu, opłaty za nadzory branżowe) ustala się na podstawie umów zawartych z wykonawcami. Koszty dodatkowe realizacji inwestycji dotyczące odszkodowań ustala się na podstawie zrealizowanych inwestycji. Od wyznaczonej wartości odejmuje się koszt kanalizacji pierwotnej wykorzystywanej przez sieć transmisyjną.</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08" w:name="_Toc136053950"/>
      <w:bookmarkStart w:id="109" w:name="_Toc154381919"/>
      <w:bookmarkStart w:id="110" w:name="_Toc169500109"/>
      <w:bookmarkStart w:id="111" w:name="_Toc314727590"/>
      <w:bookmarkStart w:id="112" w:name="_Toc383521151"/>
      <w:r w:rsidRPr="00992AA5">
        <w:rPr>
          <w:sz w:val="22"/>
          <w:szCs w:val="22"/>
          <w:lang w:val="pl-PL"/>
        </w:rPr>
        <w:t>Puszka lub skrzynka kablowa</w:t>
      </w:r>
      <w:bookmarkEnd w:id="108"/>
      <w:bookmarkEnd w:id="109"/>
      <w:bookmarkEnd w:id="110"/>
      <w:bookmarkEnd w:id="111"/>
      <w:bookmarkEnd w:id="112"/>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liczby skrzynek, puszek, słupków, głowic oraz kosztu realizacji inwestycji i kosztu montażu elementów stosowanych w </w:t>
      </w:r>
      <w:r w:rsidR="009C7A88" w:rsidRPr="00992AA5">
        <w:rPr>
          <w:lang w:val="pl-PL"/>
        </w:rPr>
        <w:t>OPL</w:t>
      </w:r>
      <w:r w:rsidRPr="00992AA5">
        <w:rPr>
          <w:lang w:val="pl-PL"/>
        </w:rPr>
        <w:t xml:space="preserve">. Koszt montażu wylicza się na podstawie programu kosztorysowego "Zuzia" </w:t>
      </w:r>
      <w:r w:rsidR="00B104E8" w:rsidRPr="00992AA5">
        <w:rPr>
          <w:lang w:val="pl-PL"/>
        </w:rPr>
        <w:t>oraz Cennika Sieciowych Usług Budowlanych stanowiącego załącznik do umów zawartych z wykonawcami</w:t>
      </w:r>
      <w:r w:rsidRPr="00992AA5">
        <w:rPr>
          <w:lang w:val="pl-PL"/>
        </w:rPr>
        <w:t>.</w:t>
      </w:r>
      <w:r w:rsidR="00B104E8" w:rsidRPr="00992AA5">
        <w:rPr>
          <w:lang w:val="pl-PL"/>
        </w:rPr>
        <w:t xml:space="preserve"> </w:t>
      </w:r>
      <w:r w:rsidRPr="00992AA5">
        <w:rPr>
          <w:lang w:val="pl-PL"/>
        </w:rPr>
        <w:t xml:space="preserve">Dane o wolumenach elementów sieci pozyskuje się z ankiet wypełnianych na podstawie sprawozdawczości wewnętrznej </w:t>
      </w:r>
      <w:r w:rsidR="009C7A88" w:rsidRPr="00992AA5">
        <w:rPr>
          <w:lang w:val="pl-PL"/>
        </w:rPr>
        <w:t>OPL</w:t>
      </w:r>
      <w:r w:rsidRPr="00992AA5">
        <w:rPr>
          <w:lang w:val="pl-PL"/>
        </w:rPr>
        <w:t xml:space="preserve">. Ceny poszczególnych elementów pozyskuje się z umów zawartych </w:t>
      </w:r>
      <w:r w:rsidR="00073C78" w:rsidRPr="00992AA5">
        <w:rPr>
          <w:lang w:val="pl-PL"/>
        </w:rPr>
        <w:br/>
      </w:r>
      <w:r w:rsidRPr="00992AA5">
        <w:rPr>
          <w:lang w:val="pl-PL"/>
        </w:rPr>
        <w:t>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za utrudnienie ruchu, opłaty za nadzory branżowe) ustala się na podstawie umów zawartych z wykonawcami. Koszty dodatkowe realizacji inwestycji dotyczące odszkodowań ustala się na podstawie zrealizowanych inwestycji.</w:t>
      </w:r>
      <w:r w:rsidR="00A937A5" w:rsidRPr="00992AA5">
        <w:rPr>
          <w:lang w:val="pl-PL"/>
        </w:rPr>
        <w:t xml:space="preserve"> </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13" w:name="_Toc136053951"/>
      <w:bookmarkStart w:id="114" w:name="_Toc154381920"/>
      <w:bookmarkStart w:id="115" w:name="_Toc169500110"/>
      <w:bookmarkStart w:id="116" w:name="_Toc314727591"/>
      <w:bookmarkStart w:id="117" w:name="_Toc383521152"/>
      <w:r w:rsidRPr="00992AA5">
        <w:rPr>
          <w:sz w:val="22"/>
          <w:szCs w:val="22"/>
          <w:lang w:val="pl-PL"/>
        </w:rPr>
        <w:t>Szafa kablowa</w:t>
      </w:r>
      <w:bookmarkEnd w:id="113"/>
      <w:bookmarkEnd w:id="114"/>
      <w:bookmarkEnd w:id="115"/>
      <w:bookmarkEnd w:id="116"/>
      <w:bookmarkEnd w:id="117"/>
    </w:p>
    <w:p w:rsidR="00B92BFC" w:rsidRPr="00992AA5" w:rsidRDefault="00B92BFC" w:rsidP="00EB6C89">
      <w:pPr>
        <w:spacing w:before="120" w:line="240" w:lineRule="auto"/>
        <w:rPr>
          <w:lang w:val="pl-PL"/>
        </w:rPr>
      </w:pPr>
      <w:r w:rsidRPr="00992AA5">
        <w:rPr>
          <w:lang w:val="pl-PL"/>
        </w:rPr>
        <w:t>Wartość bieżącą wyznacza się za pomocą metody wyceny bezpośredniej. Wartość bieżącą ustala się na podstawie liczby szaf kablowych oraz kosztu realizacji inwestycji i kosztu montażu elementów stosowanych w TP. Koszt montażu wylicza się na podstawie programu kosztorysowego "Zuzia"</w:t>
      </w:r>
      <w:r w:rsidR="00B104E8" w:rsidRPr="00992AA5">
        <w:rPr>
          <w:lang w:val="pl-PL"/>
        </w:rPr>
        <w:t xml:space="preserve"> oraz Cennika Sieciowych Usług Budowlanych stanowiącego załącznik do umów zawartych z wykonawcami.</w:t>
      </w:r>
      <w:r w:rsidRPr="00992AA5" w:rsidDel="004678C5">
        <w:rPr>
          <w:lang w:val="pl-PL"/>
        </w:rPr>
        <w:t xml:space="preserve"> </w:t>
      </w:r>
      <w:r w:rsidRPr="00992AA5">
        <w:rPr>
          <w:lang w:val="pl-PL"/>
        </w:rPr>
        <w:t xml:space="preserve">Dane o wolumenach elementów sieci pozyskuje się z ankiet wypełnianych na podstawie sprawozdawczości wewnętrznej </w:t>
      </w:r>
      <w:r w:rsidR="009C7A88" w:rsidRPr="00992AA5">
        <w:rPr>
          <w:lang w:val="pl-PL"/>
        </w:rPr>
        <w:t>OPL</w:t>
      </w:r>
      <w:r w:rsidRPr="00992AA5">
        <w:rPr>
          <w:lang w:val="pl-PL"/>
        </w:rPr>
        <w:t>. Ceny poszczególnych elementów pozyskuje się z umów zawartych 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za utrudnienie ruchu, opłaty za nadzory branżowe) ustala się na podstawie umów zawartych z wykonawcami. Koszty dodatkowe realizacji inwestycji dotyczące odszkodowań ustala się na podstawie zrealizowanych inwestycji.</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18" w:name="_Toc136053952"/>
      <w:bookmarkStart w:id="119" w:name="_Toc154381921"/>
      <w:bookmarkStart w:id="120" w:name="_Toc169500111"/>
      <w:bookmarkStart w:id="121" w:name="_Toc314727592"/>
      <w:bookmarkStart w:id="122" w:name="_Toc383521153"/>
      <w:r w:rsidRPr="00992AA5">
        <w:rPr>
          <w:sz w:val="22"/>
          <w:szCs w:val="22"/>
          <w:lang w:val="pl-PL"/>
        </w:rPr>
        <w:t>Przełącznice główne</w:t>
      </w:r>
      <w:bookmarkEnd w:id="118"/>
      <w:bookmarkEnd w:id="119"/>
      <w:bookmarkEnd w:id="120"/>
      <w:bookmarkEnd w:id="121"/>
      <w:bookmarkEnd w:id="122"/>
    </w:p>
    <w:p w:rsidR="00B92BFC" w:rsidRPr="00992AA5" w:rsidRDefault="00B92BFC" w:rsidP="00EB6C89">
      <w:pPr>
        <w:spacing w:before="120" w:line="240" w:lineRule="auto"/>
        <w:rPr>
          <w:lang w:val="pl-PL"/>
        </w:rPr>
      </w:pPr>
      <w:r w:rsidRPr="00992AA5">
        <w:rPr>
          <w:lang w:val="pl-PL"/>
        </w:rPr>
        <w:t>Wartość bieżącą wyznacza się za pomocą metody wyceny bezpośredniej. Wartość bieżącą ustala się na podstawie nominalnej pojemności i wysokości przełącznic oraz kosztu rozszycia par kabli miedzianych. Koszt rozszycia par kabli miedzianych wylicza się na podstawie programu kosztorysowego "Zuzia"</w:t>
      </w:r>
      <w:r w:rsidR="00B104E8" w:rsidRPr="00992AA5">
        <w:rPr>
          <w:lang w:val="pl-PL"/>
        </w:rPr>
        <w:t xml:space="preserve"> oraz Cennika Sieciowych Usług Budowlanych stanowiącego załącznik do umów zawartych z wykonawcami</w:t>
      </w:r>
      <w:r w:rsidRPr="00992AA5">
        <w:rPr>
          <w:lang w:val="pl-PL"/>
        </w:rPr>
        <w:t xml:space="preserve">. Dane </w:t>
      </w:r>
      <w:r w:rsidR="00073C78" w:rsidRPr="00992AA5">
        <w:rPr>
          <w:lang w:val="pl-PL"/>
        </w:rPr>
        <w:br/>
      </w:r>
      <w:r w:rsidRPr="00992AA5">
        <w:rPr>
          <w:lang w:val="pl-PL"/>
        </w:rPr>
        <w:t xml:space="preserve">o wolumenach pojemności i wysokości przełącznic pozyskuje się z ankiet wypełnianych na podstawie sprawozdawczości wewnętrznej </w:t>
      </w:r>
      <w:r w:rsidR="009C7A88" w:rsidRPr="00992AA5">
        <w:rPr>
          <w:lang w:val="pl-PL"/>
        </w:rPr>
        <w:t>OPL</w:t>
      </w:r>
      <w:r w:rsidRPr="00992AA5">
        <w:rPr>
          <w:lang w:val="pl-PL"/>
        </w:rPr>
        <w:t>. Ceny poszczególnych elementów pozyskuje się z umów zawartych z dostawcami sprzętu.</w:t>
      </w:r>
    </w:p>
    <w:p w:rsidR="00B92BFC" w:rsidRPr="00992AA5" w:rsidRDefault="00B92BFC" w:rsidP="00F50D4C">
      <w:pPr>
        <w:pStyle w:val="MIKNagwek2"/>
        <w:ind w:hanging="1276"/>
        <w:rPr>
          <w:sz w:val="22"/>
          <w:szCs w:val="22"/>
        </w:rPr>
      </w:pPr>
      <w:bookmarkStart w:id="123" w:name="_Toc136053953"/>
      <w:bookmarkStart w:id="124" w:name="_Toc154381922"/>
      <w:bookmarkStart w:id="125" w:name="_Toc169500112"/>
      <w:bookmarkStart w:id="126" w:name="_Toc314727593"/>
      <w:bookmarkStart w:id="127" w:name="_Toc383521154"/>
      <w:r w:rsidRPr="00992AA5">
        <w:rPr>
          <w:sz w:val="22"/>
          <w:szCs w:val="22"/>
        </w:rPr>
        <w:t>Urządzenia w sieci dostępowej</w:t>
      </w:r>
      <w:bookmarkEnd w:id="123"/>
      <w:bookmarkEnd w:id="124"/>
      <w:bookmarkEnd w:id="125"/>
      <w:bookmarkEnd w:id="126"/>
      <w:bookmarkEnd w:id="127"/>
    </w:p>
    <w:p w:rsidR="00B92BFC" w:rsidRPr="00992AA5" w:rsidRDefault="00B92BFC" w:rsidP="00EB6C89">
      <w:pPr>
        <w:pStyle w:val="MIKNagwek1"/>
        <w:numPr>
          <w:ilvl w:val="0"/>
          <w:numId w:val="0"/>
        </w:numPr>
        <w:spacing w:before="120" w:after="0" w:line="240" w:lineRule="auto"/>
        <w:ind w:left="1134" w:hanging="1134"/>
        <w:rPr>
          <w:sz w:val="22"/>
          <w:szCs w:val="22"/>
        </w:rPr>
      </w:pPr>
      <w:bookmarkStart w:id="128" w:name="_Toc136053954"/>
      <w:bookmarkStart w:id="129" w:name="_Toc154381923"/>
      <w:bookmarkStart w:id="130" w:name="_Toc169500113"/>
      <w:bookmarkStart w:id="131" w:name="_Toc314727594"/>
      <w:bookmarkStart w:id="132" w:name="_Toc383521155"/>
      <w:r w:rsidRPr="00992AA5">
        <w:rPr>
          <w:sz w:val="22"/>
          <w:szCs w:val="22"/>
        </w:rPr>
        <w:t>PCM</w:t>
      </w:r>
      <w:bookmarkEnd w:id="128"/>
      <w:bookmarkEnd w:id="129"/>
      <w:bookmarkEnd w:id="130"/>
      <w:bookmarkEnd w:id="131"/>
      <w:bookmarkEnd w:id="132"/>
    </w:p>
    <w:p w:rsidR="00A8466E" w:rsidRPr="00992AA5" w:rsidRDefault="00A8466E" w:rsidP="00EB6C89">
      <w:pPr>
        <w:spacing w:before="120" w:line="240" w:lineRule="auto"/>
        <w:rPr>
          <w:lang w:val="pl-PL"/>
        </w:rPr>
      </w:pPr>
      <w:r w:rsidRPr="00992AA5">
        <w:rPr>
          <w:lang w:val="pl-PL"/>
        </w:rPr>
        <w:t xml:space="preserve">Wartość bieżącą urządzeń PCM ustala się na bazie kosztu historycznego. </w:t>
      </w:r>
      <w:r w:rsidR="004F5150" w:rsidRPr="00992AA5">
        <w:rPr>
          <w:lang w:val="pl-PL"/>
        </w:rPr>
        <w:t>D</w:t>
      </w:r>
      <w:r w:rsidRPr="00992AA5">
        <w:rPr>
          <w:lang w:val="pl-PL"/>
        </w:rPr>
        <w:t xml:space="preserve">o wyceny wykorzystuje się informacje o wartości brutto środków trwałych na dzień 31 grudnia </w:t>
      </w:r>
      <w:r w:rsidR="005B24B6" w:rsidRPr="00992AA5">
        <w:rPr>
          <w:lang w:val="pl-PL"/>
        </w:rPr>
        <w:t>2013</w:t>
      </w:r>
      <w:r w:rsidRPr="00992AA5">
        <w:rPr>
          <w:lang w:val="pl-PL"/>
        </w:rPr>
        <w:t xml:space="preserve"> roku pozyskane z systemu ewidencji środków trwałych.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33" w:name="_Toc154381924"/>
      <w:bookmarkStart w:id="134" w:name="_Toc169500114"/>
      <w:bookmarkStart w:id="135" w:name="_Toc314727595"/>
      <w:bookmarkStart w:id="136" w:name="_Toc383521156"/>
      <w:r w:rsidRPr="00992AA5">
        <w:rPr>
          <w:sz w:val="22"/>
          <w:szCs w:val="22"/>
          <w:lang w:val="pl-PL"/>
        </w:rPr>
        <w:lastRenderedPageBreak/>
        <w:t>ISDN – NT</w:t>
      </w:r>
      <w:bookmarkEnd w:id="133"/>
      <w:bookmarkEnd w:id="134"/>
      <w:bookmarkEnd w:id="135"/>
      <w:bookmarkEnd w:id="136"/>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ilości urządzeń. Dane o wolumenach urządzeń pozyskuje się z ankiet wypełnianych na podstawie sprawozdawczości wewnętrznej </w:t>
      </w:r>
      <w:r w:rsidR="009C7A88" w:rsidRPr="00992AA5">
        <w:rPr>
          <w:lang w:val="pl-PL"/>
        </w:rPr>
        <w:t>OPL</w:t>
      </w:r>
      <w:r w:rsidRPr="00992AA5">
        <w:rPr>
          <w:lang w:val="pl-PL"/>
        </w:rPr>
        <w:t>. Ceny poszczególnych elementów pozyskuje się z umów zawartych z dostawcami sprzętu.</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37" w:name="_Toc136053955"/>
      <w:bookmarkStart w:id="138" w:name="_Toc154381925"/>
      <w:bookmarkStart w:id="139" w:name="_Toc169500115"/>
      <w:bookmarkStart w:id="140" w:name="_Toc314727596"/>
      <w:bookmarkStart w:id="141" w:name="_Toc383521157"/>
      <w:r w:rsidRPr="00992AA5">
        <w:rPr>
          <w:sz w:val="22"/>
          <w:szCs w:val="22"/>
          <w:lang w:val="pl-PL"/>
        </w:rPr>
        <w:t>HDSL - NT</w:t>
      </w:r>
      <w:bookmarkEnd w:id="137"/>
      <w:bookmarkEnd w:id="138"/>
      <w:bookmarkEnd w:id="139"/>
      <w:bookmarkEnd w:id="140"/>
      <w:bookmarkEnd w:id="141"/>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ilości urządzeń. Dane o wolumenach urządzeń pozyskuje się z ankiet wypełnianych na podstawie sprawozdawczości wewnętrznej </w:t>
      </w:r>
      <w:r w:rsidR="009C7A88" w:rsidRPr="00992AA5">
        <w:rPr>
          <w:lang w:val="pl-PL"/>
        </w:rPr>
        <w:t>OPL</w:t>
      </w:r>
      <w:r w:rsidRPr="00992AA5">
        <w:rPr>
          <w:lang w:val="pl-PL"/>
        </w:rPr>
        <w:t>. Ceny poszczególnych elementów pozyskuje się z umów zawartych z dostawcami sprzętu.</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42" w:name="_Toc136053956"/>
      <w:bookmarkStart w:id="143" w:name="_Toc154381926"/>
      <w:bookmarkStart w:id="144" w:name="_Toc169500116"/>
      <w:bookmarkStart w:id="145" w:name="_Toc314727597"/>
      <w:bookmarkStart w:id="146" w:name="_Toc383521158"/>
      <w:r w:rsidRPr="00992AA5">
        <w:rPr>
          <w:sz w:val="22"/>
          <w:szCs w:val="22"/>
          <w:lang w:val="pl-PL"/>
        </w:rPr>
        <w:t>ADSL – NT</w:t>
      </w:r>
      <w:bookmarkEnd w:id="142"/>
      <w:bookmarkEnd w:id="143"/>
      <w:bookmarkEnd w:id="144"/>
      <w:bookmarkEnd w:id="145"/>
      <w:bookmarkEnd w:id="146"/>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ilości urządzeń. Dane o wolumenach urządzeń pozyskuje się z ankiet wypełnianych na podstawie sprawozdawczości wewnętrznej </w:t>
      </w:r>
      <w:r w:rsidR="009C7A88" w:rsidRPr="00992AA5">
        <w:rPr>
          <w:lang w:val="pl-PL"/>
        </w:rPr>
        <w:t>OPL</w:t>
      </w:r>
      <w:r w:rsidRPr="00992AA5">
        <w:rPr>
          <w:lang w:val="pl-PL"/>
        </w:rPr>
        <w:t>. Ceny poszczególnych elementów pozyskuje się z umów zawartych z dostawcami sprzętu.</w:t>
      </w:r>
    </w:p>
    <w:p w:rsidR="00B92BFC" w:rsidRPr="00992AA5" w:rsidRDefault="00B92BFC" w:rsidP="00F50D4C">
      <w:pPr>
        <w:pStyle w:val="MIKNagwek2"/>
        <w:ind w:hanging="1276"/>
        <w:rPr>
          <w:sz w:val="22"/>
          <w:szCs w:val="22"/>
        </w:rPr>
      </w:pPr>
      <w:bookmarkStart w:id="147" w:name="_Toc136053958"/>
      <w:bookmarkStart w:id="148" w:name="_Toc154381927"/>
      <w:bookmarkStart w:id="149" w:name="_Toc169500117"/>
      <w:bookmarkStart w:id="150" w:name="_Toc314727598"/>
      <w:bookmarkStart w:id="151" w:name="_Toc383521159"/>
      <w:r w:rsidRPr="00992AA5">
        <w:rPr>
          <w:sz w:val="22"/>
          <w:szCs w:val="22"/>
        </w:rPr>
        <w:t>Systemy d</w:t>
      </w:r>
      <w:r w:rsidRPr="00992AA5" w:rsidDel="00386AE1">
        <w:rPr>
          <w:sz w:val="22"/>
          <w:szCs w:val="22"/>
        </w:rPr>
        <w:t>ostępowe</w:t>
      </w:r>
      <w:bookmarkEnd w:id="147"/>
      <w:bookmarkEnd w:id="148"/>
      <w:bookmarkEnd w:id="149"/>
      <w:bookmarkEnd w:id="150"/>
      <w:bookmarkEnd w:id="151"/>
    </w:p>
    <w:p w:rsidR="00B92BFC" w:rsidRPr="00992AA5" w:rsidRDefault="00B92BFC" w:rsidP="00F50D4C">
      <w:pPr>
        <w:pStyle w:val="MIKNagwek2"/>
        <w:ind w:hanging="1276"/>
        <w:rPr>
          <w:sz w:val="22"/>
          <w:szCs w:val="22"/>
        </w:rPr>
      </w:pPr>
      <w:bookmarkStart w:id="152" w:name="_Toc136053959"/>
      <w:bookmarkStart w:id="153" w:name="_Toc154381928"/>
      <w:bookmarkStart w:id="154" w:name="_Toc169500118"/>
      <w:bookmarkStart w:id="155" w:name="_Toc314727599"/>
      <w:bookmarkStart w:id="156" w:name="_Toc383521160"/>
      <w:r w:rsidRPr="00992AA5">
        <w:rPr>
          <w:sz w:val="22"/>
          <w:szCs w:val="22"/>
        </w:rPr>
        <w:t>Dostęp bezprzewodowy</w:t>
      </w:r>
      <w:bookmarkEnd w:id="152"/>
      <w:bookmarkEnd w:id="153"/>
      <w:bookmarkEnd w:id="154"/>
      <w:bookmarkEnd w:id="155"/>
      <w:bookmarkEnd w:id="156"/>
    </w:p>
    <w:p w:rsidR="00B92BFC" w:rsidRPr="00992AA5" w:rsidRDefault="00B92BFC" w:rsidP="00EB6C89">
      <w:pPr>
        <w:pStyle w:val="MIKNagwek1"/>
        <w:numPr>
          <w:ilvl w:val="0"/>
          <w:numId w:val="0"/>
        </w:numPr>
        <w:spacing w:before="120" w:after="0" w:line="240" w:lineRule="auto"/>
        <w:ind w:left="1134" w:hanging="1134"/>
        <w:rPr>
          <w:sz w:val="22"/>
          <w:szCs w:val="22"/>
        </w:rPr>
      </w:pPr>
      <w:bookmarkStart w:id="157" w:name="_Toc136053960"/>
      <w:bookmarkStart w:id="158" w:name="_Toc154381929"/>
      <w:bookmarkStart w:id="159" w:name="_Toc169500119"/>
      <w:bookmarkStart w:id="160" w:name="_Toc314727600"/>
      <w:bookmarkStart w:id="161" w:name="_Toc383521161"/>
      <w:r w:rsidRPr="00992AA5">
        <w:rPr>
          <w:sz w:val="22"/>
          <w:szCs w:val="22"/>
        </w:rPr>
        <w:t xml:space="preserve">DPS - </w:t>
      </w:r>
      <w:proofErr w:type="spellStart"/>
      <w:r w:rsidRPr="00992AA5">
        <w:rPr>
          <w:sz w:val="22"/>
          <w:szCs w:val="22"/>
        </w:rPr>
        <w:t>dostęp</w:t>
      </w:r>
      <w:proofErr w:type="spellEnd"/>
      <w:r w:rsidRPr="00992AA5">
        <w:rPr>
          <w:sz w:val="22"/>
          <w:szCs w:val="22"/>
        </w:rPr>
        <w:t xml:space="preserve"> </w:t>
      </w:r>
      <w:proofErr w:type="spellStart"/>
      <w:r w:rsidRPr="00992AA5">
        <w:rPr>
          <w:sz w:val="22"/>
          <w:szCs w:val="22"/>
        </w:rPr>
        <w:t>bezprzewodowy</w:t>
      </w:r>
      <w:proofErr w:type="spellEnd"/>
      <w:r w:rsidRPr="00992AA5">
        <w:rPr>
          <w:sz w:val="22"/>
          <w:szCs w:val="22"/>
        </w:rPr>
        <w:t xml:space="preserve"> –POTS</w:t>
      </w:r>
      <w:bookmarkEnd w:id="157"/>
      <w:bookmarkEnd w:id="158"/>
      <w:bookmarkEnd w:id="159"/>
      <w:bookmarkEnd w:id="160"/>
      <w:bookmarkEnd w:id="161"/>
    </w:p>
    <w:p w:rsidR="00B92BFC" w:rsidRPr="00992AA5" w:rsidRDefault="00B92BFC" w:rsidP="00EB6C89">
      <w:pPr>
        <w:spacing w:before="120" w:line="240" w:lineRule="auto"/>
        <w:rPr>
          <w:lang w:val="pl-PL"/>
        </w:rPr>
      </w:pPr>
      <w:r w:rsidRPr="00992AA5">
        <w:rPr>
          <w:lang w:val="pl-PL"/>
        </w:rPr>
        <w:t xml:space="preserve">Do tej grupy została zaliczona część systemu dostępowego związana z zapewnieniem gotowości do świadczenia usługi dla abonentów. Wartość bieżącą wyznacza się za pomocą metody wyceny bezpośredniej. Na podstawie nominalnej liczby portów abonenckich oraz nominalnego ruchu generowanego przez abonentów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62" w:name="_Toc136053961"/>
      <w:bookmarkStart w:id="163" w:name="_Toc154381930"/>
      <w:bookmarkStart w:id="164" w:name="_Toc169500120"/>
      <w:bookmarkStart w:id="165" w:name="_Toc314727601"/>
      <w:bookmarkStart w:id="166" w:name="_Toc383521162"/>
      <w:r w:rsidRPr="00992AA5">
        <w:rPr>
          <w:sz w:val="22"/>
          <w:szCs w:val="22"/>
          <w:lang w:val="pl-PL"/>
        </w:rPr>
        <w:t>DPS - dostęp bezprzewodowy - Ruch</w:t>
      </w:r>
      <w:bookmarkEnd w:id="162"/>
      <w:bookmarkEnd w:id="163"/>
      <w:bookmarkEnd w:id="164"/>
      <w:bookmarkEnd w:id="165"/>
      <w:bookmarkEnd w:id="166"/>
    </w:p>
    <w:p w:rsidR="00B92BFC" w:rsidRPr="00992AA5" w:rsidRDefault="00B92BFC" w:rsidP="00EB6C89">
      <w:pPr>
        <w:spacing w:before="120" w:line="240" w:lineRule="auto"/>
        <w:rPr>
          <w:lang w:val="pl-PL"/>
        </w:rPr>
      </w:pPr>
      <w:r w:rsidRPr="00992AA5">
        <w:rPr>
          <w:lang w:val="pl-PL"/>
        </w:rPr>
        <w:t xml:space="preserve">Do tej grupy wchodzi część systemu dostępowego związana z przetworzeniem ruchu wygenerowanego przez abonentów podłączonych do ww. urządzeń. Wartość bieżącą wyznacza się za pomocą metody wyceny bezpośredniej. Na podstawie nominalnej liczby portów abonenckich oraz nominalnego ruchu generowanego przez abonentów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05979" w:rsidRPr="00992AA5">
        <w:rPr>
          <w:lang w:val="pl-PL"/>
        </w:rPr>
        <w:t xml:space="preserve">OPL </w:t>
      </w:r>
      <w:r w:rsidRPr="00992AA5">
        <w:rPr>
          <w:lang w:val="pl-PL"/>
        </w:rPr>
        <w:t>oraz systemu ewidencji zasobów telekomunikacyjnych.</w:t>
      </w:r>
    </w:p>
    <w:p w:rsidR="00B92BFC" w:rsidRPr="00992AA5" w:rsidRDefault="00B92BFC" w:rsidP="00F50D4C">
      <w:pPr>
        <w:pStyle w:val="MIKNagwek2"/>
        <w:ind w:hanging="1134"/>
        <w:rPr>
          <w:sz w:val="22"/>
          <w:szCs w:val="22"/>
        </w:rPr>
      </w:pPr>
      <w:bookmarkStart w:id="167" w:name="_Toc136053962"/>
      <w:bookmarkStart w:id="168" w:name="_Toc154381931"/>
      <w:bookmarkStart w:id="169" w:name="_Toc169500121"/>
      <w:bookmarkStart w:id="170" w:name="_Toc314727602"/>
      <w:bookmarkStart w:id="171" w:name="_Toc383521163"/>
      <w:r w:rsidRPr="00992AA5">
        <w:rPr>
          <w:sz w:val="22"/>
          <w:szCs w:val="22"/>
        </w:rPr>
        <w:t>Dostęp przewodowy</w:t>
      </w:r>
      <w:bookmarkEnd w:id="167"/>
      <w:bookmarkEnd w:id="168"/>
      <w:bookmarkEnd w:id="169"/>
      <w:bookmarkEnd w:id="170"/>
      <w:bookmarkEnd w:id="171"/>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72" w:name="_Toc136053963"/>
      <w:bookmarkStart w:id="173" w:name="_Toc154381932"/>
      <w:bookmarkStart w:id="174" w:name="_Toc169500122"/>
      <w:bookmarkStart w:id="175" w:name="_Toc314727603"/>
      <w:bookmarkStart w:id="176" w:name="_Toc383521164"/>
      <w:r w:rsidRPr="00992AA5">
        <w:rPr>
          <w:sz w:val="22"/>
          <w:szCs w:val="22"/>
          <w:lang w:val="pl-PL"/>
        </w:rPr>
        <w:t>Systemy dostępowe - dostęp przewodowy – POTS</w:t>
      </w:r>
      <w:bookmarkEnd w:id="172"/>
      <w:bookmarkEnd w:id="173"/>
      <w:bookmarkEnd w:id="174"/>
      <w:bookmarkEnd w:id="175"/>
      <w:bookmarkEnd w:id="176"/>
    </w:p>
    <w:p w:rsidR="00B92BFC" w:rsidRPr="00992AA5" w:rsidRDefault="00B92BFC" w:rsidP="00EB6C89">
      <w:pPr>
        <w:spacing w:before="120" w:line="240" w:lineRule="auto"/>
        <w:rPr>
          <w:lang w:val="pl-PL"/>
        </w:rPr>
      </w:pPr>
      <w:r w:rsidRPr="00992AA5">
        <w:rPr>
          <w:lang w:val="pl-PL"/>
        </w:rPr>
        <w:t xml:space="preserve">Do tej grupy została zaliczona część systemu dostępowego związana z zapewnieniem gotowości do świadczenia usługi dla abonentów POTS. Wartość bieżącą wyznacza się </w:t>
      </w:r>
      <w:r w:rsidR="00073C78" w:rsidRPr="00992AA5">
        <w:rPr>
          <w:lang w:val="pl-PL"/>
        </w:rPr>
        <w:br/>
      </w:r>
      <w:r w:rsidRPr="00992AA5">
        <w:rPr>
          <w:lang w:val="pl-PL"/>
        </w:rPr>
        <w:t>za pomocą metody wyceny bezpośredniej i/lub MEA. Na podstawie nominalnej liczby portów abonenckich oraz nominalnego ruchu generowanego przez abonentów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TP</w:t>
      </w:r>
      <w:r w:rsidR="00436F44" w:rsidRPr="00992AA5">
        <w:rPr>
          <w:lang w:val="pl-PL"/>
        </w:rPr>
        <w:t xml:space="preserve"> OPL</w:t>
      </w:r>
      <w:r w:rsidRPr="00992AA5">
        <w:rPr>
          <w:lang w:val="pl-PL"/>
        </w:rPr>
        <w:t xml:space="preserve"> 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77" w:name="_Toc136053964"/>
      <w:bookmarkStart w:id="178" w:name="_Toc154381933"/>
      <w:bookmarkStart w:id="179" w:name="_Toc169500123"/>
      <w:bookmarkStart w:id="180" w:name="_Toc314727604"/>
      <w:bookmarkStart w:id="181" w:name="_Toc383521165"/>
      <w:r w:rsidRPr="00992AA5">
        <w:rPr>
          <w:sz w:val="22"/>
          <w:szCs w:val="22"/>
          <w:lang w:val="pl-PL"/>
        </w:rPr>
        <w:lastRenderedPageBreak/>
        <w:t>Systemy dostępowe - dostęp przewodowy – ISDN</w:t>
      </w:r>
      <w:bookmarkEnd w:id="177"/>
      <w:bookmarkEnd w:id="178"/>
      <w:bookmarkEnd w:id="179"/>
      <w:r w:rsidR="00C37CF4" w:rsidRPr="00992AA5">
        <w:rPr>
          <w:sz w:val="22"/>
          <w:szCs w:val="22"/>
          <w:lang w:val="pl-PL"/>
        </w:rPr>
        <w:t xml:space="preserve"> BRA</w:t>
      </w:r>
      <w:bookmarkEnd w:id="180"/>
      <w:bookmarkEnd w:id="181"/>
    </w:p>
    <w:p w:rsidR="00B92BFC" w:rsidRPr="00992AA5" w:rsidRDefault="00B92BFC" w:rsidP="00EB6C89">
      <w:pPr>
        <w:spacing w:before="120" w:line="240" w:lineRule="auto"/>
        <w:rPr>
          <w:lang w:val="pl-PL"/>
        </w:rPr>
      </w:pPr>
      <w:r w:rsidRPr="00992AA5">
        <w:rPr>
          <w:lang w:val="pl-PL"/>
        </w:rPr>
        <w:t>Do tej grupy została zaliczona część systemu dostępowego związana z zapewnieniem gotowości do świadczenia usługi dla abonentów ISDN</w:t>
      </w:r>
      <w:r w:rsidR="00C37CF4" w:rsidRPr="00992AA5">
        <w:rPr>
          <w:lang w:val="pl-PL"/>
        </w:rPr>
        <w:t xml:space="preserve"> BRA</w:t>
      </w:r>
      <w:r w:rsidRPr="00992AA5">
        <w:rPr>
          <w:lang w:val="pl-PL"/>
        </w:rPr>
        <w:t xml:space="preserve">. Wartość bieżącą wyznacza się za pomocą metody wyceny bezpośredniej  i/lub MEA. Na podstawie nominalnej liczby portów abonenckich oraz nominalnego ruchu generowanego przez abonentów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05979"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82" w:name="_Toc136053965"/>
      <w:bookmarkStart w:id="183" w:name="_Toc154381934"/>
      <w:bookmarkStart w:id="184" w:name="_Toc169500124"/>
      <w:bookmarkStart w:id="185" w:name="_Toc314727605"/>
      <w:bookmarkStart w:id="186" w:name="_Toc383521166"/>
      <w:r w:rsidRPr="00992AA5">
        <w:rPr>
          <w:sz w:val="22"/>
          <w:szCs w:val="22"/>
          <w:lang w:val="pl-PL"/>
        </w:rPr>
        <w:t xml:space="preserve">Systemy dostępowe - dostęp przewodowy – </w:t>
      </w:r>
      <w:bookmarkEnd w:id="182"/>
      <w:r w:rsidRPr="00992AA5">
        <w:rPr>
          <w:sz w:val="22"/>
          <w:szCs w:val="22"/>
          <w:lang w:val="pl-PL"/>
        </w:rPr>
        <w:t>HDSL</w:t>
      </w:r>
      <w:bookmarkEnd w:id="183"/>
      <w:bookmarkEnd w:id="184"/>
      <w:bookmarkEnd w:id="185"/>
      <w:bookmarkEnd w:id="186"/>
    </w:p>
    <w:p w:rsidR="00B92BFC" w:rsidRPr="00992AA5" w:rsidRDefault="00B92BFC" w:rsidP="00EB6C89">
      <w:pPr>
        <w:spacing w:before="120" w:line="240" w:lineRule="auto"/>
        <w:rPr>
          <w:lang w:val="pl-PL"/>
        </w:rPr>
      </w:pPr>
      <w:r w:rsidRPr="00992AA5">
        <w:rPr>
          <w:lang w:val="pl-PL"/>
        </w:rPr>
        <w:t xml:space="preserve">Do tej grupy została zaliczona część systemu dostępowego związana z zapewnieniem gotowości do świadczenia usług transmisji danych. Wartość bieżącą wyznacza się </w:t>
      </w:r>
      <w:r w:rsidR="00073C78" w:rsidRPr="00992AA5">
        <w:rPr>
          <w:lang w:val="pl-PL"/>
        </w:rPr>
        <w:br/>
      </w:r>
      <w:r w:rsidRPr="00992AA5">
        <w:rPr>
          <w:lang w:val="pl-PL"/>
        </w:rPr>
        <w:t xml:space="preserve">za pomocą metody wyceny bezpośredniej  i/lub MEA. Na podstawie nominalnej liczby portów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87" w:name="_Toc136053966"/>
      <w:bookmarkStart w:id="188" w:name="_Toc154381935"/>
      <w:bookmarkStart w:id="189" w:name="_Toc169500125"/>
      <w:bookmarkStart w:id="190" w:name="_Toc314727606"/>
      <w:bookmarkStart w:id="191" w:name="_Toc383521167"/>
      <w:r w:rsidRPr="00992AA5">
        <w:rPr>
          <w:sz w:val="22"/>
          <w:szCs w:val="22"/>
          <w:lang w:val="pl-PL"/>
        </w:rPr>
        <w:t>Systemy dostępowe - dostęp przewodowy – ADSL</w:t>
      </w:r>
      <w:bookmarkEnd w:id="187"/>
      <w:bookmarkEnd w:id="188"/>
      <w:bookmarkEnd w:id="189"/>
      <w:bookmarkEnd w:id="190"/>
      <w:bookmarkEnd w:id="191"/>
    </w:p>
    <w:p w:rsidR="00B92BFC" w:rsidRPr="00992AA5" w:rsidRDefault="00B92BFC" w:rsidP="00EB6C89">
      <w:pPr>
        <w:spacing w:before="120" w:line="240" w:lineRule="auto"/>
        <w:rPr>
          <w:lang w:val="pl-PL"/>
        </w:rPr>
      </w:pPr>
      <w:r w:rsidRPr="00992AA5">
        <w:rPr>
          <w:lang w:val="pl-PL"/>
        </w:rPr>
        <w:t xml:space="preserve">Do tej grupy została zaliczona część systemu dostępowego związana z zapewnieniem gotowości do świadczenia usługi stałego dostępu do Internetu. Wartość bieżącą wyznacza się za pomocą metody wyceny bezpośredniej  i/lub MEA. Na podstawie nominalnej liczby portów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192" w:name="_Toc136053967"/>
      <w:bookmarkStart w:id="193" w:name="_Toc154381936"/>
      <w:bookmarkStart w:id="194" w:name="_Toc169500126"/>
      <w:bookmarkStart w:id="195" w:name="_Toc314727607"/>
      <w:bookmarkStart w:id="196" w:name="_Toc383521168"/>
      <w:r w:rsidRPr="00992AA5">
        <w:rPr>
          <w:sz w:val="22"/>
          <w:szCs w:val="22"/>
          <w:lang w:val="pl-PL"/>
        </w:rPr>
        <w:t xml:space="preserve">Systemy dostępowe - dostęp przewodowy </w:t>
      </w:r>
      <w:bookmarkEnd w:id="192"/>
      <w:r w:rsidRPr="00992AA5">
        <w:rPr>
          <w:sz w:val="22"/>
          <w:szCs w:val="22"/>
          <w:lang w:val="pl-PL"/>
        </w:rPr>
        <w:t>– Transmisja</w:t>
      </w:r>
      <w:bookmarkEnd w:id="193"/>
      <w:bookmarkEnd w:id="194"/>
      <w:bookmarkEnd w:id="195"/>
      <w:bookmarkEnd w:id="196"/>
    </w:p>
    <w:p w:rsidR="00B92BFC" w:rsidRPr="00992AA5" w:rsidRDefault="00B92BFC" w:rsidP="00EB6C89">
      <w:pPr>
        <w:spacing w:before="120" w:line="240" w:lineRule="auto"/>
        <w:rPr>
          <w:lang w:val="pl-PL"/>
        </w:rPr>
      </w:pPr>
      <w:r w:rsidRPr="00992AA5">
        <w:rPr>
          <w:lang w:val="pl-PL"/>
        </w:rPr>
        <w:t xml:space="preserve">W skład tej grupy wchodzi część systemu dostępowego związana z przesłaniem ruchu oraz danych wygenerowanych przez abonentów podłączonych do przewodowych systemów dostępowych. Wartość bieżącą wyznacza się za pomocą metody wyceny bezpośredniej  i/lub MEA. Na podstawie nominalnej liczby portów abonenckich oraz nominalnego ruchu generowanego przez abonentów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F50D4C">
      <w:pPr>
        <w:pStyle w:val="MIKNagwek2"/>
        <w:ind w:hanging="1134"/>
        <w:rPr>
          <w:sz w:val="22"/>
          <w:szCs w:val="22"/>
        </w:rPr>
      </w:pPr>
      <w:bookmarkStart w:id="197" w:name="_Toc136053968"/>
      <w:bookmarkStart w:id="198" w:name="_Toc154381937"/>
      <w:bookmarkStart w:id="199" w:name="_Toc169500127"/>
      <w:bookmarkStart w:id="200" w:name="_Toc314727608"/>
      <w:bookmarkStart w:id="201" w:name="_Toc383521169"/>
      <w:r w:rsidRPr="00992AA5">
        <w:rPr>
          <w:sz w:val="22"/>
          <w:szCs w:val="22"/>
        </w:rPr>
        <w:t>Centrale</w:t>
      </w:r>
      <w:bookmarkEnd w:id="197"/>
      <w:bookmarkEnd w:id="198"/>
      <w:bookmarkEnd w:id="199"/>
      <w:bookmarkEnd w:id="200"/>
      <w:bookmarkEnd w:id="201"/>
    </w:p>
    <w:p w:rsidR="00217DC0" w:rsidRPr="00992AA5" w:rsidRDefault="00217DC0" w:rsidP="00EB6C89">
      <w:pPr>
        <w:pStyle w:val="Tekstpodstawowy"/>
        <w:spacing w:before="120"/>
        <w:rPr>
          <w:sz w:val="22"/>
          <w:szCs w:val="22"/>
        </w:rPr>
      </w:pPr>
      <w:r w:rsidRPr="00992AA5">
        <w:rPr>
          <w:sz w:val="22"/>
          <w:szCs w:val="22"/>
        </w:rPr>
        <w:t xml:space="preserve"> </w:t>
      </w:r>
      <w:r w:rsidR="00657E76" w:rsidRPr="00992AA5">
        <w:rPr>
          <w:bCs/>
          <w:sz w:val="22"/>
          <w:szCs w:val="22"/>
        </w:rPr>
        <w:t xml:space="preserve">Wprowadzenie do kalkulacji usług ISDN BRA oraz ISDN PRA powoduje konieczność powstania nowych modelowych elementów sieci lub procesów modelowych w modelach kalkulacyjnych oraz powstania nowych lub zmiany podejścia do wyceny dotychczasowych HCC. W przypadku grupy Centrale, należy dostosować modele inżynierskie wyceny, tak aby było możliwe wydzielenie części centrali (wydzielenie ISDN BRA i ISDN PRA) zależnej </w:t>
      </w:r>
      <w:r w:rsidR="00073C78" w:rsidRPr="00992AA5">
        <w:rPr>
          <w:bCs/>
          <w:sz w:val="22"/>
          <w:szCs w:val="22"/>
        </w:rPr>
        <w:br/>
      </w:r>
      <w:r w:rsidR="00657E76" w:rsidRPr="00992AA5">
        <w:rPr>
          <w:bCs/>
          <w:sz w:val="22"/>
          <w:szCs w:val="22"/>
        </w:rPr>
        <w:t>od dostępów BRA i zależnej od dostępów PRA</w:t>
      </w:r>
    </w:p>
    <w:p w:rsidR="00B92BFC" w:rsidRPr="00992AA5" w:rsidRDefault="00B92BFC" w:rsidP="00F50D4C">
      <w:pPr>
        <w:pStyle w:val="MIKNagwek2"/>
        <w:ind w:hanging="1134"/>
        <w:rPr>
          <w:sz w:val="22"/>
          <w:szCs w:val="22"/>
        </w:rPr>
      </w:pPr>
      <w:bookmarkStart w:id="202" w:name="_Toc136053969"/>
      <w:bookmarkStart w:id="203" w:name="_Toc154381938"/>
      <w:bookmarkStart w:id="204" w:name="_Toc169500128"/>
      <w:bookmarkStart w:id="205" w:name="_Toc314727609"/>
      <w:bookmarkStart w:id="206" w:name="_Toc383521170"/>
      <w:r w:rsidRPr="00992AA5">
        <w:rPr>
          <w:sz w:val="22"/>
          <w:szCs w:val="22"/>
        </w:rPr>
        <w:t>Obiekty wyniesione central</w:t>
      </w:r>
      <w:bookmarkEnd w:id="202"/>
      <w:bookmarkEnd w:id="203"/>
      <w:bookmarkEnd w:id="204"/>
      <w:bookmarkEnd w:id="205"/>
      <w:bookmarkEnd w:id="206"/>
    </w:p>
    <w:p w:rsidR="00B92BFC" w:rsidRPr="00992AA5" w:rsidRDefault="00B92BFC" w:rsidP="00EB6C89">
      <w:pPr>
        <w:pStyle w:val="MIKNagwek1"/>
        <w:numPr>
          <w:ilvl w:val="0"/>
          <w:numId w:val="0"/>
        </w:numPr>
        <w:spacing w:before="120" w:after="0" w:line="240" w:lineRule="auto"/>
        <w:ind w:left="1134" w:hanging="1134"/>
        <w:rPr>
          <w:sz w:val="22"/>
          <w:szCs w:val="22"/>
        </w:rPr>
      </w:pPr>
      <w:bookmarkStart w:id="207" w:name="_Toc136053970"/>
      <w:bookmarkStart w:id="208" w:name="_Toc154381939"/>
      <w:bookmarkStart w:id="209" w:name="_Toc169500129"/>
      <w:bookmarkStart w:id="210" w:name="_Toc314727610"/>
      <w:bookmarkStart w:id="211" w:name="_Toc383521171"/>
      <w:proofErr w:type="spellStart"/>
      <w:r w:rsidRPr="00992AA5">
        <w:rPr>
          <w:sz w:val="22"/>
          <w:szCs w:val="22"/>
        </w:rPr>
        <w:t>Obiekty</w:t>
      </w:r>
      <w:proofErr w:type="spellEnd"/>
      <w:r w:rsidRPr="00992AA5">
        <w:rPr>
          <w:sz w:val="22"/>
          <w:szCs w:val="22"/>
        </w:rPr>
        <w:t xml:space="preserve"> </w:t>
      </w:r>
      <w:proofErr w:type="spellStart"/>
      <w:r w:rsidRPr="00992AA5">
        <w:rPr>
          <w:sz w:val="22"/>
          <w:szCs w:val="22"/>
        </w:rPr>
        <w:t>wyniesione</w:t>
      </w:r>
      <w:proofErr w:type="spellEnd"/>
      <w:r w:rsidRPr="00992AA5">
        <w:rPr>
          <w:sz w:val="22"/>
          <w:szCs w:val="22"/>
        </w:rPr>
        <w:t xml:space="preserve"> central – POTS</w:t>
      </w:r>
      <w:bookmarkEnd w:id="207"/>
      <w:bookmarkEnd w:id="208"/>
      <w:bookmarkEnd w:id="209"/>
      <w:bookmarkEnd w:id="210"/>
      <w:bookmarkEnd w:id="211"/>
    </w:p>
    <w:p w:rsidR="00B92BFC" w:rsidRPr="00992AA5" w:rsidRDefault="00B92BFC" w:rsidP="00EB6C89">
      <w:pPr>
        <w:spacing w:before="120" w:line="240" w:lineRule="auto"/>
        <w:rPr>
          <w:lang w:val="pl-PL"/>
        </w:rPr>
      </w:pPr>
      <w:r w:rsidRPr="00992AA5">
        <w:rPr>
          <w:lang w:val="pl-PL"/>
        </w:rPr>
        <w:t xml:space="preserve">Do tej grupy została zaliczona część obiektu wyniesionego centrali związana z zapewnieniem gotowości do świadczenia usług dla abonentów POTS. Wartość bieżącą </w:t>
      </w:r>
      <w:r w:rsidRPr="00992AA5">
        <w:rPr>
          <w:lang w:val="pl-PL"/>
        </w:rPr>
        <w:lastRenderedPageBreak/>
        <w:t xml:space="preserve">wyznacza się za pomocą metody wyceny bezpośredniej. Na podstawie nominalnej liczby portów abonenckich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12" w:name="_Toc136053971"/>
      <w:bookmarkStart w:id="213" w:name="_Toc154381940"/>
      <w:bookmarkStart w:id="214" w:name="_Toc169500130"/>
      <w:bookmarkStart w:id="215" w:name="_Toc314727611"/>
      <w:bookmarkStart w:id="216" w:name="_Toc383521172"/>
      <w:r w:rsidRPr="00992AA5">
        <w:rPr>
          <w:sz w:val="22"/>
          <w:szCs w:val="22"/>
          <w:lang w:val="pl-PL"/>
        </w:rPr>
        <w:t>Obiekty wyniesione central – ISDN</w:t>
      </w:r>
      <w:bookmarkEnd w:id="212"/>
      <w:bookmarkEnd w:id="213"/>
      <w:bookmarkEnd w:id="214"/>
      <w:r w:rsidR="00C37CF4" w:rsidRPr="00992AA5">
        <w:rPr>
          <w:sz w:val="22"/>
          <w:szCs w:val="22"/>
          <w:lang w:val="pl-PL"/>
        </w:rPr>
        <w:t xml:space="preserve"> BRA</w:t>
      </w:r>
      <w:bookmarkEnd w:id="215"/>
      <w:bookmarkEnd w:id="216"/>
    </w:p>
    <w:p w:rsidR="00B92BFC" w:rsidRPr="00992AA5" w:rsidRDefault="00B92BFC" w:rsidP="00EB6C89">
      <w:pPr>
        <w:spacing w:before="120" w:line="240" w:lineRule="auto"/>
        <w:rPr>
          <w:lang w:val="pl-PL"/>
        </w:rPr>
      </w:pPr>
      <w:r w:rsidRPr="00992AA5">
        <w:rPr>
          <w:lang w:val="pl-PL"/>
        </w:rPr>
        <w:t>Do tej grupy została zaliczona część obiektu wyniesionego centrali związana z zapewnieniem gotowości do świadczenia usług dla abonentów ISDN</w:t>
      </w:r>
      <w:r w:rsidR="00C37CF4" w:rsidRPr="00992AA5">
        <w:rPr>
          <w:lang w:val="pl-PL"/>
        </w:rPr>
        <w:t xml:space="preserve"> BRA</w:t>
      </w:r>
      <w:r w:rsidRPr="00992AA5">
        <w:rPr>
          <w:lang w:val="pl-PL"/>
        </w:rPr>
        <w:t xml:space="preserve">. Wartość bieżącą wyznacza się za pomocą metody wyceny bezpośredniej. Na podstawie nominalnej liczby portów abonenckich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17" w:name="_Toc136053972"/>
      <w:bookmarkStart w:id="218" w:name="_Toc154381941"/>
      <w:bookmarkStart w:id="219" w:name="_Toc169500131"/>
      <w:bookmarkStart w:id="220" w:name="_Toc314727612"/>
      <w:bookmarkStart w:id="221" w:name="_Toc383521173"/>
      <w:r w:rsidRPr="00992AA5">
        <w:rPr>
          <w:sz w:val="22"/>
          <w:szCs w:val="22"/>
          <w:lang w:val="pl-PL"/>
        </w:rPr>
        <w:t>Obiekty wyniesione central - Ruch</w:t>
      </w:r>
      <w:bookmarkEnd w:id="217"/>
      <w:bookmarkEnd w:id="218"/>
      <w:bookmarkEnd w:id="219"/>
      <w:bookmarkEnd w:id="220"/>
      <w:bookmarkEnd w:id="221"/>
    </w:p>
    <w:p w:rsidR="00B92BFC" w:rsidRPr="00992AA5" w:rsidRDefault="00B92BFC" w:rsidP="00EB6C89">
      <w:pPr>
        <w:spacing w:before="120" w:line="240" w:lineRule="auto"/>
        <w:rPr>
          <w:lang w:val="pl-PL"/>
        </w:rPr>
      </w:pPr>
      <w:r w:rsidRPr="00992AA5">
        <w:rPr>
          <w:lang w:val="pl-PL"/>
        </w:rPr>
        <w:t xml:space="preserve">Do tej grupy wchodzi część obiektu wyniesionego centrali związanego z przetworzeniem ruchu wygenerowanego przez abonentów podłączonych do </w:t>
      </w:r>
      <w:proofErr w:type="spellStart"/>
      <w:r w:rsidRPr="00992AA5">
        <w:rPr>
          <w:lang w:val="pl-PL"/>
        </w:rPr>
        <w:t>ww</w:t>
      </w:r>
      <w:proofErr w:type="spellEnd"/>
      <w:r w:rsidRPr="00992AA5">
        <w:rPr>
          <w:lang w:val="pl-PL"/>
        </w:rPr>
        <w:t xml:space="preserve"> urządzeń. Wartość bieżącą wyznacza się za pomocą metody wyceny bezpośredniej. Na podstawie nominalnej liczby portów abonenckich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F50D4C">
      <w:pPr>
        <w:pStyle w:val="MIKNagwek2"/>
        <w:ind w:hanging="1134"/>
        <w:rPr>
          <w:sz w:val="22"/>
          <w:szCs w:val="22"/>
        </w:rPr>
      </w:pPr>
      <w:bookmarkStart w:id="222" w:name="_Toc136053973"/>
      <w:bookmarkStart w:id="223" w:name="_Toc154381942"/>
      <w:bookmarkStart w:id="224" w:name="_Toc169500132"/>
      <w:bookmarkStart w:id="225" w:name="_Toc314727613"/>
      <w:bookmarkStart w:id="226" w:name="_Toc383521174"/>
      <w:r w:rsidRPr="00992AA5">
        <w:rPr>
          <w:sz w:val="22"/>
          <w:szCs w:val="22"/>
        </w:rPr>
        <w:t>Koncentratory lokalne</w:t>
      </w:r>
      <w:bookmarkEnd w:id="222"/>
      <w:bookmarkEnd w:id="223"/>
      <w:bookmarkEnd w:id="224"/>
      <w:bookmarkEnd w:id="225"/>
      <w:bookmarkEnd w:id="226"/>
    </w:p>
    <w:p w:rsidR="00B92BFC" w:rsidRPr="00992AA5" w:rsidRDefault="00B92BFC" w:rsidP="00EB6C89">
      <w:pPr>
        <w:pStyle w:val="MIKNagwek1"/>
        <w:numPr>
          <w:ilvl w:val="0"/>
          <w:numId w:val="0"/>
        </w:numPr>
        <w:spacing w:before="120" w:after="0" w:line="240" w:lineRule="auto"/>
        <w:ind w:left="1134" w:hanging="1134"/>
        <w:rPr>
          <w:sz w:val="22"/>
          <w:szCs w:val="22"/>
        </w:rPr>
      </w:pPr>
      <w:bookmarkStart w:id="227" w:name="_Toc136053974"/>
      <w:bookmarkStart w:id="228" w:name="_Toc154381943"/>
      <w:bookmarkStart w:id="229" w:name="_Toc169500133"/>
      <w:bookmarkStart w:id="230" w:name="_Toc314727614"/>
      <w:bookmarkStart w:id="231" w:name="_Toc383521175"/>
      <w:proofErr w:type="spellStart"/>
      <w:r w:rsidRPr="00992AA5">
        <w:rPr>
          <w:sz w:val="22"/>
          <w:szCs w:val="22"/>
        </w:rPr>
        <w:t>Koncentratory</w:t>
      </w:r>
      <w:proofErr w:type="spellEnd"/>
      <w:r w:rsidRPr="00992AA5">
        <w:rPr>
          <w:sz w:val="22"/>
          <w:szCs w:val="22"/>
        </w:rPr>
        <w:t xml:space="preserve"> </w:t>
      </w:r>
      <w:proofErr w:type="spellStart"/>
      <w:r w:rsidRPr="00992AA5">
        <w:rPr>
          <w:sz w:val="22"/>
          <w:szCs w:val="22"/>
        </w:rPr>
        <w:t>lokalne</w:t>
      </w:r>
      <w:proofErr w:type="spellEnd"/>
      <w:r w:rsidRPr="00992AA5">
        <w:rPr>
          <w:sz w:val="22"/>
          <w:szCs w:val="22"/>
        </w:rPr>
        <w:t xml:space="preserve"> – POTS</w:t>
      </w:r>
      <w:bookmarkEnd w:id="227"/>
      <w:bookmarkEnd w:id="228"/>
      <w:bookmarkEnd w:id="229"/>
      <w:bookmarkEnd w:id="230"/>
      <w:bookmarkEnd w:id="231"/>
    </w:p>
    <w:p w:rsidR="00B92BFC" w:rsidRPr="00992AA5" w:rsidRDefault="00B92BFC" w:rsidP="00EB6C89">
      <w:pPr>
        <w:spacing w:before="120" w:line="240" w:lineRule="auto"/>
        <w:rPr>
          <w:lang w:val="pl-PL"/>
        </w:rPr>
      </w:pPr>
      <w:r w:rsidRPr="00992AA5">
        <w:rPr>
          <w:lang w:val="pl-PL"/>
        </w:rPr>
        <w:t xml:space="preserve">Do tej grupy została zaliczona część koncentratora lokalnego związana z zapewnieniem gotowości do świadczenia usług dla abonentów POTS. Wartość bieżącą wyznacza się </w:t>
      </w:r>
      <w:r w:rsidR="00073C78" w:rsidRPr="00992AA5">
        <w:rPr>
          <w:lang w:val="pl-PL"/>
        </w:rPr>
        <w:br/>
      </w:r>
      <w:r w:rsidRPr="00992AA5">
        <w:rPr>
          <w:lang w:val="pl-PL"/>
        </w:rPr>
        <w:t xml:space="preserve">za pomocą metody wyceny bezpośredniej. Na podstawie nominalnej liczby portów abonenckich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32" w:name="_Toc136053975"/>
      <w:bookmarkStart w:id="233" w:name="_Toc154381944"/>
      <w:bookmarkStart w:id="234" w:name="_Toc169500134"/>
      <w:bookmarkStart w:id="235" w:name="_Toc314727615"/>
      <w:bookmarkStart w:id="236" w:name="_Toc383521176"/>
      <w:r w:rsidRPr="00992AA5">
        <w:rPr>
          <w:sz w:val="22"/>
          <w:szCs w:val="22"/>
          <w:lang w:val="pl-PL"/>
        </w:rPr>
        <w:t>Koncentratory lokalne – ISDN</w:t>
      </w:r>
      <w:bookmarkEnd w:id="232"/>
      <w:bookmarkEnd w:id="233"/>
      <w:bookmarkEnd w:id="234"/>
      <w:r w:rsidR="00C37CF4" w:rsidRPr="00992AA5">
        <w:rPr>
          <w:sz w:val="22"/>
          <w:szCs w:val="22"/>
          <w:lang w:val="pl-PL"/>
        </w:rPr>
        <w:t xml:space="preserve"> BRA</w:t>
      </w:r>
      <w:bookmarkEnd w:id="235"/>
      <w:bookmarkEnd w:id="236"/>
    </w:p>
    <w:p w:rsidR="00B92BFC" w:rsidRPr="00992AA5" w:rsidRDefault="00B92BFC" w:rsidP="00EB6C89">
      <w:pPr>
        <w:spacing w:before="120" w:line="240" w:lineRule="auto"/>
        <w:rPr>
          <w:lang w:val="pl-PL"/>
        </w:rPr>
      </w:pPr>
      <w:r w:rsidRPr="00992AA5">
        <w:rPr>
          <w:lang w:val="pl-PL"/>
        </w:rPr>
        <w:t>Do tej grupy została zaliczona część koncentratora lokalnego związana z zapewnieniem gotowości do świadczenia usług dla abonentów ISDN</w:t>
      </w:r>
      <w:r w:rsidR="00C37CF4" w:rsidRPr="00992AA5">
        <w:rPr>
          <w:lang w:val="pl-PL"/>
        </w:rPr>
        <w:t xml:space="preserve"> BRA</w:t>
      </w:r>
      <w:r w:rsidRPr="00992AA5">
        <w:rPr>
          <w:lang w:val="pl-PL"/>
        </w:rPr>
        <w:t xml:space="preserve">. Wartość bieżącą wyznacza się za pomocą metody wyceny bezpośredniej. Na podstawie nominalnej liczby portów abonenckich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37" w:name="_Toc136053976"/>
      <w:bookmarkStart w:id="238" w:name="_Toc154381945"/>
      <w:bookmarkStart w:id="239" w:name="_Toc169500135"/>
      <w:bookmarkStart w:id="240" w:name="_Toc314727616"/>
      <w:bookmarkStart w:id="241" w:name="_Toc383521177"/>
      <w:r w:rsidRPr="00992AA5">
        <w:rPr>
          <w:sz w:val="22"/>
          <w:szCs w:val="22"/>
          <w:lang w:val="pl-PL"/>
        </w:rPr>
        <w:lastRenderedPageBreak/>
        <w:t>Koncentratory lokalne - Ruch</w:t>
      </w:r>
      <w:bookmarkEnd w:id="237"/>
      <w:bookmarkEnd w:id="238"/>
      <w:bookmarkEnd w:id="239"/>
      <w:bookmarkEnd w:id="240"/>
      <w:bookmarkEnd w:id="241"/>
    </w:p>
    <w:p w:rsidR="00B92BFC" w:rsidRPr="00992AA5" w:rsidRDefault="00B92BFC" w:rsidP="00EB6C89">
      <w:pPr>
        <w:spacing w:before="120" w:line="240" w:lineRule="auto"/>
        <w:rPr>
          <w:lang w:val="pl-PL"/>
        </w:rPr>
      </w:pPr>
      <w:r w:rsidRPr="00992AA5">
        <w:rPr>
          <w:lang w:val="pl-PL"/>
        </w:rPr>
        <w:t xml:space="preserve">Do tej grupy wchodzi część koncentratora lokalnego związana z przetworzeniem ruchu wygenerowanego przez abonentów do niego podłączonych. Wartość bieżącą wyznacza się za pomocą metody wyceny bezpośredniej. Na podstawie nominalnej liczby portów abonenckich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C7A88" w:rsidRPr="00992AA5">
        <w:rPr>
          <w:lang w:val="pl-PL"/>
        </w:rPr>
        <w:t xml:space="preserve">OPL </w:t>
      </w:r>
      <w:r w:rsidRPr="00992AA5">
        <w:rPr>
          <w:lang w:val="pl-PL"/>
        </w:rPr>
        <w:t>oraz systemu ewidencji zasobów telekomunikacyjnych.</w:t>
      </w:r>
    </w:p>
    <w:p w:rsidR="00B92BFC" w:rsidRPr="00992AA5" w:rsidRDefault="00B92BFC" w:rsidP="00F50D4C">
      <w:pPr>
        <w:pStyle w:val="MIKNagwek2"/>
        <w:ind w:hanging="1134"/>
        <w:rPr>
          <w:sz w:val="22"/>
          <w:szCs w:val="22"/>
        </w:rPr>
      </w:pPr>
      <w:bookmarkStart w:id="242" w:name="_Toc136053977"/>
      <w:bookmarkStart w:id="243" w:name="_Toc154381946"/>
      <w:bookmarkStart w:id="244" w:name="_Toc169500136"/>
      <w:bookmarkStart w:id="245" w:name="_Toc314727617"/>
      <w:bookmarkStart w:id="246" w:name="_Toc383521178"/>
      <w:r w:rsidRPr="00992AA5">
        <w:rPr>
          <w:sz w:val="22"/>
          <w:szCs w:val="22"/>
        </w:rPr>
        <w:t>Centrale lokalne</w:t>
      </w:r>
      <w:bookmarkEnd w:id="242"/>
      <w:bookmarkEnd w:id="243"/>
      <w:bookmarkEnd w:id="244"/>
      <w:bookmarkEnd w:id="245"/>
      <w:bookmarkEnd w:id="246"/>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47" w:name="_Toc136053978"/>
      <w:bookmarkStart w:id="248" w:name="_Toc154381947"/>
      <w:bookmarkStart w:id="249" w:name="_Toc169500137"/>
      <w:bookmarkStart w:id="250" w:name="_Toc314727618"/>
      <w:bookmarkStart w:id="251" w:name="_Toc383521179"/>
      <w:r w:rsidRPr="00992AA5">
        <w:rPr>
          <w:sz w:val="22"/>
          <w:szCs w:val="22"/>
          <w:lang w:val="pl-PL"/>
        </w:rPr>
        <w:t>Centrale lokalne – POTS</w:t>
      </w:r>
      <w:bookmarkEnd w:id="247"/>
      <w:bookmarkEnd w:id="248"/>
      <w:bookmarkEnd w:id="249"/>
      <w:bookmarkEnd w:id="250"/>
      <w:bookmarkEnd w:id="251"/>
    </w:p>
    <w:p w:rsidR="00B92BFC" w:rsidRPr="00992AA5" w:rsidRDefault="00B92BFC" w:rsidP="00EB6C89">
      <w:pPr>
        <w:spacing w:before="120" w:line="240" w:lineRule="auto"/>
        <w:rPr>
          <w:lang w:val="pl-PL"/>
        </w:rPr>
      </w:pPr>
      <w:r w:rsidRPr="00992AA5">
        <w:rPr>
          <w:lang w:val="pl-PL"/>
        </w:rPr>
        <w:t>Do tej grupy została zaliczona część centrali lokalnej związana z abonentami POTS podłączonymi do obiektów wyniesionych central, systemów dostępowych oraz koncentratorów lokalnych. Wartość bieżącą wyznacza się za pomocą metody wyceny bezpośredniej. Na podstawie nominalnej liczby portów abonenckich, portów 2Mb/s (</w:t>
      </w:r>
      <w:r w:rsidR="0098190A" w:rsidRPr="00992AA5">
        <w:rPr>
          <w:lang w:val="pl-PL"/>
        </w:rPr>
        <w:t xml:space="preserve">IC, </w:t>
      </w:r>
      <w:r w:rsidRPr="00992AA5">
        <w:rPr>
          <w:lang w:val="pl-PL"/>
        </w:rPr>
        <w:t xml:space="preserve">CCS, V5.x, DL, PRI …)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52" w:name="_Toc136053979"/>
      <w:bookmarkStart w:id="253" w:name="_Toc154381948"/>
      <w:bookmarkStart w:id="254" w:name="_Toc169500138"/>
      <w:bookmarkStart w:id="255" w:name="_Toc314727619"/>
      <w:bookmarkStart w:id="256" w:name="_Toc383521180"/>
      <w:r w:rsidRPr="00992AA5">
        <w:rPr>
          <w:sz w:val="22"/>
          <w:szCs w:val="22"/>
          <w:lang w:val="pl-PL"/>
        </w:rPr>
        <w:t>Centrale lokalne – ISDN</w:t>
      </w:r>
      <w:bookmarkEnd w:id="252"/>
      <w:bookmarkEnd w:id="253"/>
      <w:bookmarkEnd w:id="254"/>
      <w:r w:rsidR="00C37CF4" w:rsidRPr="00992AA5">
        <w:rPr>
          <w:sz w:val="22"/>
          <w:szCs w:val="22"/>
          <w:lang w:val="pl-PL"/>
        </w:rPr>
        <w:t xml:space="preserve"> BRA</w:t>
      </w:r>
      <w:bookmarkEnd w:id="255"/>
      <w:bookmarkEnd w:id="256"/>
    </w:p>
    <w:p w:rsidR="00B92BFC" w:rsidRPr="00992AA5" w:rsidRDefault="00B92BFC" w:rsidP="00EB6C89">
      <w:pPr>
        <w:spacing w:before="120" w:line="240" w:lineRule="auto"/>
        <w:rPr>
          <w:lang w:val="pl-PL"/>
        </w:rPr>
      </w:pPr>
      <w:r w:rsidRPr="00992AA5">
        <w:rPr>
          <w:lang w:val="pl-PL"/>
        </w:rPr>
        <w:t xml:space="preserve">Do tej grupy została zaliczona część centrali lokalnej związana z abonentami ISDN </w:t>
      </w:r>
      <w:r w:rsidR="00C37CF4" w:rsidRPr="00992AA5">
        <w:rPr>
          <w:lang w:val="pl-PL"/>
        </w:rPr>
        <w:t xml:space="preserve">BRA </w:t>
      </w:r>
      <w:r w:rsidRPr="00992AA5">
        <w:rPr>
          <w:lang w:val="pl-PL"/>
        </w:rPr>
        <w:t>podłączonymi do obiektów wyniesionych central, systemów dostępowych oraz koncentratorów lokalnych. Wartość bieżącą wyznacza się za pomocą metody wyceny bezpośredniej. Na podstawie nominalnej liczby portów abonenckich, portów 2Mb/s (</w:t>
      </w:r>
      <w:r w:rsidR="007A7F1F" w:rsidRPr="00992AA5">
        <w:rPr>
          <w:lang w:val="pl-PL"/>
        </w:rPr>
        <w:t xml:space="preserve">IC, </w:t>
      </w:r>
      <w:r w:rsidRPr="00992AA5">
        <w:rPr>
          <w:lang w:val="pl-PL"/>
        </w:rPr>
        <w:t xml:space="preserve">CCS, V5.x, DL, PRI …)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57" w:name="_Toc136053980"/>
      <w:bookmarkStart w:id="258" w:name="_Toc154381949"/>
      <w:bookmarkStart w:id="259" w:name="_Toc169500139"/>
      <w:bookmarkStart w:id="260" w:name="_Toc314727620"/>
      <w:bookmarkStart w:id="261" w:name="_Toc383521181"/>
      <w:r w:rsidRPr="00992AA5">
        <w:rPr>
          <w:sz w:val="22"/>
          <w:szCs w:val="22"/>
          <w:lang w:val="pl-PL"/>
        </w:rPr>
        <w:t>Centrale lokalne - Ruch</w:t>
      </w:r>
      <w:bookmarkEnd w:id="257"/>
      <w:bookmarkEnd w:id="258"/>
      <w:bookmarkEnd w:id="259"/>
      <w:bookmarkEnd w:id="260"/>
      <w:bookmarkEnd w:id="261"/>
    </w:p>
    <w:p w:rsidR="00B92BFC" w:rsidRPr="00992AA5" w:rsidRDefault="00B92BFC" w:rsidP="00EB6C89">
      <w:pPr>
        <w:spacing w:before="120" w:line="240" w:lineRule="auto"/>
        <w:rPr>
          <w:lang w:val="pl-PL"/>
        </w:rPr>
      </w:pPr>
      <w:r w:rsidRPr="00992AA5">
        <w:rPr>
          <w:lang w:val="pl-PL"/>
        </w:rPr>
        <w:t>W skład tej grupy kosztowej wchodzi część centrali lokalnej związana z przetworzeniem ruchu wygenerowanego przez abonentów do niej podłączonych. Wartość bieżącą wyznacza się za pomocą metody wyceny bezpośredniej. Na podstawie nominalnej liczby portów abonenckich, portów 2Mb/s (</w:t>
      </w:r>
      <w:r w:rsidR="007A7F1F" w:rsidRPr="00992AA5">
        <w:rPr>
          <w:lang w:val="pl-PL"/>
        </w:rPr>
        <w:t xml:space="preserve">IC, </w:t>
      </w:r>
      <w:r w:rsidRPr="00992AA5">
        <w:rPr>
          <w:lang w:val="pl-PL"/>
        </w:rPr>
        <w:t xml:space="preserve">CCS, V5.x, DL, PRI …)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62" w:name="_Toc136053981"/>
      <w:bookmarkStart w:id="263" w:name="_Toc154381950"/>
      <w:bookmarkStart w:id="264" w:name="_Toc169500140"/>
      <w:bookmarkStart w:id="265" w:name="_Toc314727621"/>
      <w:bookmarkStart w:id="266" w:name="_Toc383521182"/>
      <w:r w:rsidRPr="00992AA5">
        <w:rPr>
          <w:sz w:val="22"/>
          <w:szCs w:val="22"/>
          <w:lang w:val="pl-PL"/>
        </w:rPr>
        <w:t>Centrale lokalne - Porty</w:t>
      </w:r>
      <w:bookmarkEnd w:id="262"/>
      <w:bookmarkEnd w:id="263"/>
      <w:bookmarkEnd w:id="264"/>
      <w:bookmarkEnd w:id="265"/>
      <w:bookmarkEnd w:id="266"/>
    </w:p>
    <w:p w:rsidR="00B92BFC" w:rsidRPr="00992AA5" w:rsidRDefault="00B92BFC" w:rsidP="00EB6C89">
      <w:pPr>
        <w:spacing w:before="120" w:line="240" w:lineRule="auto"/>
        <w:rPr>
          <w:lang w:val="pl-PL"/>
        </w:rPr>
      </w:pPr>
      <w:r w:rsidRPr="00992AA5">
        <w:rPr>
          <w:lang w:val="pl-PL"/>
        </w:rPr>
        <w:t>Do tej grupy został zaliczony fragment centrali lokalnej służący do bezpośredniego połączenia hosta z centralami telefonicznymi innego operatora. Wartość bieżącą wyznacza się za pomocą metody wyceny bezpośredniej. Na podstawie nominalnej liczby portów abonenckich, portów 2Mb/s</w:t>
      </w:r>
      <w:r w:rsidR="007A7F1F" w:rsidRPr="00992AA5">
        <w:rPr>
          <w:lang w:val="pl-PL"/>
        </w:rPr>
        <w:t xml:space="preserve"> (IC, CCS, V5.x, DL, PRI …)</w:t>
      </w:r>
      <w:r w:rsidRPr="00992AA5">
        <w:rPr>
          <w:lang w:val="pl-PL"/>
        </w:rPr>
        <w:t xml:space="preserve"> dedykowanych operatorom niezależnym oraz nominalnego ruchu generowanego przez abonentów wyznacza się </w:t>
      </w:r>
      <w:r w:rsidRPr="00992AA5">
        <w:rPr>
          <w:lang w:val="pl-PL"/>
        </w:rPr>
        <w:lastRenderedPageBreak/>
        <w:t xml:space="preserve">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905979" w:rsidRPr="00992AA5">
        <w:rPr>
          <w:lang w:val="pl-PL"/>
        </w:rPr>
        <w:t xml:space="preserve">OPL </w:t>
      </w:r>
      <w:r w:rsidRPr="00992AA5">
        <w:rPr>
          <w:lang w:val="pl-PL"/>
        </w:rPr>
        <w:t>oraz systemu ewidencji zasobów telekomunikacyjnych.</w:t>
      </w:r>
    </w:p>
    <w:p w:rsidR="00B92BFC" w:rsidRPr="00992AA5" w:rsidRDefault="00B92BFC" w:rsidP="00F50D4C">
      <w:pPr>
        <w:pStyle w:val="MIKNagwek1"/>
        <w:numPr>
          <w:ilvl w:val="2"/>
          <w:numId w:val="56"/>
        </w:numPr>
        <w:spacing w:before="120" w:after="0" w:line="240" w:lineRule="auto"/>
        <w:ind w:hanging="34"/>
        <w:rPr>
          <w:sz w:val="22"/>
          <w:szCs w:val="22"/>
          <w:lang w:val="pl-PL"/>
        </w:rPr>
      </w:pPr>
      <w:bookmarkStart w:id="267" w:name="_Toc136053982"/>
      <w:bookmarkStart w:id="268" w:name="_Toc154381951"/>
      <w:bookmarkStart w:id="269" w:name="_Toc169500141"/>
      <w:bookmarkStart w:id="270" w:name="_Toc314727622"/>
      <w:bookmarkStart w:id="271" w:name="_Toc383521183"/>
      <w:r w:rsidRPr="00992AA5">
        <w:rPr>
          <w:sz w:val="22"/>
          <w:szCs w:val="22"/>
          <w:lang w:val="pl-PL"/>
        </w:rPr>
        <w:t>Centrale końcowo - tranzytowe</w:t>
      </w:r>
      <w:bookmarkEnd w:id="267"/>
      <w:bookmarkEnd w:id="268"/>
      <w:bookmarkEnd w:id="269"/>
      <w:bookmarkEnd w:id="270"/>
      <w:bookmarkEnd w:id="271"/>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72" w:name="_Toc136053983"/>
      <w:bookmarkStart w:id="273" w:name="_Toc154381952"/>
      <w:bookmarkStart w:id="274" w:name="_Toc169500142"/>
      <w:bookmarkStart w:id="275" w:name="_Toc314727623"/>
      <w:bookmarkStart w:id="276" w:name="_Toc383521184"/>
      <w:r w:rsidRPr="00992AA5">
        <w:rPr>
          <w:sz w:val="22"/>
          <w:szCs w:val="22"/>
          <w:lang w:val="pl-PL"/>
        </w:rPr>
        <w:t>Centrale CKT – POTS</w:t>
      </w:r>
      <w:bookmarkEnd w:id="272"/>
      <w:bookmarkEnd w:id="273"/>
      <w:bookmarkEnd w:id="274"/>
      <w:bookmarkEnd w:id="275"/>
      <w:bookmarkEnd w:id="276"/>
    </w:p>
    <w:p w:rsidR="00B92BFC" w:rsidRPr="00992AA5" w:rsidRDefault="00B92BFC" w:rsidP="00EB6C89">
      <w:pPr>
        <w:spacing w:before="120" w:line="240" w:lineRule="auto"/>
        <w:rPr>
          <w:lang w:val="pl-PL"/>
        </w:rPr>
      </w:pPr>
      <w:r w:rsidRPr="00992AA5">
        <w:rPr>
          <w:lang w:val="pl-PL"/>
        </w:rPr>
        <w:t>Do tej grupy została zaliczona część centrali końcowo - tranzytowej związana z abonentami POTS podłączonymi do obiektów wyniesionych central, systemów dostępowych oraz koncentratorów lokalnych. Wartość bieżącą wyznacza się za pomocą metody wyceny bezpośredniej. Na podstawie nominalnej liczby portów abonenckich</w:t>
      </w:r>
      <w:r w:rsidR="00B1467A" w:rsidRPr="00992AA5">
        <w:rPr>
          <w:lang w:val="pl-PL"/>
        </w:rPr>
        <w:t xml:space="preserve">, modułów IN wraz </w:t>
      </w:r>
      <w:r w:rsidR="00073C78" w:rsidRPr="00992AA5">
        <w:rPr>
          <w:lang w:val="pl-PL"/>
        </w:rPr>
        <w:br/>
      </w:r>
      <w:r w:rsidR="00B1467A" w:rsidRPr="00992AA5">
        <w:rPr>
          <w:lang w:val="pl-PL"/>
        </w:rPr>
        <w:t>z oprogramowaniem</w:t>
      </w:r>
      <w:r w:rsidRPr="00992AA5">
        <w:rPr>
          <w:lang w:val="pl-PL"/>
        </w:rPr>
        <w:t>, portów 2Mb/s (</w:t>
      </w:r>
      <w:r w:rsidR="00B1467A" w:rsidRPr="00992AA5">
        <w:rPr>
          <w:lang w:val="pl-PL"/>
        </w:rPr>
        <w:t xml:space="preserve">IC, </w:t>
      </w:r>
      <w:r w:rsidRPr="00992AA5">
        <w:rPr>
          <w:lang w:val="pl-PL"/>
        </w:rPr>
        <w:t xml:space="preserve">CCS, V5.x, DL, PRI …)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436F44" w:rsidRPr="00992AA5">
        <w:rPr>
          <w:lang w:val="pl-PL"/>
        </w:rPr>
        <w:t>OPL</w:t>
      </w:r>
      <w:r w:rsidRPr="00992AA5">
        <w:rPr>
          <w:lang w:val="pl-PL"/>
        </w:rPr>
        <w:t xml:space="preserve"> 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77" w:name="_Toc136053984"/>
      <w:bookmarkStart w:id="278" w:name="_Toc154381953"/>
      <w:bookmarkStart w:id="279" w:name="_Toc169500143"/>
      <w:bookmarkStart w:id="280" w:name="_Toc314727624"/>
      <w:bookmarkStart w:id="281" w:name="_Toc383521185"/>
      <w:r w:rsidRPr="00992AA5">
        <w:rPr>
          <w:sz w:val="22"/>
          <w:szCs w:val="22"/>
          <w:lang w:val="pl-PL"/>
        </w:rPr>
        <w:t>Centrale CKT – ISDN</w:t>
      </w:r>
      <w:bookmarkEnd w:id="277"/>
      <w:bookmarkEnd w:id="278"/>
      <w:bookmarkEnd w:id="279"/>
      <w:r w:rsidR="00C37CF4" w:rsidRPr="00992AA5">
        <w:rPr>
          <w:sz w:val="22"/>
          <w:szCs w:val="22"/>
          <w:lang w:val="pl-PL"/>
        </w:rPr>
        <w:t xml:space="preserve"> BRA</w:t>
      </w:r>
      <w:bookmarkEnd w:id="280"/>
      <w:bookmarkEnd w:id="281"/>
    </w:p>
    <w:p w:rsidR="00B92BFC" w:rsidRPr="00992AA5" w:rsidRDefault="00B92BFC" w:rsidP="00EB6C89">
      <w:pPr>
        <w:spacing w:before="120" w:line="240" w:lineRule="auto"/>
        <w:rPr>
          <w:lang w:val="pl-PL"/>
        </w:rPr>
      </w:pPr>
      <w:r w:rsidRPr="00992AA5">
        <w:rPr>
          <w:lang w:val="pl-PL"/>
        </w:rPr>
        <w:t xml:space="preserve">Do tej grupy została zaliczona część centrali końcowo - tranzytowej związana z abonentami ISDN </w:t>
      </w:r>
      <w:r w:rsidR="00C37CF4" w:rsidRPr="00992AA5">
        <w:rPr>
          <w:lang w:val="pl-PL"/>
        </w:rPr>
        <w:t xml:space="preserve">BRA </w:t>
      </w:r>
      <w:r w:rsidRPr="00992AA5">
        <w:rPr>
          <w:lang w:val="pl-PL"/>
        </w:rPr>
        <w:t>podłączonymi do obiektów wyniesionych central, systemów dostępowych oraz koncentratorów lokalnych. Wartość bieżącą wyznacza się za pomocą metody wyceny bezpośredniej. Na podstawie nominalnej liczby portów abonenckich</w:t>
      </w:r>
      <w:r w:rsidR="00B1467A" w:rsidRPr="00992AA5">
        <w:rPr>
          <w:lang w:val="pl-PL"/>
        </w:rPr>
        <w:t xml:space="preserve">, modułów IN wraz </w:t>
      </w:r>
      <w:r w:rsidR="00073C78" w:rsidRPr="00992AA5">
        <w:rPr>
          <w:lang w:val="pl-PL"/>
        </w:rPr>
        <w:br/>
      </w:r>
      <w:r w:rsidR="00B1467A" w:rsidRPr="00992AA5">
        <w:rPr>
          <w:lang w:val="pl-PL"/>
        </w:rPr>
        <w:t>z oprogramowaniem</w:t>
      </w:r>
      <w:r w:rsidRPr="00992AA5">
        <w:rPr>
          <w:lang w:val="pl-PL"/>
        </w:rPr>
        <w:t>, portów 2Mb/s (</w:t>
      </w:r>
      <w:r w:rsidR="00B1467A" w:rsidRPr="00992AA5">
        <w:rPr>
          <w:lang w:val="pl-PL"/>
        </w:rPr>
        <w:t xml:space="preserve">IC, </w:t>
      </w:r>
      <w:r w:rsidRPr="00992AA5">
        <w:rPr>
          <w:lang w:val="pl-PL"/>
        </w:rPr>
        <w:t xml:space="preserve">CCS, V5.x, DL, PRI …) oraz nominalnego ruchu generowanego przez abonentów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82" w:name="_Toc136053985"/>
      <w:bookmarkStart w:id="283" w:name="_Toc154381954"/>
      <w:bookmarkStart w:id="284" w:name="_Toc169500144"/>
      <w:bookmarkStart w:id="285" w:name="_Toc314727625"/>
      <w:bookmarkStart w:id="286" w:name="_Toc383521186"/>
      <w:r w:rsidRPr="00992AA5">
        <w:rPr>
          <w:sz w:val="22"/>
          <w:szCs w:val="22"/>
          <w:lang w:val="pl-PL"/>
        </w:rPr>
        <w:t>Centrale CKT - Ruch</w:t>
      </w:r>
      <w:bookmarkEnd w:id="282"/>
      <w:bookmarkEnd w:id="283"/>
      <w:bookmarkEnd w:id="284"/>
      <w:bookmarkEnd w:id="285"/>
      <w:bookmarkEnd w:id="286"/>
    </w:p>
    <w:p w:rsidR="00B92BFC" w:rsidRPr="00992AA5" w:rsidRDefault="00B92BFC" w:rsidP="00EB6C89">
      <w:pPr>
        <w:spacing w:before="120" w:line="240" w:lineRule="auto"/>
        <w:rPr>
          <w:lang w:val="pl-PL"/>
        </w:rPr>
      </w:pPr>
      <w:r w:rsidRPr="00992AA5">
        <w:rPr>
          <w:lang w:val="pl-PL"/>
        </w:rPr>
        <w:t>W skład tej grupy kosztowej wchodzi część centrali końcowo - tranzytowej związana z przetworzeniem ruchu wygenerowanego przez abonentów do niej podłączonych oraz innych central współpracujących. Wartość bieżącą wyznacza się za pomocą metody wyceny bezpośredniej. Na podstawie nominalnej liczby portów abonenckich</w:t>
      </w:r>
      <w:r w:rsidR="00B1467A" w:rsidRPr="00992AA5">
        <w:rPr>
          <w:lang w:val="pl-PL"/>
        </w:rPr>
        <w:t xml:space="preserve">, modułów IN wraz </w:t>
      </w:r>
      <w:r w:rsidR="00073C78" w:rsidRPr="00992AA5">
        <w:rPr>
          <w:lang w:val="pl-PL"/>
        </w:rPr>
        <w:br/>
      </w:r>
      <w:r w:rsidR="00B1467A" w:rsidRPr="00992AA5">
        <w:rPr>
          <w:lang w:val="pl-PL"/>
        </w:rPr>
        <w:t>z oprogramowaniem</w:t>
      </w:r>
      <w:r w:rsidRPr="00992AA5">
        <w:rPr>
          <w:lang w:val="pl-PL"/>
        </w:rPr>
        <w:t>, portów 2Mb/s (</w:t>
      </w:r>
      <w:r w:rsidR="00B1467A" w:rsidRPr="00992AA5">
        <w:rPr>
          <w:lang w:val="pl-PL"/>
        </w:rPr>
        <w:t xml:space="preserve">IC, </w:t>
      </w:r>
      <w:r w:rsidRPr="00992AA5">
        <w:rPr>
          <w:lang w:val="pl-PL"/>
        </w:rPr>
        <w:t xml:space="preserve">CCS, V5.x, DL, PRI …) oraz nominalnego ruchu generowanego przez abonentów wyznacza się szczegółową konfigurację poszczególnych systemów. Ceny poszczególnych elementów systemu pozyskuje się z umów zawartych </w:t>
      </w:r>
      <w:r w:rsidR="00073C78" w:rsidRPr="00992AA5">
        <w:rPr>
          <w:lang w:val="pl-PL"/>
        </w:rPr>
        <w:br/>
      </w:r>
      <w:r w:rsidRPr="00992AA5">
        <w:rPr>
          <w:lang w:val="pl-PL"/>
        </w:rPr>
        <w:t xml:space="preserve">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87" w:name="_Toc136053986"/>
      <w:bookmarkStart w:id="288" w:name="_Toc154381955"/>
      <w:bookmarkStart w:id="289" w:name="_Toc169500145"/>
      <w:bookmarkStart w:id="290" w:name="_Toc314727626"/>
      <w:bookmarkStart w:id="291" w:name="_Toc383521187"/>
      <w:r w:rsidRPr="00992AA5">
        <w:rPr>
          <w:sz w:val="22"/>
          <w:szCs w:val="22"/>
          <w:lang w:val="pl-PL"/>
        </w:rPr>
        <w:t>Centrale CKT – Porty</w:t>
      </w:r>
      <w:bookmarkEnd w:id="287"/>
      <w:bookmarkEnd w:id="288"/>
      <w:bookmarkEnd w:id="289"/>
      <w:bookmarkEnd w:id="290"/>
      <w:bookmarkEnd w:id="291"/>
    </w:p>
    <w:p w:rsidR="00B92BFC" w:rsidRPr="00992AA5" w:rsidRDefault="00B92BFC" w:rsidP="00EB6C89">
      <w:pPr>
        <w:spacing w:before="120" w:line="240" w:lineRule="auto"/>
        <w:rPr>
          <w:lang w:val="pl-PL"/>
        </w:rPr>
      </w:pPr>
      <w:r w:rsidRPr="00992AA5">
        <w:rPr>
          <w:lang w:val="pl-PL"/>
        </w:rPr>
        <w:t xml:space="preserve">Do tej grupy został zaliczony fragment centrali końcowo - tranzytowej służący </w:t>
      </w:r>
      <w:r w:rsidR="00073C78" w:rsidRPr="00992AA5">
        <w:rPr>
          <w:lang w:val="pl-PL"/>
        </w:rPr>
        <w:br/>
      </w:r>
      <w:r w:rsidRPr="00992AA5">
        <w:rPr>
          <w:lang w:val="pl-PL"/>
        </w:rPr>
        <w:t>do bezpośredniego połączenia hosta z centralami telefonicznymi innego operatora. Wartość bieżącą wyznacza się za pomocą metody wyceny bezpośredniej. Na podstawie nominalnej liczby portów abonenckich</w:t>
      </w:r>
      <w:r w:rsidR="00AC0BBB" w:rsidRPr="00992AA5">
        <w:rPr>
          <w:lang w:val="pl-PL"/>
        </w:rPr>
        <w:t>, modułów IN wraz z oprogramowaniem</w:t>
      </w:r>
      <w:r w:rsidRPr="00992AA5">
        <w:rPr>
          <w:lang w:val="pl-PL"/>
        </w:rPr>
        <w:t xml:space="preserve">, portów 2Mb/s </w:t>
      </w:r>
      <w:r w:rsidR="00AC0BBB" w:rsidRPr="00992AA5">
        <w:rPr>
          <w:lang w:val="pl-PL"/>
        </w:rPr>
        <w:t xml:space="preserve">(IC, CCS, V5.x, DL, PRI …) </w:t>
      </w:r>
      <w:r w:rsidRPr="00992AA5">
        <w:rPr>
          <w:lang w:val="pl-PL"/>
        </w:rPr>
        <w:t xml:space="preserve">dedykowanych operatorom niezależnym oraz nominalnego ruchu generowanego przez abonentów wyznacza się szczegółową konfigurację poszczególnych systemów. Ceny poszczególnych elementów systemu pozyskuje się z umów zawartych </w:t>
      </w:r>
      <w:r w:rsidR="00073C78" w:rsidRPr="00992AA5">
        <w:rPr>
          <w:lang w:val="pl-PL"/>
        </w:rPr>
        <w:br/>
      </w:r>
      <w:r w:rsidRPr="00992AA5">
        <w:rPr>
          <w:lang w:val="pl-PL"/>
        </w:rPr>
        <w:t xml:space="preserve">z dostawcami sprzętu. Wartość bieżącą ustala się przez pomnożenie cen przez liczbę </w:t>
      </w:r>
      <w:r w:rsidRPr="00992AA5">
        <w:rPr>
          <w:lang w:val="pl-PL"/>
        </w:rPr>
        <w:lastRenderedPageBreak/>
        <w:t xml:space="preserve">elementów. Parametry nominalne pozyskuje się przy pomocy ankiet wypełnianych </w:t>
      </w:r>
      <w:r w:rsidR="00073C78" w:rsidRPr="00992AA5">
        <w:rPr>
          <w:lang w:val="pl-PL"/>
        </w:rPr>
        <w:br/>
      </w:r>
      <w:r w:rsidRPr="00992AA5">
        <w:rPr>
          <w:lang w:val="pl-PL"/>
        </w:rPr>
        <w:t xml:space="preserve">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292" w:name="_Toc136053987"/>
      <w:bookmarkStart w:id="293" w:name="_Toc154381956"/>
      <w:bookmarkStart w:id="294" w:name="_Toc169500146"/>
      <w:bookmarkStart w:id="295" w:name="_Toc314727627"/>
      <w:bookmarkStart w:id="296" w:name="_Toc383521188"/>
      <w:r w:rsidRPr="00992AA5">
        <w:rPr>
          <w:sz w:val="22"/>
          <w:szCs w:val="22"/>
          <w:lang w:val="pl-PL"/>
        </w:rPr>
        <w:t>Centrale CKT – IN</w:t>
      </w:r>
      <w:bookmarkEnd w:id="292"/>
      <w:bookmarkEnd w:id="293"/>
      <w:bookmarkEnd w:id="294"/>
      <w:bookmarkEnd w:id="295"/>
      <w:bookmarkEnd w:id="296"/>
    </w:p>
    <w:p w:rsidR="00B92BFC" w:rsidRPr="00992AA5" w:rsidRDefault="00B92BFC" w:rsidP="00EB6C89">
      <w:pPr>
        <w:spacing w:before="120" w:line="240" w:lineRule="auto"/>
        <w:rPr>
          <w:lang w:val="pl-PL"/>
        </w:rPr>
      </w:pPr>
      <w:r w:rsidRPr="00992AA5">
        <w:rPr>
          <w:lang w:val="pl-PL"/>
        </w:rPr>
        <w:t xml:space="preserve">Do tej grupy został zaliczony fragment centrali końcowo - tranzytowej odpowiedzialny </w:t>
      </w:r>
      <w:r w:rsidR="00073C78" w:rsidRPr="00992AA5">
        <w:rPr>
          <w:lang w:val="pl-PL"/>
        </w:rPr>
        <w:br/>
      </w:r>
      <w:r w:rsidRPr="00992AA5">
        <w:rPr>
          <w:lang w:val="pl-PL"/>
        </w:rPr>
        <w:t>za obsługę sieci inteligentnej. Wartość bieżącą wyznacza się za pomocą metody wyceny bezpośredniej. Na podstawie nominalnej liczby portów abonenckich, liczby modułów</w:t>
      </w:r>
      <w:r w:rsidR="00AC0BBB" w:rsidRPr="00992AA5">
        <w:rPr>
          <w:lang w:val="pl-PL"/>
        </w:rPr>
        <w:t xml:space="preserve"> IN</w:t>
      </w:r>
      <w:r w:rsidRPr="00992AA5">
        <w:rPr>
          <w:lang w:val="pl-PL"/>
        </w:rPr>
        <w:t xml:space="preserve"> wraz z oprogramowaniem</w:t>
      </w:r>
      <w:r w:rsidR="00AC0BBB" w:rsidRPr="00992AA5">
        <w:rPr>
          <w:lang w:val="pl-PL"/>
        </w:rPr>
        <w:t>, portów 2Mb/s (IC, CCS, V5.x, DL, PRI …)</w:t>
      </w:r>
      <w:r w:rsidRPr="00992AA5">
        <w:rPr>
          <w:lang w:val="pl-PL"/>
        </w:rPr>
        <w:t xml:space="preserve"> oraz nominalnego ruchu generowanego przez abonentów wyznacza się szczegółową konfiguracją poszczególnych systemów. Ceny poszczególnych elementów systemu pozyskuje się z umów zawartych </w:t>
      </w:r>
      <w:r w:rsidR="00073C78" w:rsidRPr="00992AA5">
        <w:rPr>
          <w:lang w:val="pl-PL"/>
        </w:rPr>
        <w:br/>
      </w:r>
      <w:r w:rsidRPr="00992AA5">
        <w:rPr>
          <w:lang w:val="pl-PL"/>
        </w:rPr>
        <w:t xml:space="preserve">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F50D4C">
      <w:pPr>
        <w:pStyle w:val="MIKNagwek2"/>
        <w:numPr>
          <w:ilvl w:val="2"/>
          <w:numId w:val="58"/>
        </w:numPr>
        <w:tabs>
          <w:tab w:val="clear" w:pos="2127"/>
          <w:tab w:val="num" w:pos="1134"/>
        </w:tabs>
        <w:ind w:hanging="993"/>
        <w:rPr>
          <w:sz w:val="22"/>
          <w:szCs w:val="22"/>
        </w:rPr>
      </w:pPr>
      <w:bookmarkStart w:id="297" w:name="_Toc136053988"/>
      <w:bookmarkStart w:id="298" w:name="_Toc154381957"/>
      <w:bookmarkStart w:id="299" w:name="_Toc169500147"/>
      <w:bookmarkStart w:id="300" w:name="_Toc314727628"/>
      <w:bookmarkStart w:id="301" w:name="_Toc383521189"/>
      <w:r w:rsidRPr="00992AA5">
        <w:rPr>
          <w:sz w:val="22"/>
          <w:szCs w:val="22"/>
        </w:rPr>
        <w:t>Centrale tranzytowe</w:t>
      </w:r>
      <w:bookmarkEnd w:id="297"/>
      <w:bookmarkEnd w:id="298"/>
      <w:bookmarkEnd w:id="299"/>
      <w:bookmarkEnd w:id="300"/>
      <w:bookmarkEnd w:id="301"/>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302" w:name="_Toc136053989"/>
      <w:bookmarkStart w:id="303" w:name="_Toc154381958"/>
      <w:bookmarkStart w:id="304" w:name="_Toc169500148"/>
      <w:bookmarkStart w:id="305" w:name="_Toc314727629"/>
      <w:bookmarkStart w:id="306" w:name="_Toc383521190"/>
      <w:r w:rsidRPr="00992AA5">
        <w:rPr>
          <w:sz w:val="22"/>
          <w:szCs w:val="22"/>
          <w:lang w:val="pl-PL"/>
        </w:rPr>
        <w:t>Centrale CT – POTS</w:t>
      </w:r>
      <w:bookmarkEnd w:id="302"/>
      <w:bookmarkEnd w:id="303"/>
      <w:bookmarkEnd w:id="304"/>
      <w:bookmarkEnd w:id="305"/>
      <w:bookmarkEnd w:id="306"/>
    </w:p>
    <w:p w:rsidR="00B92BFC" w:rsidRPr="00992AA5" w:rsidRDefault="00B92BFC" w:rsidP="00EB6C89">
      <w:pPr>
        <w:spacing w:before="120" w:line="240" w:lineRule="auto"/>
        <w:rPr>
          <w:lang w:val="pl-PL"/>
        </w:rPr>
      </w:pPr>
      <w:r w:rsidRPr="00992AA5">
        <w:rPr>
          <w:lang w:val="pl-PL"/>
        </w:rPr>
        <w:t>Do tej grupy została zaliczona część centrali tranzytowej związana z abonentami POTS podłączonymi do obiektów wyniesionych central, systemów dostępowych oraz koncentratorów lokalnych. Wartość bieżącą wyznacza się za pomocą metody wyceny bezpośredniej. Na podstawie nominalnej liczby portów</w:t>
      </w:r>
      <w:r w:rsidR="005F4566" w:rsidRPr="00992AA5">
        <w:rPr>
          <w:lang w:val="pl-PL"/>
        </w:rPr>
        <w:t xml:space="preserve"> abonenckich, modułów IN wraz </w:t>
      </w:r>
      <w:r w:rsidR="00073C78" w:rsidRPr="00992AA5">
        <w:rPr>
          <w:lang w:val="pl-PL"/>
        </w:rPr>
        <w:br/>
      </w:r>
      <w:r w:rsidR="005F4566" w:rsidRPr="00992AA5">
        <w:rPr>
          <w:lang w:val="pl-PL"/>
        </w:rPr>
        <w:t>z oprogramowaniem,</w:t>
      </w:r>
      <w:r w:rsidR="001A7C99" w:rsidRPr="00992AA5">
        <w:rPr>
          <w:lang w:val="pl-PL"/>
        </w:rPr>
        <w:t xml:space="preserve"> portów</w:t>
      </w:r>
      <w:r w:rsidRPr="00992AA5">
        <w:rPr>
          <w:lang w:val="pl-PL"/>
        </w:rPr>
        <w:t xml:space="preserve"> 2Mb/s (</w:t>
      </w:r>
      <w:r w:rsidR="001A7C99" w:rsidRPr="00992AA5">
        <w:rPr>
          <w:lang w:val="pl-PL"/>
        </w:rPr>
        <w:t xml:space="preserve">IC, </w:t>
      </w:r>
      <w:r w:rsidRPr="00992AA5">
        <w:rPr>
          <w:lang w:val="pl-PL"/>
        </w:rPr>
        <w:t xml:space="preserve">CCS, </w:t>
      </w:r>
      <w:r w:rsidR="001A7C99" w:rsidRPr="00992AA5">
        <w:rPr>
          <w:lang w:val="pl-PL"/>
        </w:rPr>
        <w:t xml:space="preserve">V5.x, </w:t>
      </w:r>
      <w:r w:rsidRPr="00992AA5">
        <w:rPr>
          <w:lang w:val="pl-PL"/>
        </w:rPr>
        <w:t>DL</w:t>
      </w:r>
      <w:r w:rsidR="001A7C99" w:rsidRPr="00992AA5">
        <w:rPr>
          <w:lang w:val="pl-PL"/>
        </w:rPr>
        <w:t>, PRI…</w:t>
      </w:r>
      <w:r w:rsidRPr="00992AA5">
        <w:rPr>
          <w:lang w:val="pl-PL"/>
        </w:rPr>
        <w:t xml:space="preserve">)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307" w:name="_Toc136053990"/>
      <w:bookmarkStart w:id="308" w:name="_Toc154381959"/>
      <w:bookmarkStart w:id="309" w:name="_Toc169500149"/>
      <w:bookmarkStart w:id="310" w:name="_Toc314727630"/>
      <w:bookmarkStart w:id="311" w:name="_Toc383521191"/>
      <w:r w:rsidRPr="00992AA5">
        <w:rPr>
          <w:sz w:val="22"/>
          <w:szCs w:val="22"/>
          <w:lang w:val="pl-PL"/>
        </w:rPr>
        <w:t>Centrale CT – ISDN</w:t>
      </w:r>
      <w:bookmarkEnd w:id="307"/>
      <w:bookmarkEnd w:id="308"/>
      <w:bookmarkEnd w:id="309"/>
      <w:r w:rsidR="00C37CF4" w:rsidRPr="00992AA5">
        <w:rPr>
          <w:sz w:val="22"/>
          <w:szCs w:val="22"/>
          <w:lang w:val="pl-PL"/>
        </w:rPr>
        <w:t xml:space="preserve"> BRA</w:t>
      </w:r>
      <w:bookmarkEnd w:id="310"/>
      <w:bookmarkEnd w:id="311"/>
    </w:p>
    <w:p w:rsidR="00B92BFC" w:rsidRPr="00992AA5" w:rsidRDefault="00B92BFC" w:rsidP="00EB6C89">
      <w:pPr>
        <w:spacing w:before="120" w:line="240" w:lineRule="auto"/>
        <w:rPr>
          <w:lang w:val="pl-PL"/>
        </w:rPr>
      </w:pPr>
      <w:r w:rsidRPr="00992AA5">
        <w:rPr>
          <w:lang w:val="pl-PL"/>
        </w:rPr>
        <w:t xml:space="preserve">Do tej grupy została zaliczona część centrali tranzytowej związana z abonentami ISDN </w:t>
      </w:r>
      <w:r w:rsidR="00C37CF4" w:rsidRPr="00992AA5">
        <w:rPr>
          <w:lang w:val="pl-PL"/>
        </w:rPr>
        <w:t xml:space="preserve">BRA </w:t>
      </w:r>
      <w:r w:rsidRPr="00992AA5">
        <w:rPr>
          <w:lang w:val="pl-PL"/>
        </w:rPr>
        <w:t>podłączonymi do obiektów wyniesionych central, systemów dostępowych oraz koncentratorów lokalnych. Wartość bieżącą wyznacza się za pomocą metody wyceny bezpośredniej. Na podstawie nominalnej liczby portów</w:t>
      </w:r>
      <w:r w:rsidR="003E675D" w:rsidRPr="00992AA5">
        <w:rPr>
          <w:lang w:val="pl-PL"/>
        </w:rPr>
        <w:t xml:space="preserve"> abonenckich, modułów IN wraz </w:t>
      </w:r>
      <w:r w:rsidR="00073C78" w:rsidRPr="00992AA5">
        <w:rPr>
          <w:lang w:val="pl-PL"/>
        </w:rPr>
        <w:br/>
      </w:r>
      <w:r w:rsidR="003E675D" w:rsidRPr="00992AA5">
        <w:rPr>
          <w:lang w:val="pl-PL"/>
        </w:rPr>
        <w:t xml:space="preserve">z oprogramowaniem, portów 2Mb/s (IC, CCS, V5.x, DL, PRI…) </w:t>
      </w:r>
      <w:r w:rsidRPr="00992AA5">
        <w:rPr>
          <w:lang w:val="pl-PL"/>
        </w:rPr>
        <w:t xml:space="preserve">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312" w:name="_Toc136053991"/>
      <w:bookmarkStart w:id="313" w:name="_Toc154381960"/>
      <w:bookmarkStart w:id="314" w:name="_Toc169500150"/>
      <w:bookmarkStart w:id="315" w:name="_Toc314727631"/>
      <w:bookmarkStart w:id="316" w:name="_Toc383521192"/>
      <w:r w:rsidRPr="00992AA5">
        <w:rPr>
          <w:sz w:val="22"/>
          <w:szCs w:val="22"/>
          <w:lang w:val="pl-PL"/>
        </w:rPr>
        <w:t>Centrale CT - Ruch</w:t>
      </w:r>
      <w:bookmarkEnd w:id="312"/>
      <w:bookmarkEnd w:id="313"/>
      <w:bookmarkEnd w:id="314"/>
      <w:bookmarkEnd w:id="315"/>
      <w:bookmarkEnd w:id="316"/>
    </w:p>
    <w:p w:rsidR="00B92BFC" w:rsidRPr="00992AA5" w:rsidRDefault="00B92BFC" w:rsidP="00EB6C89">
      <w:pPr>
        <w:spacing w:before="120" w:line="240" w:lineRule="auto"/>
        <w:rPr>
          <w:lang w:val="pl-PL"/>
        </w:rPr>
      </w:pPr>
      <w:r w:rsidRPr="00992AA5">
        <w:rPr>
          <w:lang w:val="pl-PL"/>
        </w:rPr>
        <w:t xml:space="preserve">Do tej grupy wchodzi część centrali tranzytowej związana z przetworzeniem ruchu wygenerowanego przez abonentów do niej podłączonych oraz innych central współpracujących. Wartość bieżącą wyznacza się za pomocą metody wyceny bezpośredniej. Na podstawie nominalnej liczby portów </w:t>
      </w:r>
      <w:r w:rsidR="003E675D" w:rsidRPr="00992AA5">
        <w:rPr>
          <w:lang w:val="pl-PL"/>
        </w:rPr>
        <w:t xml:space="preserve">abonenckich, modułów IN wraz z oprogramowaniem, portów </w:t>
      </w:r>
      <w:r w:rsidR="00D50D84" w:rsidRPr="00992AA5">
        <w:rPr>
          <w:lang w:val="pl-PL"/>
        </w:rPr>
        <w:t>2Mb/s (IC, CCS, V5.x, DL, PRI…)</w:t>
      </w:r>
      <w:r w:rsidRPr="00992AA5">
        <w:rPr>
          <w:lang w:val="pl-PL"/>
        </w:rPr>
        <w:t xml:space="preserve">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317" w:name="_Toc136053992"/>
      <w:bookmarkStart w:id="318" w:name="_Toc154381961"/>
      <w:bookmarkStart w:id="319" w:name="_Toc169500151"/>
      <w:bookmarkStart w:id="320" w:name="_Toc314727632"/>
      <w:bookmarkStart w:id="321" w:name="_Toc383521193"/>
      <w:r w:rsidRPr="00992AA5">
        <w:rPr>
          <w:sz w:val="22"/>
          <w:szCs w:val="22"/>
          <w:lang w:val="pl-PL"/>
        </w:rPr>
        <w:lastRenderedPageBreak/>
        <w:t>Centrale CT – Porty</w:t>
      </w:r>
      <w:bookmarkEnd w:id="317"/>
      <w:bookmarkEnd w:id="318"/>
      <w:bookmarkEnd w:id="319"/>
      <w:bookmarkEnd w:id="320"/>
      <w:bookmarkEnd w:id="321"/>
    </w:p>
    <w:p w:rsidR="00B92BFC" w:rsidRPr="00992AA5" w:rsidRDefault="00B92BFC" w:rsidP="00EB6C89">
      <w:pPr>
        <w:spacing w:before="120" w:line="240" w:lineRule="auto"/>
        <w:rPr>
          <w:lang w:val="pl-PL"/>
        </w:rPr>
      </w:pPr>
      <w:r w:rsidRPr="00992AA5">
        <w:rPr>
          <w:lang w:val="pl-PL"/>
        </w:rPr>
        <w:t xml:space="preserve">Do tej grupy został zaliczony fragment centrali tranzytowej służący do bezpośredniego połączenia hosta z centralami telefonicznymi innego operatora. Wartość bieżącą wyznacza się za pomocą metody wyceny bezpośredniej. Na podstawie nominalnej liczby portów </w:t>
      </w:r>
      <w:r w:rsidR="003E675D" w:rsidRPr="00992AA5">
        <w:rPr>
          <w:lang w:val="pl-PL"/>
        </w:rPr>
        <w:t xml:space="preserve">abonenckich, modułów IN wraz z oprogramowaniem, portów 2Mb/s (IC, CCS, V5.x, DL, PRI…) </w:t>
      </w:r>
      <w:r w:rsidRPr="00992AA5">
        <w:rPr>
          <w:lang w:val="pl-PL"/>
        </w:rPr>
        <w:t xml:space="preserve">dedykowanych operatorom niezależnym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322" w:name="_Toc136053993"/>
      <w:bookmarkStart w:id="323" w:name="_Toc154381962"/>
      <w:bookmarkStart w:id="324" w:name="_Toc169500152"/>
      <w:bookmarkStart w:id="325" w:name="_Toc314727633"/>
      <w:bookmarkStart w:id="326" w:name="_Toc383521194"/>
      <w:r w:rsidRPr="00992AA5">
        <w:rPr>
          <w:sz w:val="22"/>
          <w:szCs w:val="22"/>
          <w:lang w:val="pl-PL"/>
        </w:rPr>
        <w:t>Centrale CT – IN</w:t>
      </w:r>
      <w:bookmarkEnd w:id="322"/>
      <w:bookmarkEnd w:id="323"/>
      <w:bookmarkEnd w:id="324"/>
      <w:bookmarkEnd w:id="325"/>
      <w:bookmarkEnd w:id="326"/>
    </w:p>
    <w:p w:rsidR="00B92BFC" w:rsidRPr="00992AA5" w:rsidRDefault="00B92BFC" w:rsidP="00EB6C89">
      <w:pPr>
        <w:spacing w:before="120" w:line="240" w:lineRule="auto"/>
        <w:rPr>
          <w:lang w:val="pl-PL"/>
        </w:rPr>
      </w:pPr>
      <w:r w:rsidRPr="00992AA5">
        <w:rPr>
          <w:lang w:val="pl-PL"/>
        </w:rPr>
        <w:t xml:space="preserve">Do tej grupy został zaliczony fragment centrali tranzytowej odpowiedzialny za obsługę sieci inteligentnej. Wartość bieżącą wyznacza się za pomocą metody wyceny bezpośredniej. Na podstawie nominalnej liczby </w:t>
      </w:r>
      <w:r w:rsidR="00564FD5" w:rsidRPr="00992AA5">
        <w:rPr>
          <w:lang w:val="pl-PL"/>
        </w:rPr>
        <w:t xml:space="preserve">portów abonenckich, modułów IN wraz z oprogramowaniem, portów </w:t>
      </w:r>
      <w:r w:rsidR="00D50D84" w:rsidRPr="00992AA5">
        <w:rPr>
          <w:lang w:val="pl-PL"/>
        </w:rPr>
        <w:t>2Mb/s (IC, CCS, V5.x, DL, PRI…)</w:t>
      </w:r>
      <w:r w:rsidRPr="00992AA5">
        <w:rPr>
          <w:lang w:val="pl-PL"/>
        </w:rPr>
        <w:t xml:space="preserve">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F50D4C">
      <w:pPr>
        <w:pStyle w:val="MIKNagwek2"/>
        <w:numPr>
          <w:ilvl w:val="2"/>
          <w:numId w:val="58"/>
        </w:numPr>
        <w:tabs>
          <w:tab w:val="clear" w:pos="2127"/>
          <w:tab w:val="num" w:pos="993"/>
        </w:tabs>
        <w:rPr>
          <w:sz w:val="22"/>
          <w:szCs w:val="22"/>
        </w:rPr>
      </w:pPr>
      <w:bookmarkStart w:id="327" w:name="_Toc136053994"/>
      <w:bookmarkStart w:id="328" w:name="_Toc154381963"/>
      <w:bookmarkStart w:id="329" w:name="_Toc169500153"/>
      <w:bookmarkStart w:id="330" w:name="_Toc314727634"/>
      <w:bookmarkStart w:id="331" w:name="_Toc383521195"/>
      <w:r w:rsidRPr="00992AA5">
        <w:rPr>
          <w:sz w:val="22"/>
          <w:szCs w:val="22"/>
        </w:rPr>
        <w:t>Centrale międzynarodowe</w:t>
      </w:r>
      <w:bookmarkEnd w:id="327"/>
      <w:bookmarkEnd w:id="328"/>
      <w:bookmarkEnd w:id="329"/>
      <w:bookmarkEnd w:id="330"/>
      <w:bookmarkEnd w:id="331"/>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332" w:name="_Toc136053995"/>
      <w:bookmarkStart w:id="333" w:name="_Toc154381964"/>
      <w:bookmarkStart w:id="334" w:name="_Toc169500154"/>
      <w:bookmarkStart w:id="335" w:name="_Toc314727635"/>
      <w:bookmarkStart w:id="336" w:name="_Toc383521196"/>
      <w:r w:rsidRPr="00992AA5">
        <w:rPr>
          <w:sz w:val="22"/>
          <w:szCs w:val="22"/>
          <w:lang w:val="pl-PL"/>
        </w:rPr>
        <w:t>Centrale CMN - Ruch</w:t>
      </w:r>
      <w:bookmarkEnd w:id="332"/>
      <w:bookmarkEnd w:id="333"/>
      <w:bookmarkEnd w:id="334"/>
      <w:bookmarkEnd w:id="335"/>
      <w:bookmarkEnd w:id="336"/>
    </w:p>
    <w:p w:rsidR="00B92BFC" w:rsidRPr="00992AA5" w:rsidRDefault="00B92BFC" w:rsidP="00EB6C89">
      <w:pPr>
        <w:spacing w:before="120" w:line="240" w:lineRule="auto"/>
        <w:rPr>
          <w:lang w:val="pl-PL"/>
        </w:rPr>
      </w:pPr>
      <w:r w:rsidRPr="00992AA5">
        <w:rPr>
          <w:lang w:val="pl-PL"/>
        </w:rPr>
        <w:t xml:space="preserve">Do tej grupy kosztowej wchodzi część centrali międzynarodowej związana z przetworzeniem ruchu wygenerowanego przez centrale współpracujące. Wartość bieżącą wyznacza się </w:t>
      </w:r>
      <w:r w:rsidR="00073C78" w:rsidRPr="00992AA5">
        <w:rPr>
          <w:lang w:val="pl-PL"/>
        </w:rPr>
        <w:br/>
      </w:r>
      <w:r w:rsidRPr="00992AA5">
        <w:rPr>
          <w:lang w:val="pl-PL"/>
        </w:rPr>
        <w:t>za pomocą metody wyceny bezpośredniej. Na podstawie nominalnej liczby portów 2Mb/s (</w:t>
      </w:r>
      <w:r w:rsidR="00FF00DF" w:rsidRPr="00992AA5">
        <w:rPr>
          <w:lang w:val="pl-PL"/>
        </w:rPr>
        <w:t xml:space="preserve">IC, </w:t>
      </w:r>
      <w:r w:rsidRPr="00992AA5">
        <w:rPr>
          <w:lang w:val="pl-PL"/>
        </w:rPr>
        <w:t xml:space="preserve">CCS, DL) wyznacza się szczegółową konfigurację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EB6C89">
      <w:pPr>
        <w:pStyle w:val="MIKNagwek1"/>
        <w:numPr>
          <w:ilvl w:val="0"/>
          <w:numId w:val="0"/>
        </w:numPr>
        <w:spacing w:before="120" w:after="0" w:line="240" w:lineRule="auto"/>
        <w:ind w:left="1134" w:hanging="1134"/>
        <w:rPr>
          <w:sz w:val="22"/>
          <w:szCs w:val="22"/>
          <w:lang w:val="pl-PL"/>
        </w:rPr>
      </w:pPr>
      <w:bookmarkStart w:id="337" w:name="_Toc136053996"/>
      <w:bookmarkStart w:id="338" w:name="_Toc154381965"/>
      <w:bookmarkStart w:id="339" w:name="_Toc169500155"/>
      <w:bookmarkStart w:id="340" w:name="_Toc314727636"/>
      <w:bookmarkStart w:id="341" w:name="_Toc383521197"/>
      <w:r w:rsidRPr="00992AA5">
        <w:rPr>
          <w:sz w:val="22"/>
          <w:szCs w:val="22"/>
          <w:lang w:val="pl-PL"/>
        </w:rPr>
        <w:t>Centrale CMN – Porty</w:t>
      </w:r>
      <w:bookmarkEnd w:id="337"/>
      <w:bookmarkEnd w:id="338"/>
      <w:bookmarkEnd w:id="339"/>
      <w:bookmarkEnd w:id="340"/>
      <w:bookmarkEnd w:id="341"/>
    </w:p>
    <w:p w:rsidR="00B92BFC" w:rsidRPr="00992AA5" w:rsidRDefault="00B92BFC" w:rsidP="00EB6C89">
      <w:pPr>
        <w:spacing w:before="120" w:line="240" w:lineRule="auto"/>
        <w:rPr>
          <w:lang w:val="pl-PL"/>
        </w:rPr>
      </w:pPr>
      <w:r w:rsidRPr="00992AA5">
        <w:rPr>
          <w:lang w:val="pl-PL"/>
        </w:rPr>
        <w:t xml:space="preserve">Do tej grupy został zaliczony fragment centrali międzynarodowej służący do bezpośredniego połączenia hosta z centralami telefonicznymi innego operatora. Wartość bieżącą wyznacza się za pomocą metody wyceny bezpośredniej. Na podstawie nominalnej liczby portów 2Mb/s </w:t>
      </w:r>
      <w:r w:rsidR="00FF00DF" w:rsidRPr="00992AA5">
        <w:rPr>
          <w:lang w:val="pl-PL"/>
        </w:rPr>
        <w:t xml:space="preserve"> (IC, CCS, DL) </w:t>
      </w:r>
      <w:r w:rsidRPr="00992AA5">
        <w:rPr>
          <w:lang w:val="pl-PL"/>
        </w:rPr>
        <w:t xml:space="preserve">dedykowanych operatorom niezależnym wyznacza się szczegółową konfigurację systemów. Ceny poszczególnych elementów systemu pozyskuje się z umów zawartych 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0E316B" w:rsidRPr="00992AA5">
        <w:rPr>
          <w:lang w:val="pl-PL"/>
        </w:rPr>
        <w:t xml:space="preserve">OPL </w:t>
      </w:r>
      <w:r w:rsidRPr="00992AA5">
        <w:rPr>
          <w:lang w:val="pl-PL"/>
        </w:rPr>
        <w:t>oraz systemu ewidencji zasobów telekomunikacyjnych.</w:t>
      </w:r>
    </w:p>
    <w:p w:rsidR="00B92BFC" w:rsidRPr="00992AA5" w:rsidRDefault="00B92BFC" w:rsidP="00F50D4C">
      <w:pPr>
        <w:pStyle w:val="MIKNagwek2"/>
        <w:numPr>
          <w:ilvl w:val="2"/>
          <w:numId w:val="58"/>
        </w:numPr>
        <w:tabs>
          <w:tab w:val="clear" w:pos="2127"/>
          <w:tab w:val="num" w:pos="993"/>
        </w:tabs>
        <w:ind w:hanging="993"/>
        <w:rPr>
          <w:sz w:val="22"/>
          <w:szCs w:val="22"/>
        </w:rPr>
      </w:pPr>
      <w:bookmarkStart w:id="342" w:name="_Toc136053997"/>
      <w:bookmarkStart w:id="343" w:name="_Toc154381966"/>
      <w:bookmarkStart w:id="344" w:name="_Toc169500156"/>
      <w:bookmarkStart w:id="345" w:name="_Toc314727637"/>
      <w:bookmarkStart w:id="346" w:name="_Toc383521198"/>
      <w:r w:rsidRPr="00992AA5">
        <w:rPr>
          <w:sz w:val="22"/>
          <w:szCs w:val="22"/>
        </w:rPr>
        <w:t>Systemy nadzoru</w:t>
      </w:r>
      <w:bookmarkEnd w:id="342"/>
      <w:bookmarkEnd w:id="343"/>
      <w:bookmarkEnd w:id="344"/>
      <w:bookmarkEnd w:id="345"/>
      <w:bookmarkEnd w:id="346"/>
    </w:p>
    <w:p w:rsidR="00B92BFC" w:rsidRPr="00992AA5" w:rsidRDefault="00B92BFC" w:rsidP="006E5186">
      <w:pPr>
        <w:pStyle w:val="MIKNagwek1"/>
        <w:numPr>
          <w:ilvl w:val="0"/>
          <w:numId w:val="0"/>
        </w:numPr>
        <w:spacing w:before="120" w:after="0" w:line="240" w:lineRule="auto"/>
        <w:ind w:left="1134" w:hanging="1134"/>
        <w:rPr>
          <w:sz w:val="22"/>
          <w:szCs w:val="22"/>
        </w:rPr>
      </w:pPr>
      <w:bookmarkStart w:id="347" w:name="_Toc136053998"/>
      <w:bookmarkStart w:id="348" w:name="_Toc154381967"/>
      <w:bookmarkStart w:id="349" w:name="_Toc169500157"/>
      <w:bookmarkStart w:id="350" w:name="_Toc314727638"/>
      <w:bookmarkStart w:id="351" w:name="_Toc383521199"/>
      <w:proofErr w:type="spellStart"/>
      <w:r w:rsidRPr="00992AA5">
        <w:rPr>
          <w:sz w:val="22"/>
          <w:szCs w:val="22"/>
        </w:rPr>
        <w:t>Systemy</w:t>
      </w:r>
      <w:proofErr w:type="spellEnd"/>
      <w:r w:rsidRPr="00992AA5">
        <w:rPr>
          <w:sz w:val="22"/>
          <w:szCs w:val="22"/>
        </w:rPr>
        <w:t xml:space="preserve"> </w:t>
      </w:r>
      <w:proofErr w:type="spellStart"/>
      <w:r w:rsidRPr="00992AA5">
        <w:rPr>
          <w:sz w:val="22"/>
          <w:szCs w:val="22"/>
        </w:rPr>
        <w:t>nadzoru</w:t>
      </w:r>
      <w:proofErr w:type="spellEnd"/>
      <w:r w:rsidRPr="00992AA5">
        <w:rPr>
          <w:sz w:val="22"/>
          <w:szCs w:val="22"/>
        </w:rPr>
        <w:t xml:space="preserve"> - </w:t>
      </w:r>
      <w:proofErr w:type="spellStart"/>
      <w:r w:rsidRPr="00992AA5">
        <w:rPr>
          <w:sz w:val="22"/>
          <w:szCs w:val="22"/>
        </w:rPr>
        <w:t>komutacja</w:t>
      </w:r>
      <w:bookmarkEnd w:id="347"/>
      <w:bookmarkEnd w:id="348"/>
      <w:bookmarkEnd w:id="349"/>
      <w:bookmarkEnd w:id="350"/>
      <w:bookmarkEnd w:id="351"/>
      <w:proofErr w:type="spellEnd"/>
    </w:p>
    <w:p w:rsidR="00B92BFC" w:rsidRPr="00992AA5" w:rsidRDefault="00B92BFC" w:rsidP="00EB6C89">
      <w:pPr>
        <w:spacing w:before="120" w:line="240" w:lineRule="auto"/>
        <w:rPr>
          <w:lang w:val="pl-PL"/>
        </w:rPr>
      </w:pPr>
      <w:r w:rsidRPr="00992AA5" w:rsidDel="00B04E4D">
        <w:rPr>
          <w:lang w:val="pl-PL"/>
        </w:rPr>
        <w:t xml:space="preserve">Wartość bieżącą </w:t>
      </w:r>
      <w:r w:rsidRPr="00992AA5">
        <w:rPr>
          <w:lang w:val="pl-PL"/>
        </w:rPr>
        <w:t xml:space="preserve">systemów nadzoru </w:t>
      </w:r>
      <w:r w:rsidRPr="00992AA5" w:rsidDel="00B04E4D">
        <w:rPr>
          <w:lang w:val="pl-PL"/>
        </w:rPr>
        <w:t>wyznacza się na podstawi</w:t>
      </w:r>
      <w:r w:rsidRPr="00992AA5">
        <w:rPr>
          <w:lang w:val="pl-PL"/>
        </w:rPr>
        <w:t>e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1C3E34" w:rsidRPr="00992AA5" w:rsidRDefault="001C3E34" w:rsidP="006E5186">
      <w:pPr>
        <w:pStyle w:val="MIKNagwek1"/>
        <w:numPr>
          <w:ilvl w:val="0"/>
          <w:numId w:val="0"/>
        </w:numPr>
        <w:spacing w:before="120" w:after="0" w:line="240" w:lineRule="auto"/>
        <w:ind w:left="1134" w:hanging="1134"/>
        <w:rPr>
          <w:sz w:val="22"/>
          <w:szCs w:val="22"/>
          <w:lang w:val="pl-PL"/>
        </w:rPr>
      </w:pPr>
      <w:bookmarkStart w:id="352" w:name="_Toc314727639"/>
      <w:bookmarkStart w:id="353" w:name="_Toc383521200"/>
      <w:r w:rsidRPr="00992AA5">
        <w:rPr>
          <w:sz w:val="22"/>
          <w:szCs w:val="22"/>
          <w:lang w:val="pl-PL"/>
        </w:rPr>
        <w:lastRenderedPageBreak/>
        <w:t>System zarządzania ruchem</w:t>
      </w:r>
      <w:bookmarkEnd w:id="352"/>
      <w:bookmarkEnd w:id="353"/>
    </w:p>
    <w:p w:rsidR="001C3E34" w:rsidRPr="00992AA5" w:rsidRDefault="001C3E34" w:rsidP="00EB6C89">
      <w:pPr>
        <w:spacing w:before="120" w:line="240" w:lineRule="auto"/>
        <w:rPr>
          <w:lang w:val="pl-PL"/>
        </w:rPr>
      </w:pPr>
      <w:r w:rsidRPr="00992AA5" w:rsidDel="00B04E4D">
        <w:rPr>
          <w:lang w:val="pl-PL"/>
        </w:rPr>
        <w:t xml:space="preserve">Wartość bieżącą </w:t>
      </w:r>
      <w:r w:rsidRPr="00992AA5">
        <w:rPr>
          <w:lang w:val="pl-PL"/>
        </w:rPr>
        <w:t xml:space="preserve">systemu zarządzania ruchem </w:t>
      </w:r>
      <w:r w:rsidRPr="00992AA5" w:rsidDel="00B04E4D">
        <w:rPr>
          <w:lang w:val="pl-PL"/>
        </w:rPr>
        <w:t>wyznacza się na podstawi</w:t>
      </w:r>
      <w:r w:rsidRPr="00992AA5">
        <w:rPr>
          <w:lang w:val="pl-PL"/>
        </w:rPr>
        <w:t>e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F1324A" w:rsidRPr="00992AA5" w:rsidRDefault="00F1324A" w:rsidP="006E5186">
      <w:pPr>
        <w:pStyle w:val="MIKNagwek1"/>
        <w:numPr>
          <w:ilvl w:val="0"/>
          <w:numId w:val="0"/>
        </w:numPr>
        <w:spacing w:before="120" w:after="0" w:line="240" w:lineRule="auto"/>
        <w:ind w:left="1134" w:hanging="1134"/>
        <w:rPr>
          <w:sz w:val="22"/>
          <w:szCs w:val="22"/>
          <w:lang w:val="pl-PL"/>
        </w:rPr>
      </w:pPr>
      <w:bookmarkStart w:id="354" w:name="_Toc314727640"/>
      <w:bookmarkStart w:id="355" w:name="_Toc383521201"/>
      <w:r w:rsidRPr="00992AA5">
        <w:rPr>
          <w:sz w:val="22"/>
          <w:szCs w:val="22"/>
          <w:lang w:val="pl-PL"/>
        </w:rPr>
        <w:t>System zarządzania WLR</w:t>
      </w:r>
      <w:bookmarkEnd w:id="354"/>
      <w:bookmarkEnd w:id="355"/>
    </w:p>
    <w:p w:rsidR="00DD3CE9" w:rsidRPr="00992AA5" w:rsidRDefault="00F1324A" w:rsidP="00EB6C89">
      <w:pPr>
        <w:spacing w:before="120" w:line="240" w:lineRule="auto"/>
        <w:rPr>
          <w:lang w:val="pl-PL"/>
        </w:rPr>
      </w:pPr>
      <w:r w:rsidRPr="00992AA5">
        <w:rPr>
          <w:lang w:val="pl-PL"/>
        </w:rPr>
        <w:t xml:space="preserve">Wartość bieżącą systemu zarządzania WLR </w:t>
      </w:r>
      <w:r w:rsidR="00DD3CE9" w:rsidRPr="00992AA5">
        <w:rPr>
          <w:lang w:val="pl-PL"/>
        </w:rPr>
        <w:t>ustala się metodą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F50D4C">
      <w:pPr>
        <w:pStyle w:val="MIKNagwek2"/>
        <w:numPr>
          <w:ilvl w:val="2"/>
          <w:numId w:val="58"/>
        </w:numPr>
        <w:tabs>
          <w:tab w:val="clear" w:pos="2127"/>
        </w:tabs>
        <w:ind w:left="1134" w:firstLine="0"/>
        <w:rPr>
          <w:sz w:val="22"/>
          <w:szCs w:val="22"/>
        </w:rPr>
      </w:pPr>
      <w:bookmarkStart w:id="356" w:name="_Toc136054004"/>
      <w:bookmarkStart w:id="357" w:name="_Toc154381969"/>
      <w:bookmarkStart w:id="358" w:name="_Toc169500158"/>
      <w:bookmarkStart w:id="359" w:name="_Toc314727641"/>
      <w:bookmarkStart w:id="360" w:name="_Toc383521202"/>
      <w:r w:rsidRPr="00992AA5">
        <w:rPr>
          <w:sz w:val="22"/>
          <w:szCs w:val="22"/>
        </w:rPr>
        <w:t>Komutacja – pozostałe urządzenia</w:t>
      </w:r>
      <w:bookmarkEnd w:id="356"/>
      <w:bookmarkEnd w:id="357"/>
      <w:bookmarkEnd w:id="358"/>
      <w:bookmarkEnd w:id="359"/>
      <w:bookmarkEnd w:id="360"/>
    </w:p>
    <w:p w:rsidR="00B92BFC" w:rsidRPr="00992AA5" w:rsidRDefault="00B92BFC" w:rsidP="00F36488">
      <w:pPr>
        <w:pStyle w:val="MIKNagwek1"/>
        <w:numPr>
          <w:ilvl w:val="0"/>
          <w:numId w:val="0"/>
        </w:numPr>
        <w:spacing w:before="120" w:after="0" w:line="240" w:lineRule="auto"/>
        <w:rPr>
          <w:sz w:val="22"/>
          <w:szCs w:val="22"/>
        </w:rPr>
      </w:pPr>
      <w:bookmarkStart w:id="361" w:name="_Toc136054005"/>
      <w:bookmarkStart w:id="362" w:name="_Toc154381970"/>
      <w:bookmarkStart w:id="363" w:name="_Toc169500159"/>
      <w:bookmarkStart w:id="364" w:name="_Toc314727642"/>
      <w:bookmarkStart w:id="365" w:name="_Toc383521203"/>
      <w:proofErr w:type="spellStart"/>
      <w:r w:rsidRPr="00992AA5">
        <w:rPr>
          <w:sz w:val="22"/>
          <w:szCs w:val="22"/>
        </w:rPr>
        <w:t>Urządzenia</w:t>
      </w:r>
      <w:proofErr w:type="spellEnd"/>
      <w:r w:rsidRPr="00992AA5">
        <w:rPr>
          <w:sz w:val="22"/>
          <w:szCs w:val="22"/>
        </w:rPr>
        <w:t xml:space="preserve"> </w:t>
      </w:r>
      <w:proofErr w:type="spellStart"/>
      <w:r w:rsidRPr="00992AA5">
        <w:rPr>
          <w:sz w:val="22"/>
          <w:szCs w:val="22"/>
        </w:rPr>
        <w:t>Sieci</w:t>
      </w:r>
      <w:proofErr w:type="spellEnd"/>
      <w:r w:rsidRPr="00992AA5">
        <w:rPr>
          <w:sz w:val="22"/>
          <w:szCs w:val="22"/>
        </w:rPr>
        <w:t xml:space="preserve"> </w:t>
      </w:r>
      <w:proofErr w:type="spellStart"/>
      <w:r w:rsidRPr="00992AA5">
        <w:rPr>
          <w:sz w:val="22"/>
          <w:szCs w:val="22"/>
        </w:rPr>
        <w:t>Inteligentnej</w:t>
      </w:r>
      <w:bookmarkEnd w:id="361"/>
      <w:bookmarkEnd w:id="362"/>
      <w:bookmarkEnd w:id="363"/>
      <w:bookmarkEnd w:id="364"/>
      <w:bookmarkEnd w:id="365"/>
      <w:proofErr w:type="spellEnd"/>
    </w:p>
    <w:p w:rsidR="00B92BFC" w:rsidRPr="00992AA5" w:rsidRDefault="00B92BFC" w:rsidP="00EB6C89">
      <w:pPr>
        <w:spacing w:before="120" w:line="240" w:lineRule="auto"/>
        <w:rPr>
          <w:lang w:val="pl-PL"/>
        </w:rPr>
      </w:pPr>
      <w:r w:rsidRPr="00992AA5">
        <w:rPr>
          <w:lang w:val="pl-PL"/>
        </w:rPr>
        <w:t>Wartość bieżącą urządzeń Sieci inteligentnej ustala się metodą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366" w:name="_Toc136054006"/>
      <w:bookmarkStart w:id="367" w:name="_Toc154381971"/>
      <w:bookmarkStart w:id="368" w:name="_Toc169500160"/>
      <w:bookmarkStart w:id="369" w:name="_Toc314727643"/>
      <w:bookmarkStart w:id="370" w:name="_Toc383521204"/>
      <w:r w:rsidRPr="00992AA5">
        <w:rPr>
          <w:sz w:val="22"/>
          <w:szCs w:val="22"/>
          <w:lang w:val="pl-PL"/>
        </w:rPr>
        <w:t>Urządzenia Sieci Sygnalizacyjnej</w:t>
      </w:r>
      <w:bookmarkEnd w:id="366"/>
      <w:bookmarkEnd w:id="367"/>
      <w:bookmarkEnd w:id="368"/>
      <w:bookmarkEnd w:id="369"/>
      <w:bookmarkEnd w:id="370"/>
    </w:p>
    <w:p w:rsidR="00B92BFC" w:rsidRPr="00992AA5" w:rsidRDefault="00B92BFC" w:rsidP="00EB6C89">
      <w:pPr>
        <w:spacing w:before="120" w:line="240" w:lineRule="auto"/>
        <w:rPr>
          <w:lang w:val="pl-PL"/>
        </w:rPr>
      </w:pPr>
      <w:r w:rsidRPr="00992AA5" w:rsidDel="00B04E4D">
        <w:rPr>
          <w:lang w:val="pl-PL"/>
        </w:rPr>
        <w:t xml:space="preserve">Wartość bieżącą </w:t>
      </w:r>
      <w:r w:rsidRPr="00992AA5">
        <w:rPr>
          <w:lang w:val="pl-PL"/>
        </w:rPr>
        <w:t xml:space="preserve">urządzeń sieci sygnalizacyjnej </w:t>
      </w:r>
      <w:r w:rsidRPr="00992AA5" w:rsidDel="00B04E4D">
        <w:rPr>
          <w:lang w:val="pl-PL"/>
        </w:rPr>
        <w:t>wyznacza się na podstawi</w:t>
      </w:r>
      <w:r w:rsidRPr="00992AA5">
        <w:rPr>
          <w:lang w:val="pl-PL"/>
        </w:rPr>
        <w:t xml:space="preserve">e metody bezpośredniej i/lub metody indeksacji. Podstawę wyceny stanowią ceny poszczególnych elementów systemu, z uwzględnieniem upustów, pozyskane z umów zawartych z poszczególnymi dostawcami sprzętu. </w:t>
      </w:r>
    </w:p>
    <w:p w:rsidR="00B92BFC" w:rsidRPr="00992AA5" w:rsidRDefault="00B92BFC" w:rsidP="00EB6C89">
      <w:pPr>
        <w:spacing w:before="120" w:line="240" w:lineRule="auto"/>
        <w:rPr>
          <w:lang w:val="pl-PL"/>
        </w:rPr>
      </w:pPr>
      <w:r w:rsidRPr="00992AA5">
        <w:rPr>
          <w:lang w:val="pl-PL"/>
        </w:rPr>
        <w:t>W przypadku zastosowania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F50D4C">
      <w:pPr>
        <w:pStyle w:val="MIKNagwek2"/>
        <w:numPr>
          <w:ilvl w:val="2"/>
          <w:numId w:val="58"/>
        </w:numPr>
        <w:tabs>
          <w:tab w:val="clear" w:pos="2127"/>
          <w:tab w:val="num" w:pos="993"/>
        </w:tabs>
        <w:rPr>
          <w:sz w:val="22"/>
          <w:szCs w:val="22"/>
        </w:rPr>
      </w:pPr>
      <w:bookmarkStart w:id="371" w:name="_Toc154381972"/>
      <w:bookmarkStart w:id="372" w:name="_Toc169500161"/>
      <w:bookmarkStart w:id="373" w:name="_Toc314727644"/>
      <w:bookmarkStart w:id="374" w:name="_Toc383521205"/>
      <w:bookmarkStart w:id="375" w:name="_Toc136054009"/>
      <w:r w:rsidRPr="00992AA5">
        <w:rPr>
          <w:sz w:val="22"/>
          <w:szCs w:val="22"/>
        </w:rPr>
        <w:t>Sieć transmisyjna</w:t>
      </w:r>
      <w:bookmarkEnd w:id="371"/>
      <w:bookmarkEnd w:id="372"/>
      <w:bookmarkEnd w:id="373"/>
      <w:bookmarkEnd w:id="374"/>
      <w:r w:rsidRPr="00992AA5">
        <w:rPr>
          <w:sz w:val="22"/>
          <w:szCs w:val="22"/>
        </w:rPr>
        <w:t xml:space="preserve"> </w:t>
      </w:r>
      <w:bookmarkEnd w:id="375"/>
    </w:p>
    <w:p w:rsidR="00B92BFC" w:rsidRPr="00992AA5" w:rsidRDefault="00B92BFC" w:rsidP="00F36488">
      <w:pPr>
        <w:pStyle w:val="MIKNagwek1"/>
        <w:numPr>
          <w:ilvl w:val="0"/>
          <w:numId w:val="0"/>
        </w:numPr>
        <w:spacing w:before="120" w:after="0" w:line="240" w:lineRule="auto"/>
        <w:ind w:left="1134" w:hanging="1134"/>
        <w:rPr>
          <w:sz w:val="22"/>
          <w:szCs w:val="22"/>
        </w:rPr>
      </w:pPr>
      <w:bookmarkStart w:id="376" w:name="_Toc136054010"/>
      <w:bookmarkStart w:id="377" w:name="_Toc154381973"/>
      <w:bookmarkStart w:id="378" w:name="_Toc169500162"/>
      <w:bookmarkStart w:id="379" w:name="_Toc314727645"/>
      <w:bookmarkStart w:id="380" w:name="_Toc383521206"/>
      <w:proofErr w:type="spellStart"/>
      <w:r w:rsidRPr="00992AA5">
        <w:rPr>
          <w:sz w:val="22"/>
          <w:szCs w:val="22"/>
        </w:rPr>
        <w:t>Kanalizacja</w:t>
      </w:r>
      <w:proofErr w:type="spellEnd"/>
      <w:r w:rsidRPr="00992AA5">
        <w:rPr>
          <w:sz w:val="22"/>
          <w:szCs w:val="22"/>
        </w:rPr>
        <w:t xml:space="preserve"> </w:t>
      </w:r>
      <w:proofErr w:type="spellStart"/>
      <w:r w:rsidRPr="00992AA5">
        <w:rPr>
          <w:sz w:val="22"/>
          <w:szCs w:val="22"/>
        </w:rPr>
        <w:t>sieci</w:t>
      </w:r>
      <w:proofErr w:type="spellEnd"/>
      <w:r w:rsidRPr="00992AA5">
        <w:rPr>
          <w:sz w:val="22"/>
          <w:szCs w:val="22"/>
        </w:rPr>
        <w:t xml:space="preserve"> </w:t>
      </w:r>
      <w:proofErr w:type="spellStart"/>
      <w:r w:rsidRPr="00992AA5">
        <w:rPr>
          <w:sz w:val="22"/>
          <w:szCs w:val="22"/>
        </w:rPr>
        <w:t>transmisyjnej</w:t>
      </w:r>
      <w:bookmarkEnd w:id="376"/>
      <w:bookmarkEnd w:id="377"/>
      <w:bookmarkEnd w:id="378"/>
      <w:bookmarkEnd w:id="379"/>
      <w:bookmarkEnd w:id="380"/>
      <w:proofErr w:type="spellEnd"/>
      <w:r w:rsidRPr="00992AA5">
        <w:rPr>
          <w:sz w:val="22"/>
          <w:szCs w:val="22"/>
        </w:rPr>
        <w:t xml:space="preserve"> </w:t>
      </w:r>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długości oraz kosztu realizacji inwestycji i kosztu montażu typów kanalizacji stosowanych w </w:t>
      </w:r>
      <w:r w:rsidR="00436F44" w:rsidRPr="00992AA5">
        <w:rPr>
          <w:lang w:val="pl-PL"/>
        </w:rPr>
        <w:t>OPL</w:t>
      </w:r>
      <w:r w:rsidRPr="00992AA5">
        <w:rPr>
          <w:lang w:val="pl-PL"/>
        </w:rPr>
        <w:t xml:space="preserve">. Koszt montażu wylicza się na podstawie programu kosztorysowego "Zuzia". Dane o wolumenach kanalizacji pozyskuje się z ankiet wypełnianych na podstawie sprawozdawczości wewnętrznej </w:t>
      </w:r>
      <w:r w:rsidR="000E316B" w:rsidRPr="00992AA5">
        <w:rPr>
          <w:lang w:val="pl-PL"/>
        </w:rPr>
        <w:t>OPL</w:t>
      </w:r>
      <w:r w:rsidRPr="00992AA5">
        <w:rPr>
          <w:lang w:val="pl-PL"/>
        </w:rPr>
        <w:t xml:space="preserve">. Ceny poszczególnych elementów pozyskuje się z umów zawartych 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za utrudnienie ruchu, opłaty </w:t>
      </w:r>
      <w:r w:rsidR="00073C78" w:rsidRPr="00992AA5">
        <w:rPr>
          <w:lang w:val="pl-PL"/>
        </w:rPr>
        <w:br/>
      </w:r>
      <w:r w:rsidRPr="00992AA5">
        <w:rPr>
          <w:lang w:val="pl-PL"/>
        </w:rPr>
        <w:t>za nadzory branżowe) ustala się na podstawie umów zawartych z wykonawcami.</w:t>
      </w:r>
      <w:r w:rsidR="00B514FB" w:rsidRPr="00992AA5">
        <w:rPr>
          <w:lang w:val="pl-PL"/>
        </w:rPr>
        <w:t xml:space="preserve"> Koszty dodatkowe realizacji inwestycji dotyczące odszkodowań ustala się na podstawie zrealizowanych inwestycji.</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381" w:name="_Toc63670244"/>
      <w:bookmarkStart w:id="382" w:name="_Toc136054012"/>
      <w:bookmarkStart w:id="383" w:name="_Toc154381974"/>
      <w:bookmarkStart w:id="384" w:name="_Toc169500163"/>
      <w:bookmarkStart w:id="385" w:name="_Toc314727646"/>
      <w:bookmarkStart w:id="386" w:name="_Toc383521207"/>
      <w:r w:rsidRPr="00992AA5">
        <w:rPr>
          <w:sz w:val="22"/>
          <w:szCs w:val="22"/>
          <w:lang w:val="pl-PL"/>
        </w:rPr>
        <w:t>Kable sieci transmisyjnej</w:t>
      </w:r>
      <w:bookmarkEnd w:id="381"/>
      <w:bookmarkEnd w:id="382"/>
      <w:bookmarkEnd w:id="383"/>
      <w:bookmarkEnd w:id="384"/>
      <w:bookmarkEnd w:id="385"/>
      <w:bookmarkEnd w:id="386"/>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Grupa </w:t>
      </w:r>
      <w:r w:rsidR="00073C78" w:rsidRPr="00992AA5">
        <w:rPr>
          <w:lang w:val="pl-PL"/>
        </w:rPr>
        <w:br/>
      </w:r>
      <w:r w:rsidRPr="00992AA5">
        <w:rPr>
          <w:lang w:val="pl-PL"/>
        </w:rPr>
        <w:t xml:space="preserve">ta obejmuje również linie miedziane i kable współosiowe, które zamienia się zgodnie </w:t>
      </w:r>
      <w:r w:rsidR="00073C78" w:rsidRPr="00992AA5">
        <w:rPr>
          <w:lang w:val="pl-PL"/>
        </w:rPr>
        <w:br/>
      </w:r>
      <w:r w:rsidRPr="00992AA5">
        <w:rPr>
          <w:lang w:val="pl-PL"/>
        </w:rPr>
        <w:t xml:space="preserve">z metodą wyceny MEA na linie światłowodowe. Wartość bieżącą ustala się na podstawie nominalnej długości oraz kosztu realizacji inwestycji i kosztu montażu wszystkich typów kabli </w:t>
      </w:r>
      <w:r w:rsidRPr="00992AA5">
        <w:rPr>
          <w:lang w:val="pl-PL"/>
        </w:rPr>
        <w:lastRenderedPageBreak/>
        <w:t xml:space="preserve">światłowodowych stosowanych w </w:t>
      </w:r>
      <w:r w:rsidR="000E316B" w:rsidRPr="00992AA5">
        <w:rPr>
          <w:lang w:val="pl-PL"/>
        </w:rPr>
        <w:t>OPL</w:t>
      </w:r>
      <w:r w:rsidRPr="00992AA5">
        <w:rPr>
          <w:lang w:val="pl-PL"/>
        </w:rPr>
        <w:t>. Koszt montażu wylicza się na podstawie programu kosztorysowego "Zuzia". Dane o wolumenach kabli pozyskano z systemu. Ceny poszczególnych elementów pozyskuje się z umów zawartych z dostawcami sprzętu. Koszty dodatkowe realizacji inwestycji obejmujące dokumentację projektową oraz kompleksową obsługę inwestycji (tj. koszt powykonawczej dokumentacji geodezyjnej, opłaty za zajęcie pasa drogowego, opłaty za projekty organizacji ruchu, koszty badań zagęszczenia gruntu, opłaty za umieszczenie urządzeń telekomunikacyjnych, opłaty za utrudnienie ruchu, opłaty za nadzory branżowe) ustala się na podstawie umów zawartych z wykonawcami</w:t>
      </w:r>
      <w:r w:rsidR="003D2C27" w:rsidRPr="00992AA5">
        <w:rPr>
          <w:lang w:val="pl-PL"/>
        </w:rPr>
        <w:t xml:space="preserve"> bądź </w:t>
      </w:r>
      <w:r w:rsidR="00073C78" w:rsidRPr="00992AA5">
        <w:rPr>
          <w:lang w:val="pl-PL"/>
        </w:rPr>
        <w:br/>
      </w:r>
      <w:r w:rsidR="003D2C27" w:rsidRPr="00992AA5">
        <w:rPr>
          <w:lang w:val="pl-PL"/>
        </w:rPr>
        <w:t xml:space="preserve">na podstawie Środowiskowych </w:t>
      </w:r>
      <w:r w:rsidR="00547390" w:rsidRPr="00992AA5">
        <w:rPr>
          <w:lang w:val="pl-PL"/>
        </w:rPr>
        <w:t>Z</w:t>
      </w:r>
      <w:r w:rsidR="003D2C27" w:rsidRPr="00992AA5">
        <w:rPr>
          <w:lang w:val="pl-PL"/>
        </w:rPr>
        <w:t xml:space="preserve">asad </w:t>
      </w:r>
      <w:r w:rsidR="00547390" w:rsidRPr="00992AA5">
        <w:rPr>
          <w:lang w:val="pl-PL"/>
        </w:rPr>
        <w:t>W</w:t>
      </w:r>
      <w:r w:rsidR="003D2C27" w:rsidRPr="00992AA5">
        <w:rPr>
          <w:lang w:val="pl-PL"/>
        </w:rPr>
        <w:t xml:space="preserve">yceny </w:t>
      </w:r>
      <w:r w:rsidR="00547390" w:rsidRPr="00992AA5">
        <w:rPr>
          <w:lang w:val="pl-PL"/>
        </w:rPr>
        <w:t>P</w:t>
      </w:r>
      <w:r w:rsidR="003D2C27" w:rsidRPr="00992AA5">
        <w:rPr>
          <w:lang w:val="pl-PL"/>
        </w:rPr>
        <w:t xml:space="preserve">rac </w:t>
      </w:r>
      <w:r w:rsidR="00547390" w:rsidRPr="00992AA5">
        <w:rPr>
          <w:lang w:val="pl-PL"/>
        </w:rPr>
        <w:t>P</w:t>
      </w:r>
      <w:r w:rsidR="003D2C27" w:rsidRPr="00992AA5">
        <w:rPr>
          <w:lang w:val="pl-PL"/>
        </w:rPr>
        <w:t>rojektowych. Koszty dodatkowe realizacji inwestycji dotyczące odszkodowań ustala się na podstawie zrealizowanych inwestycji</w:t>
      </w:r>
      <w:r w:rsidRPr="00992AA5">
        <w:rPr>
          <w:lang w:val="pl-PL"/>
        </w:rPr>
        <w:t>.</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387" w:name="_Toc136054013"/>
      <w:bookmarkStart w:id="388" w:name="_Toc154381975"/>
      <w:bookmarkStart w:id="389" w:name="_Toc169500164"/>
      <w:bookmarkStart w:id="390" w:name="_Toc314727647"/>
      <w:bookmarkStart w:id="391" w:name="_Toc383521208"/>
      <w:r w:rsidRPr="00992AA5">
        <w:rPr>
          <w:sz w:val="22"/>
          <w:szCs w:val="22"/>
          <w:lang w:val="pl-PL"/>
        </w:rPr>
        <w:t>Przełącznice optyczne</w:t>
      </w:r>
      <w:bookmarkEnd w:id="387"/>
      <w:bookmarkEnd w:id="388"/>
      <w:bookmarkEnd w:id="389"/>
      <w:bookmarkEnd w:id="390"/>
      <w:bookmarkEnd w:id="391"/>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Wartość bieżącą ustala się na podstawie nominalnej pojemności oraz kosztu rozszycia włókien kabli światłowodowych. Koszt rozszycia włókien kabli światłowodowych wylicza się na podstawie programu kosztorysowego "Zuzia". Dane o wolumenach pojemności przełącznic pozyskuje się z ankiet wypełnianych na podstawie sprawozdawczości wewnętrznej </w:t>
      </w:r>
      <w:r w:rsidR="00436F44" w:rsidRPr="00992AA5">
        <w:rPr>
          <w:lang w:val="pl-PL"/>
        </w:rPr>
        <w:t>OPL</w:t>
      </w:r>
      <w:r w:rsidRPr="00992AA5">
        <w:rPr>
          <w:lang w:val="pl-PL"/>
        </w:rPr>
        <w:t>. Ceny poszczególnych elementów pozyskuje się z umów zawartych z dostawcami sprzętu.</w:t>
      </w:r>
      <w:r w:rsidR="003D2C27" w:rsidRPr="00992AA5">
        <w:rPr>
          <w:lang w:val="pl-PL"/>
        </w:rPr>
        <w:t xml:space="preserve"> </w:t>
      </w:r>
      <w:r w:rsidR="00547390" w:rsidRPr="00992AA5">
        <w:rPr>
          <w:lang w:val="pl-PL"/>
        </w:rPr>
        <w:t>Koszty dodatkowe realizacji inwestycji dotyczące prac projektowych ustala się na podstawie Środowiskowych Zasad Wyceny Prac Projektowych. Koszty dodatkowe realizacji inwestycji dotyczące odszkodowań ustala się na podstawie zrealizowanych inwestycji.</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392" w:name="_Toc136054024"/>
      <w:bookmarkStart w:id="393" w:name="_Toc154381976"/>
      <w:bookmarkStart w:id="394" w:name="_Toc169500165"/>
      <w:bookmarkStart w:id="395" w:name="_Toc314727648"/>
      <w:bookmarkStart w:id="396" w:name="_Toc383521209"/>
      <w:r w:rsidRPr="00992AA5">
        <w:rPr>
          <w:sz w:val="22"/>
          <w:szCs w:val="22"/>
          <w:lang w:val="pl-PL"/>
        </w:rPr>
        <w:t>Radiolinie</w:t>
      </w:r>
      <w:bookmarkEnd w:id="392"/>
      <w:bookmarkEnd w:id="393"/>
      <w:bookmarkEnd w:id="394"/>
      <w:bookmarkEnd w:id="395"/>
      <w:bookmarkEnd w:id="396"/>
    </w:p>
    <w:p w:rsidR="00B92BFC" w:rsidRPr="00992AA5" w:rsidRDefault="00B92BFC" w:rsidP="00EB6C89">
      <w:pPr>
        <w:spacing w:before="120" w:line="240" w:lineRule="auto"/>
        <w:rPr>
          <w:lang w:val="pl-PL"/>
        </w:rPr>
      </w:pPr>
      <w:r w:rsidRPr="00992AA5">
        <w:rPr>
          <w:lang w:val="pl-PL"/>
        </w:rPr>
        <w:t xml:space="preserve">Wartość bieżącą radiolinii ustala się na bazie kosztu historycznego. Radiolinie nie </w:t>
      </w:r>
      <w:r w:rsidR="00073C78" w:rsidRPr="00992AA5">
        <w:rPr>
          <w:lang w:val="pl-PL"/>
        </w:rPr>
        <w:br/>
      </w:r>
      <w:r w:rsidRPr="00992AA5">
        <w:rPr>
          <w:lang w:val="pl-PL"/>
        </w:rPr>
        <w:t xml:space="preserve">są przeszacowywane, do wyceny wykorzystuje się informacje o wartości brutto środków trwałych na dzień 31 grudnia </w:t>
      </w:r>
      <w:r w:rsidR="005B24B6" w:rsidRPr="00992AA5">
        <w:rPr>
          <w:lang w:val="pl-PL"/>
        </w:rPr>
        <w:t>2013</w:t>
      </w:r>
      <w:r w:rsidRPr="00992AA5">
        <w:rPr>
          <w:lang w:val="pl-PL"/>
        </w:rPr>
        <w:t xml:space="preserve"> roku pozyskane z systemu ewidencji środków trwałych.</w:t>
      </w:r>
    </w:p>
    <w:p w:rsidR="00B92BFC" w:rsidRPr="00992AA5" w:rsidRDefault="00B92BFC" w:rsidP="00F50D4C">
      <w:pPr>
        <w:pStyle w:val="MIKNagwek2"/>
        <w:numPr>
          <w:ilvl w:val="2"/>
          <w:numId w:val="58"/>
        </w:numPr>
        <w:tabs>
          <w:tab w:val="clear" w:pos="2127"/>
          <w:tab w:val="num" w:pos="1134"/>
        </w:tabs>
        <w:ind w:hanging="993"/>
        <w:rPr>
          <w:sz w:val="22"/>
          <w:szCs w:val="22"/>
        </w:rPr>
      </w:pPr>
      <w:bookmarkStart w:id="397" w:name="_Toc136054014"/>
      <w:bookmarkStart w:id="398" w:name="_Toc154381977"/>
      <w:bookmarkStart w:id="399" w:name="_Toc169500166"/>
      <w:bookmarkStart w:id="400" w:name="_Toc314727649"/>
      <w:bookmarkStart w:id="401" w:name="_Toc383521210"/>
      <w:r w:rsidRPr="00992AA5">
        <w:rPr>
          <w:sz w:val="22"/>
          <w:szCs w:val="22"/>
        </w:rPr>
        <w:t>Systemy transmisyjne</w:t>
      </w:r>
      <w:bookmarkEnd w:id="397"/>
      <w:bookmarkEnd w:id="398"/>
      <w:bookmarkEnd w:id="399"/>
      <w:bookmarkEnd w:id="400"/>
      <w:bookmarkEnd w:id="401"/>
    </w:p>
    <w:p w:rsidR="00B92BFC" w:rsidRPr="00992AA5" w:rsidRDefault="00B92BFC" w:rsidP="00F36488">
      <w:pPr>
        <w:pStyle w:val="MIKNagwek1"/>
        <w:numPr>
          <w:ilvl w:val="0"/>
          <w:numId w:val="0"/>
        </w:numPr>
        <w:spacing w:before="120" w:after="0" w:line="240" w:lineRule="auto"/>
        <w:ind w:left="1134" w:hanging="1134"/>
        <w:rPr>
          <w:sz w:val="22"/>
          <w:szCs w:val="22"/>
        </w:rPr>
      </w:pPr>
      <w:bookmarkStart w:id="402" w:name="_Toc136054015"/>
      <w:bookmarkStart w:id="403" w:name="_Toc154381978"/>
      <w:bookmarkStart w:id="404" w:name="_Toc169500167"/>
      <w:bookmarkStart w:id="405" w:name="_Toc314727650"/>
      <w:bookmarkStart w:id="406" w:name="_Toc383521211"/>
      <w:proofErr w:type="spellStart"/>
      <w:r w:rsidRPr="00992AA5">
        <w:rPr>
          <w:sz w:val="22"/>
          <w:szCs w:val="22"/>
        </w:rPr>
        <w:t>Urządzenia</w:t>
      </w:r>
      <w:proofErr w:type="spellEnd"/>
      <w:r w:rsidRPr="00992AA5">
        <w:rPr>
          <w:sz w:val="22"/>
          <w:szCs w:val="22"/>
        </w:rPr>
        <w:t xml:space="preserve"> HDSL</w:t>
      </w:r>
      <w:bookmarkEnd w:id="402"/>
      <w:bookmarkEnd w:id="403"/>
      <w:bookmarkEnd w:id="404"/>
      <w:bookmarkEnd w:id="405"/>
      <w:bookmarkEnd w:id="406"/>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a dla systemów transmisji analogowej za pomocą MEA. Liczbę oraz konfigurację urządzeń HDSL pozyskuje się za pomocą ankiet wypełnianych na podstawie sprawozdawczości wewnętrznej </w:t>
      </w:r>
      <w:r w:rsidR="000E316B" w:rsidRPr="00992AA5">
        <w:rPr>
          <w:lang w:val="pl-PL"/>
        </w:rPr>
        <w:t>OPL</w:t>
      </w:r>
      <w:r w:rsidRPr="00992AA5">
        <w:rPr>
          <w:lang w:val="pl-PL"/>
        </w:rPr>
        <w:t>. Ceny pozyskuje się z umów zawartych z dostawcami sprzętu. Wartość bieżącą ustala się przez pomnożenie cen przez liczbę elementów.</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407" w:name="_Toc136054016"/>
      <w:bookmarkStart w:id="408" w:name="_Toc154381979"/>
      <w:bookmarkStart w:id="409" w:name="_Toc169500168"/>
      <w:bookmarkStart w:id="410" w:name="_Toc314727651"/>
      <w:bookmarkStart w:id="411" w:name="_Toc383521212"/>
      <w:r w:rsidRPr="00992AA5">
        <w:rPr>
          <w:sz w:val="22"/>
          <w:szCs w:val="22"/>
          <w:lang w:val="pl-PL"/>
        </w:rPr>
        <w:t>Modemy optyczne</w:t>
      </w:r>
      <w:bookmarkEnd w:id="407"/>
      <w:bookmarkEnd w:id="408"/>
      <w:bookmarkEnd w:id="409"/>
      <w:bookmarkEnd w:id="410"/>
      <w:bookmarkEnd w:id="411"/>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Liczbę modemów optycznych oraz ich parametry nominalne pozyskano za pomocą ankiet wypełnianych </w:t>
      </w:r>
      <w:r w:rsidR="00073C78" w:rsidRPr="00992AA5">
        <w:rPr>
          <w:lang w:val="pl-PL"/>
        </w:rPr>
        <w:br/>
      </w:r>
      <w:r w:rsidRPr="00992AA5">
        <w:rPr>
          <w:lang w:val="pl-PL"/>
        </w:rPr>
        <w:t xml:space="preserve">na podstawie sprawozdawczości wewnętrznej </w:t>
      </w:r>
      <w:r w:rsidR="000E316B" w:rsidRPr="00992AA5">
        <w:rPr>
          <w:lang w:val="pl-PL"/>
        </w:rPr>
        <w:t>OPL</w:t>
      </w:r>
      <w:r w:rsidRPr="00992AA5">
        <w:rPr>
          <w:lang w:val="pl-PL"/>
        </w:rPr>
        <w:t xml:space="preserve">. Ceny pozyskuje się z umów zawartych </w:t>
      </w:r>
      <w:r w:rsidR="00073C78" w:rsidRPr="00992AA5">
        <w:rPr>
          <w:lang w:val="pl-PL"/>
        </w:rPr>
        <w:br/>
      </w:r>
      <w:r w:rsidRPr="00992AA5">
        <w:rPr>
          <w:lang w:val="pl-PL"/>
        </w:rPr>
        <w:t xml:space="preserve">z dostawcami sprzętu. Wartość bieżącą ustala się przez pomnożenie cen przez liczbę elementów. </w:t>
      </w:r>
    </w:p>
    <w:p w:rsidR="00B92BFC" w:rsidRPr="00992AA5" w:rsidRDefault="00B92BFC" w:rsidP="00F36488">
      <w:pPr>
        <w:pStyle w:val="MIKNagwek1"/>
        <w:numPr>
          <w:ilvl w:val="0"/>
          <w:numId w:val="0"/>
        </w:numPr>
        <w:spacing w:before="120" w:after="0" w:line="240" w:lineRule="auto"/>
        <w:rPr>
          <w:sz w:val="22"/>
          <w:szCs w:val="22"/>
          <w:lang w:val="pl-PL"/>
        </w:rPr>
      </w:pPr>
      <w:bookmarkStart w:id="412" w:name="_Toc136054017"/>
      <w:bookmarkStart w:id="413" w:name="_Toc154381980"/>
      <w:bookmarkStart w:id="414" w:name="_Toc169500169"/>
      <w:bookmarkStart w:id="415" w:name="_Toc314727652"/>
      <w:bookmarkStart w:id="416" w:name="_Toc383521213"/>
      <w:r w:rsidRPr="00992AA5">
        <w:rPr>
          <w:sz w:val="22"/>
          <w:szCs w:val="22"/>
          <w:lang w:val="pl-PL"/>
        </w:rPr>
        <w:t>Urządzenia SDH - warstwa PDH</w:t>
      </w:r>
      <w:bookmarkEnd w:id="412"/>
      <w:bookmarkEnd w:id="413"/>
      <w:bookmarkEnd w:id="414"/>
      <w:bookmarkEnd w:id="415"/>
      <w:bookmarkEnd w:id="416"/>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a dla urządzeń PDH za pomocą metody MEA. Na podstawie liczby strumieni 2Mb/s bezpośrednich oraz przelotowych i krotności systemu wyznacza się szczegółową konfigurację poszczególnych urządzeń. Liczbę krotnic oraz ich statystyki pozyskuje się za pomocą ankiet wypełnianych na podstawie sprawozdawczości wewnętrznej </w:t>
      </w:r>
      <w:r w:rsidR="000E316B" w:rsidRPr="00992AA5">
        <w:rPr>
          <w:lang w:val="pl-PL"/>
        </w:rPr>
        <w:t xml:space="preserve">OPL </w:t>
      </w:r>
      <w:r w:rsidRPr="00992AA5">
        <w:rPr>
          <w:lang w:val="pl-PL"/>
        </w:rPr>
        <w:t>lub z systemu ewidencji zasobów telekomunikacyjnych. Ceny pozyskuje się z umów zawartych z dostawcami sprzętu. Wartość bieżącą ustala się przez pomnożenie cen przez liczbę elementów.</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417" w:name="_Toc136054018"/>
      <w:bookmarkStart w:id="418" w:name="_Toc154381981"/>
      <w:bookmarkStart w:id="419" w:name="_Toc169500170"/>
      <w:bookmarkStart w:id="420" w:name="_Toc314727653"/>
      <w:bookmarkStart w:id="421" w:name="_Toc383521214"/>
      <w:r w:rsidRPr="00992AA5">
        <w:rPr>
          <w:sz w:val="22"/>
          <w:szCs w:val="22"/>
          <w:lang w:val="pl-PL"/>
        </w:rPr>
        <w:t>Urządzenia SDH - warstwa lokalna</w:t>
      </w:r>
      <w:bookmarkEnd w:id="417"/>
      <w:bookmarkEnd w:id="418"/>
      <w:bookmarkEnd w:id="419"/>
      <w:bookmarkEnd w:id="420"/>
      <w:bookmarkEnd w:id="421"/>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Na podstawie liczby strumieni 2Mb/s bezpośrednich oraz przelotowych i krotności systemu wyznacza się </w:t>
      </w:r>
      <w:r w:rsidRPr="00992AA5">
        <w:rPr>
          <w:lang w:val="pl-PL"/>
        </w:rPr>
        <w:lastRenderedPageBreak/>
        <w:t xml:space="preserve">szczegółową konfigurację poszczególnych urządzeń. Liczbę krotnic oraz ich statystyki pozyskuje się za pomocą ankiet wypełnianych na podstawie sprawozdawczości wewnętrznej </w:t>
      </w:r>
      <w:r w:rsidR="000E316B" w:rsidRPr="00992AA5">
        <w:rPr>
          <w:lang w:val="pl-PL"/>
        </w:rPr>
        <w:t xml:space="preserve">OPL </w:t>
      </w:r>
      <w:r w:rsidRPr="00992AA5">
        <w:rPr>
          <w:lang w:val="pl-PL"/>
        </w:rPr>
        <w:t>lub z systemu ewidencji zasobów telekomunikacyjnych. Ceny pozyskuje się z umów zawartych z dostawcami sprzętu. Wartość bieżącą ustala się przez pomnożenie cen przez liczbę elementów.</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422" w:name="_Toc136054019"/>
      <w:bookmarkStart w:id="423" w:name="_Toc154381982"/>
      <w:bookmarkStart w:id="424" w:name="_Toc169500171"/>
      <w:bookmarkStart w:id="425" w:name="_Toc314727654"/>
      <w:bookmarkStart w:id="426" w:name="_Toc383521215"/>
      <w:r w:rsidRPr="00992AA5">
        <w:rPr>
          <w:sz w:val="22"/>
          <w:szCs w:val="22"/>
          <w:lang w:val="pl-PL"/>
        </w:rPr>
        <w:t>Urządzenia SDH - warstwa regionalna</w:t>
      </w:r>
      <w:bookmarkEnd w:id="422"/>
      <w:bookmarkEnd w:id="423"/>
      <w:bookmarkEnd w:id="424"/>
      <w:bookmarkEnd w:id="425"/>
      <w:bookmarkEnd w:id="426"/>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Na podstawie liczby strumieni 2Mb/s bezpośrednich oraz przelotowych i krotności systemu wyznacza się szczegółową konfigurację poszczególnych urządzeń. Liczbę krotnic oraz ich statystyki pozyskuje się za pomocą ankiet wypełnianych na podstawie sprawozdawczości wewnętrznej </w:t>
      </w:r>
      <w:r w:rsidR="000E316B" w:rsidRPr="00992AA5">
        <w:rPr>
          <w:lang w:val="pl-PL"/>
        </w:rPr>
        <w:t xml:space="preserve">OPL </w:t>
      </w:r>
      <w:r w:rsidRPr="00992AA5">
        <w:rPr>
          <w:lang w:val="pl-PL"/>
        </w:rPr>
        <w:t>lub z systemu ewidencji zasobów telekomunikacyjnych. Ceny pozyskuje się z umów zawartych z dostawcami sprzętu. Wartość bieżącą ustala się przez pomnożenie cen przez liczbę elementów.</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427" w:name="_Toc136054020"/>
      <w:bookmarkStart w:id="428" w:name="_Toc154381983"/>
      <w:bookmarkStart w:id="429" w:name="_Toc169500172"/>
      <w:bookmarkStart w:id="430" w:name="_Toc314727655"/>
      <w:bookmarkStart w:id="431" w:name="_Toc383521216"/>
      <w:r w:rsidRPr="00992AA5">
        <w:rPr>
          <w:sz w:val="22"/>
          <w:szCs w:val="22"/>
          <w:lang w:val="pl-PL"/>
        </w:rPr>
        <w:t>Urządzenia SDH - warstwa tranzytowa</w:t>
      </w:r>
      <w:bookmarkEnd w:id="427"/>
      <w:bookmarkEnd w:id="428"/>
      <w:bookmarkEnd w:id="429"/>
      <w:bookmarkEnd w:id="430"/>
      <w:bookmarkEnd w:id="431"/>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Na podstawie liczby strumieni 2Mb/s bezpośrednich oraz przelotowych i krotności systemu wyznacza się szczegółową konfigurację poszczególnych urządzeń. Liczbę krotnic oraz ich statystyki pozyskuje się za pomocą ankiet wypełnianych na podstawie sprawozdawczości wewnętrznej </w:t>
      </w:r>
      <w:r w:rsidR="000E316B" w:rsidRPr="00992AA5">
        <w:rPr>
          <w:lang w:val="pl-PL"/>
        </w:rPr>
        <w:t xml:space="preserve">OPL </w:t>
      </w:r>
      <w:r w:rsidRPr="00992AA5">
        <w:rPr>
          <w:lang w:val="pl-PL"/>
        </w:rPr>
        <w:t>lub z systemu ewidencji zasobów telekomunikacyjnych. Ceny pozyskuje się z umów zawartych z dostawcami sprzętu. Wartość bieżącą ustala się przez pomnożenie cen przez liczbę elementów.</w:t>
      </w:r>
    </w:p>
    <w:p w:rsidR="00593057" w:rsidRPr="00992AA5" w:rsidRDefault="00593057" w:rsidP="00F36488">
      <w:pPr>
        <w:pStyle w:val="MIKNagwek1"/>
        <w:numPr>
          <w:ilvl w:val="0"/>
          <w:numId w:val="0"/>
        </w:numPr>
        <w:spacing w:before="120" w:after="0" w:line="240" w:lineRule="auto"/>
        <w:ind w:left="1134" w:hanging="1134"/>
        <w:rPr>
          <w:sz w:val="22"/>
          <w:szCs w:val="22"/>
          <w:lang w:val="pl-PL"/>
        </w:rPr>
      </w:pPr>
      <w:bookmarkStart w:id="432" w:name="_Toc314727656"/>
      <w:bookmarkStart w:id="433" w:name="_Toc383521217"/>
      <w:r w:rsidRPr="00992AA5">
        <w:rPr>
          <w:sz w:val="22"/>
          <w:szCs w:val="22"/>
          <w:lang w:val="pl-PL"/>
        </w:rPr>
        <w:t>Urządzenia DWDM – warstwa lokalna</w:t>
      </w:r>
      <w:bookmarkEnd w:id="432"/>
      <w:bookmarkEnd w:id="433"/>
    </w:p>
    <w:p w:rsidR="00593057" w:rsidRPr="00992AA5" w:rsidRDefault="00593057" w:rsidP="00EB6C89">
      <w:pPr>
        <w:spacing w:before="120" w:line="240" w:lineRule="auto"/>
        <w:rPr>
          <w:lang w:val="pl-PL"/>
        </w:rPr>
      </w:pPr>
      <w:r w:rsidRPr="00992AA5">
        <w:rPr>
          <w:lang w:val="pl-PL"/>
        </w:rPr>
        <w:t xml:space="preserve">Wartość bieżącą wyznacza się za pomocą metody wyceny bezpośredniej. Liczbę urządzeń oraz ich statystyki pozyskuje się za pomocą ankiet wypełnianych na podstawie sprawozdawczości wewnętrznej </w:t>
      </w:r>
      <w:r w:rsidR="000E316B" w:rsidRPr="00992AA5">
        <w:rPr>
          <w:lang w:val="pl-PL"/>
        </w:rPr>
        <w:t>OPL</w:t>
      </w:r>
      <w:r w:rsidRPr="00992AA5">
        <w:rPr>
          <w:lang w:val="pl-PL"/>
        </w:rPr>
        <w:t>. Ceny pozyskuje się z umów zawartych z dostawcami sprzętu. Wartość bieżącą ustala się przez pomnożenie cen przez liczbę elementów.</w:t>
      </w:r>
    </w:p>
    <w:p w:rsidR="00593057" w:rsidRPr="00992AA5" w:rsidRDefault="00593057" w:rsidP="00F36488">
      <w:pPr>
        <w:pStyle w:val="MIKNagwek1"/>
        <w:numPr>
          <w:ilvl w:val="0"/>
          <w:numId w:val="0"/>
        </w:numPr>
        <w:spacing w:before="120" w:after="0" w:line="240" w:lineRule="auto"/>
        <w:ind w:left="1134" w:hanging="1134"/>
        <w:rPr>
          <w:sz w:val="22"/>
          <w:szCs w:val="22"/>
          <w:lang w:val="pl-PL"/>
        </w:rPr>
      </w:pPr>
      <w:bookmarkStart w:id="434" w:name="_Toc314727657"/>
      <w:bookmarkStart w:id="435" w:name="_Toc383521218"/>
      <w:r w:rsidRPr="00992AA5">
        <w:rPr>
          <w:sz w:val="22"/>
          <w:szCs w:val="22"/>
          <w:lang w:val="pl-PL"/>
        </w:rPr>
        <w:t>Urządzenia DWDM</w:t>
      </w:r>
      <w:r w:rsidR="005A625E" w:rsidRPr="00992AA5">
        <w:rPr>
          <w:sz w:val="22"/>
          <w:szCs w:val="22"/>
          <w:lang w:val="pl-PL"/>
        </w:rPr>
        <w:t xml:space="preserve"> – warstwa regionalna</w:t>
      </w:r>
      <w:bookmarkEnd w:id="434"/>
      <w:bookmarkEnd w:id="435"/>
    </w:p>
    <w:p w:rsidR="00593057" w:rsidRPr="00992AA5" w:rsidRDefault="00593057" w:rsidP="00EB6C89">
      <w:pPr>
        <w:spacing w:before="120" w:line="240" w:lineRule="auto"/>
        <w:rPr>
          <w:lang w:val="pl-PL"/>
        </w:rPr>
      </w:pPr>
      <w:r w:rsidRPr="00992AA5">
        <w:rPr>
          <w:lang w:val="pl-PL"/>
        </w:rPr>
        <w:t xml:space="preserve">Wartość bieżącą wyznacza się za pomocą metody wyceny bezpośredniej. Liczbę urządzeń oraz ich statystyki pozyskuje się za pomocą ankiet wypełnianych na podstawie sprawozdawczości wewnętrznej </w:t>
      </w:r>
      <w:r w:rsidR="000E316B" w:rsidRPr="00992AA5">
        <w:rPr>
          <w:lang w:val="pl-PL"/>
        </w:rPr>
        <w:t>OPL</w:t>
      </w:r>
      <w:r w:rsidRPr="00992AA5">
        <w:rPr>
          <w:lang w:val="pl-PL"/>
        </w:rPr>
        <w:t>. Ceny pozyskuje się z umów zawartych z dostawcami sprzętu. Wartość bieżącą ustala się przez pomnożenie cen przez liczbę elementów.</w:t>
      </w:r>
    </w:p>
    <w:p w:rsidR="00593057" w:rsidRPr="00992AA5" w:rsidRDefault="00593057" w:rsidP="00F36488">
      <w:pPr>
        <w:pStyle w:val="MIKNagwek1"/>
        <w:numPr>
          <w:ilvl w:val="0"/>
          <w:numId w:val="0"/>
        </w:numPr>
        <w:spacing w:before="120" w:after="0" w:line="240" w:lineRule="auto"/>
        <w:ind w:left="1134" w:hanging="1134"/>
        <w:rPr>
          <w:sz w:val="22"/>
          <w:szCs w:val="22"/>
          <w:lang w:val="pl-PL"/>
        </w:rPr>
      </w:pPr>
      <w:bookmarkStart w:id="436" w:name="_Toc314727658"/>
      <w:bookmarkStart w:id="437" w:name="_Toc383521219"/>
      <w:r w:rsidRPr="00992AA5">
        <w:rPr>
          <w:sz w:val="22"/>
          <w:szCs w:val="22"/>
          <w:lang w:val="pl-PL"/>
        </w:rPr>
        <w:t>Urządzenia DWDM</w:t>
      </w:r>
      <w:r w:rsidR="005A625E" w:rsidRPr="00992AA5">
        <w:rPr>
          <w:sz w:val="22"/>
          <w:szCs w:val="22"/>
          <w:lang w:val="pl-PL"/>
        </w:rPr>
        <w:t xml:space="preserve"> – warstwa tranzytowa</w:t>
      </w:r>
      <w:bookmarkEnd w:id="436"/>
      <w:bookmarkEnd w:id="437"/>
    </w:p>
    <w:p w:rsidR="00593057" w:rsidRPr="00992AA5" w:rsidRDefault="00593057" w:rsidP="00EB6C89">
      <w:pPr>
        <w:spacing w:before="120" w:line="240" w:lineRule="auto"/>
        <w:rPr>
          <w:lang w:val="pl-PL"/>
        </w:rPr>
      </w:pPr>
      <w:r w:rsidRPr="00992AA5">
        <w:rPr>
          <w:lang w:val="pl-PL"/>
        </w:rPr>
        <w:t xml:space="preserve">Wartość bieżącą wyznacza się za pomocą metody wyceny bezpośredniej. Liczbę urządzeń oraz ich statystyki pozyskuje się za pomocą ankiet wypełnianych na podstawie sprawozdawczości wewnętrznej </w:t>
      </w:r>
      <w:r w:rsidR="000E316B" w:rsidRPr="00992AA5">
        <w:rPr>
          <w:lang w:val="pl-PL"/>
        </w:rPr>
        <w:t>OPL</w:t>
      </w:r>
      <w:r w:rsidRPr="00992AA5">
        <w:rPr>
          <w:lang w:val="pl-PL"/>
        </w:rPr>
        <w:t>. Ceny pozyskuje się z umów zawartych z dostawcami sprzętu. Wartość bieżącą ustala się przez pomnożenie cen przez liczbę elementów.</w:t>
      </w:r>
    </w:p>
    <w:p w:rsidR="00953034" w:rsidRPr="00992AA5" w:rsidRDefault="00953034" w:rsidP="00F36488">
      <w:pPr>
        <w:pStyle w:val="MIKNagwek1"/>
        <w:numPr>
          <w:ilvl w:val="0"/>
          <w:numId w:val="0"/>
        </w:numPr>
        <w:spacing w:before="120" w:after="0" w:line="240" w:lineRule="auto"/>
        <w:ind w:left="1134" w:hanging="1134"/>
        <w:rPr>
          <w:sz w:val="22"/>
          <w:szCs w:val="22"/>
          <w:lang w:val="pl-PL"/>
        </w:rPr>
      </w:pPr>
      <w:bookmarkStart w:id="438" w:name="_Toc314727659"/>
      <w:bookmarkStart w:id="439" w:name="_Toc383521220"/>
      <w:r w:rsidRPr="00992AA5">
        <w:rPr>
          <w:sz w:val="22"/>
          <w:szCs w:val="22"/>
          <w:lang w:val="pl-PL"/>
        </w:rPr>
        <w:t>Urządzenia ROADM - Warstwa tranzytowa</w:t>
      </w:r>
      <w:bookmarkEnd w:id="438"/>
      <w:bookmarkEnd w:id="439"/>
    </w:p>
    <w:p w:rsidR="00482F9D" w:rsidRPr="00992AA5" w:rsidRDefault="00482F9D" w:rsidP="00EB6C89">
      <w:pPr>
        <w:spacing w:before="120" w:line="240" w:lineRule="auto"/>
        <w:rPr>
          <w:lang w:val="pl-PL"/>
        </w:rPr>
      </w:pPr>
      <w:bookmarkStart w:id="440" w:name="_Toc136054021"/>
      <w:bookmarkStart w:id="441" w:name="_Toc154381985"/>
      <w:bookmarkStart w:id="442" w:name="_Toc169500174"/>
      <w:bookmarkStart w:id="443" w:name="_Toc314727660"/>
      <w:r w:rsidRPr="00992AA5">
        <w:rPr>
          <w:lang w:val="pl-PL"/>
        </w:rPr>
        <w:t xml:space="preserve">Wartość bieżącą wyznacza się za pomocą metody wyceny bezpośredniej. Liczbę urządzeń oraz ich statystyki pozyskuje się za pomocą ankiet wypełnianych na podstawie sprawozdawczości wewnętrznej </w:t>
      </w:r>
      <w:r w:rsidR="000E316B" w:rsidRPr="00992AA5">
        <w:rPr>
          <w:lang w:val="pl-PL"/>
        </w:rPr>
        <w:t>OPL</w:t>
      </w:r>
      <w:r w:rsidRPr="00992AA5">
        <w:rPr>
          <w:lang w:val="pl-PL"/>
        </w:rPr>
        <w:t>. Ceny pozyskuje się z umów zawartych z dostawcami sprzętu. Wartość bieżącą ustala się przez pomnożenie cen przez liczbę elementów.</w:t>
      </w:r>
    </w:p>
    <w:p w:rsidR="00B92BFC" w:rsidRPr="00992AA5" w:rsidRDefault="00B92BFC" w:rsidP="00F36488">
      <w:pPr>
        <w:pStyle w:val="MIKNagwek1"/>
        <w:numPr>
          <w:ilvl w:val="0"/>
          <w:numId w:val="0"/>
        </w:numPr>
        <w:spacing w:before="120" w:after="0" w:line="240" w:lineRule="auto"/>
        <w:ind w:left="1134" w:hanging="1134"/>
        <w:rPr>
          <w:sz w:val="22"/>
          <w:szCs w:val="22"/>
          <w:lang w:val="pl-PL"/>
        </w:rPr>
      </w:pPr>
      <w:bookmarkStart w:id="444" w:name="_Toc383521221"/>
      <w:r w:rsidRPr="00992AA5">
        <w:rPr>
          <w:sz w:val="22"/>
          <w:szCs w:val="22"/>
          <w:lang w:val="pl-PL"/>
        </w:rPr>
        <w:t xml:space="preserve">Urządzenia Cross </w:t>
      </w:r>
      <w:proofErr w:type="spellStart"/>
      <w:r w:rsidRPr="00992AA5">
        <w:rPr>
          <w:sz w:val="22"/>
          <w:szCs w:val="22"/>
          <w:lang w:val="pl-PL"/>
        </w:rPr>
        <w:t>Connect</w:t>
      </w:r>
      <w:bookmarkEnd w:id="440"/>
      <w:bookmarkEnd w:id="441"/>
      <w:bookmarkEnd w:id="442"/>
      <w:bookmarkEnd w:id="443"/>
      <w:bookmarkEnd w:id="444"/>
      <w:proofErr w:type="spellEnd"/>
    </w:p>
    <w:p w:rsidR="00B92BFC" w:rsidRPr="00992AA5" w:rsidRDefault="00B92BFC" w:rsidP="00EB6C89">
      <w:pPr>
        <w:spacing w:before="120" w:line="240" w:lineRule="auto"/>
        <w:rPr>
          <w:lang w:val="pl-PL"/>
        </w:rPr>
      </w:pPr>
      <w:r w:rsidRPr="00992AA5">
        <w:rPr>
          <w:lang w:val="pl-PL"/>
        </w:rPr>
        <w:t>Wartość bieżącą wyznacza się za pomocą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F36488">
      <w:pPr>
        <w:pStyle w:val="MIKNagwek1"/>
        <w:numPr>
          <w:ilvl w:val="0"/>
          <w:numId w:val="0"/>
        </w:numPr>
        <w:spacing w:before="120" w:after="0" w:line="240" w:lineRule="auto"/>
        <w:rPr>
          <w:sz w:val="22"/>
          <w:szCs w:val="22"/>
          <w:lang w:val="pl-PL"/>
        </w:rPr>
      </w:pPr>
      <w:bookmarkStart w:id="445" w:name="_Toc136054023"/>
      <w:bookmarkStart w:id="446" w:name="_Toc154381986"/>
      <w:bookmarkStart w:id="447" w:name="_Toc169500175"/>
      <w:bookmarkStart w:id="448" w:name="_Toc314727661"/>
      <w:bookmarkStart w:id="449" w:name="_Toc383521222"/>
      <w:r w:rsidRPr="00992AA5">
        <w:rPr>
          <w:sz w:val="22"/>
          <w:szCs w:val="22"/>
          <w:lang w:val="pl-PL"/>
        </w:rPr>
        <w:lastRenderedPageBreak/>
        <w:t>Urządzenia nx64 –warstwa szkielet</w:t>
      </w:r>
      <w:bookmarkEnd w:id="445"/>
      <w:r w:rsidRPr="00992AA5">
        <w:rPr>
          <w:sz w:val="22"/>
          <w:szCs w:val="22"/>
          <w:lang w:val="pl-PL"/>
        </w:rPr>
        <w:t>owa</w:t>
      </w:r>
      <w:bookmarkEnd w:id="446"/>
      <w:bookmarkEnd w:id="447"/>
      <w:bookmarkEnd w:id="448"/>
      <w:bookmarkEnd w:id="449"/>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i/lub za pomocą metody indeksacji w przypadku braku możliwości wyceny bezpośredniej. Liczbę urządzeń oraz ich statystyki pozyskuje się za pomocą ankiet wypełnianych na podstawie sprawozdawczości wewnętrznej </w:t>
      </w:r>
      <w:r w:rsidR="000E316B" w:rsidRPr="00992AA5">
        <w:rPr>
          <w:lang w:val="pl-PL"/>
        </w:rPr>
        <w:t>OPL</w:t>
      </w:r>
      <w:r w:rsidRPr="00992AA5">
        <w:rPr>
          <w:lang w:val="pl-PL"/>
        </w:rPr>
        <w:t xml:space="preserve">. Ceny pozyskuje się z umów zawartych z dostawcami sprzętu. Wartość bieżącą ustala się przez pomnożenie cen przez liczbę elementów. </w:t>
      </w:r>
    </w:p>
    <w:p w:rsidR="00B92BFC" w:rsidRPr="00992AA5" w:rsidRDefault="00B92BFC" w:rsidP="00EB6C89">
      <w:pPr>
        <w:spacing w:before="120" w:line="240" w:lineRule="auto"/>
        <w:rPr>
          <w:lang w:val="pl-PL"/>
        </w:rPr>
      </w:pPr>
      <w:r w:rsidRPr="00992AA5">
        <w:rPr>
          <w:lang w:val="pl-PL"/>
        </w:rPr>
        <w:t>W przypadku zastosowania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A12C6A" w:rsidRPr="00992AA5" w:rsidRDefault="00A12C6A" w:rsidP="00F36488">
      <w:pPr>
        <w:pStyle w:val="MIKNagwek1"/>
        <w:numPr>
          <w:ilvl w:val="0"/>
          <w:numId w:val="0"/>
        </w:numPr>
        <w:spacing w:before="120" w:after="0" w:line="240" w:lineRule="auto"/>
        <w:ind w:left="1134" w:hanging="1134"/>
        <w:rPr>
          <w:sz w:val="22"/>
          <w:szCs w:val="22"/>
          <w:lang w:val="pl-PL"/>
        </w:rPr>
      </w:pPr>
      <w:bookmarkStart w:id="450" w:name="_Toc314727662"/>
      <w:bookmarkStart w:id="451" w:name="_Toc383521223"/>
      <w:r w:rsidRPr="00992AA5">
        <w:rPr>
          <w:sz w:val="22"/>
          <w:szCs w:val="22"/>
          <w:lang w:val="pl-PL"/>
        </w:rPr>
        <w:t>Urządzenia ASON</w:t>
      </w:r>
      <w:bookmarkEnd w:id="450"/>
      <w:bookmarkEnd w:id="451"/>
    </w:p>
    <w:p w:rsidR="00A12C6A" w:rsidRPr="00992AA5" w:rsidRDefault="007D2732" w:rsidP="00EB6C89">
      <w:pPr>
        <w:spacing w:before="120" w:line="240" w:lineRule="auto"/>
        <w:rPr>
          <w:lang w:val="pl-PL"/>
        </w:rPr>
      </w:pPr>
      <w:r w:rsidRPr="00992AA5">
        <w:rPr>
          <w:lang w:val="pl-PL"/>
        </w:rPr>
        <w:t xml:space="preserve">Wartość bieżącą wyznacza się za pomocą metody wyceny bezpośredniej. Liczbę urządzeń oraz ich statystyki pozyskuje się za pomocą ankiet wypełnianych na podstawie sprawozdawczości wewnętrznej </w:t>
      </w:r>
      <w:r w:rsidR="000E316B" w:rsidRPr="00992AA5">
        <w:rPr>
          <w:lang w:val="pl-PL"/>
        </w:rPr>
        <w:t>OPL</w:t>
      </w:r>
      <w:r w:rsidRPr="00992AA5">
        <w:rPr>
          <w:lang w:val="pl-PL"/>
        </w:rPr>
        <w:t>. Ceny pozyskuje się z umów zawartych z dostawcami sprzętu. Wartość bieżącą ustala się przez pomnożenie cen przez liczbę elementów</w:t>
      </w:r>
      <w:r w:rsidR="005476BC" w:rsidRPr="00992AA5">
        <w:rPr>
          <w:lang w:val="pl-PL"/>
        </w:rPr>
        <w:t>.</w:t>
      </w:r>
    </w:p>
    <w:p w:rsidR="00A12C6A" w:rsidRPr="00992AA5" w:rsidRDefault="00A12C6A" w:rsidP="00F36488">
      <w:pPr>
        <w:pStyle w:val="MIKNagwek1"/>
        <w:numPr>
          <w:ilvl w:val="0"/>
          <w:numId w:val="0"/>
        </w:numPr>
        <w:spacing w:before="120" w:after="0" w:line="240" w:lineRule="auto"/>
        <w:ind w:left="1134" w:hanging="1134"/>
        <w:rPr>
          <w:sz w:val="22"/>
          <w:szCs w:val="22"/>
          <w:lang w:val="pl-PL"/>
        </w:rPr>
      </w:pPr>
      <w:bookmarkStart w:id="452" w:name="_Toc314727663"/>
      <w:bookmarkStart w:id="453" w:name="_Toc383521224"/>
      <w:r w:rsidRPr="00992AA5">
        <w:rPr>
          <w:sz w:val="22"/>
          <w:szCs w:val="22"/>
          <w:lang w:val="pl-PL"/>
        </w:rPr>
        <w:t>Urządzenia nadzoru - transmisja</w:t>
      </w:r>
      <w:bookmarkEnd w:id="452"/>
      <w:bookmarkEnd w:id="453"/>
    </w:p>
    <w:p w:rsidR="00A12C6A" w:rsidRPr="00992AA5" w:rsidRDefault="00A12C6A" w:rsidP="00EB6C89">
      <w:pPr>
        <w:spacing w:before="120" w:line="240" w:lineRule="auto"/>
        <w:rPr>
          <w:lang w:val="pl-PL"/>
        </w:rPr>
      </w:pPr>
      <w:r w:rsidRPr="00992AA5">
        <w:rPr>
          <w:lang w:val="pl-PL"/>
        </w:rPr>
        <w:t xml:space="preserve">Wartość bieżącą wyznacza się za pomocą metody indeksacji. Jako dane źródłowe </w:t>
      </w:r>
      <w:r w:rsidR="00073C78" w:rsidRPr="00992AA5">
        <w:rPr>
          <w:lang w:val="pl-PL"/>
        </w:rPr>
        <w:br/>
      </w:r>
      <w:r w:rsidRPr="00992AA5">
        <w:rPr>
          <w:lang w:val="pl-PL"/>
        </w:rPr>
        <w:t>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F50D4C">
      <w:pPr>
        <w:pStyle w:val="MIKNagwek2"/>
        <w:numPr>
          <w:ilvl w:val="2"/>
          <w:numId w:val="58"/>
        </w:numPr>
        <w:tabs>
          <w:tab w:val="clear" w:pos="2127"/>
          <w:tab w:val="num" w:pos="1134"/>
        </w:tabs>
        <w:rPr>
          <w:sz w:val="22"/>
          <w:szCs w:val="22"/>
        </w:rPr>
      </w:pPr>
      <w:bookmarkStart w:id="454" w:name="_Toc136054027"/>
      <w:bookmarkStart w:id="455" w:name="_Toc154381989"/>
      <w:bookmarkStart w:id="456" w:name="_Toc169500177"/>
      <w:bookmarkStart w:id="457" w:name="_Toc314727664"/>
      <w:bookmarkStart w:id="458" w:name="_Toc383521225"/>
      <w:r w:rsidRPr="00992AA5">
        <w:rPr>
          <w:sz w:val="22"/>
          <w:szCs w:val="22"/>
        </w:rPr>
        <w:t>Urządzenia dostępu do sieci pakietowej</w:t>
      </w:r>
      <w:bookmarkEnd w:id="454"/>
      <w:bookmarkEnd w:id="455"/>
      <w:bookmarkEnd w:id="456"/>
      <w:bookmarkEnd w:id="457"/>
      <w:bookmarkEnd w:id="458"/>
    </w:p>
    <w:p w:rsidR="00E75B43" w:rsidRPr="00992AA5" w:rsidRDefault="00E75B43" w:rsidP="00EB6C89">
      <w:pPr>
        <w:spacing w:before="120" w:line="240" w:lineRule="auto"/>
        <w:rPr>
          <w:lang w:val="pl-PL"/>
        </w:rPr>
      </w:pPr>
      <w:r w:rsidRPr="00992AA5">
        <w:rPr>
          <w:lang w:val="pl-PL"/>
        </w:rPr>
        <w:t>Przyjmuje się, że obecnie operator inwestując w sieć szerokopasmowej transmisji danych, inwestowałby w technologię Ethernet, a nie ATM/FR</w:t>
      </w:r>
      <w:r w:rsidR="008508DF" w:rsidRPr="00992AA5">
        <w:rPr>
          <w:lang w:val="pl-PL"/>
        </w:rPr>
        <w:t>, jako bardziej optymalną i ekonomicznie efektywną. Dlatego też, w kalkulacji kosztów</w:t>
      </w:r>
      <w:r w:rsidR="005E2ADA" w:rsidRPr="00992AA5">
        <w:rPr>
          <w:lang w:val="pl-PL"/>
        </w:rPr>
        <w:t>, urządzenia działające w sieci ATM/FR zamieniane są, zgodnie z koncepcją wyceny MEA, na urządzenia sieci Ethernet</w:t>
      </w:r>
      <w:r w:rsidR="00510CFD" w:rsidRPr="00992AA5">
        <w:rPr>
          <w:lang w:val="pl-PL"/>
        </w:rPr>
        <w:t xml:space="preserve">. </w:t>
      </w:r>
    </w:p>
    <w:p w:rsidR="00B92BFC" w:rsidRPr="00992AA5" w:rsidRDefault="00B92BFC" w:rsidP="00F36488">
      <w:pPr>
        <w:pStyle w:val="MIKNagwek2"/>
        <w:numPr>
          <w:ilvl w:val="2"/>
          <w:numId w:val="58"/>
        </w:numPr>
        <w:rPr>
          <w:sz w:val="22"/>
          <w:szCs w:val="22"/>
        </w:rPr>
      </w:pPr>
      <w:bookmarkStart w:id="459" w:name="_Toc154381990"/>
      <w:bookmarkStart w:id="460" w:name="_Toc169500178"/>
      <w:bookmarkStart w:id="461" w:name="_Toc314727665"/>
      <w:bookmarkStart w:id="462" w:name="_Toc383521226"/>
      <w:bookmarkStart w:id="463" w:name="_Toc136054028"/>
      <w:proofErr w:type="spellStart"/>
      <w:r w:rsidRPr="00992AA5">
        <w:rPr>
          <w:sz w:val="22"/>
          <w:szCs w:val="22"/>
        </w:rPr>
        <w:t>Gateway</w:t>
      </w:r>
      <w:proofErr w:type="spellEnd"/>
      <w:r w:rsidRPr="00992AA5">
        <w:rPr>
          <w:sz w:val="22"/>
          <w:szCs w:val="22"/>
        </w:rPr>
        <w:t xml:space="preserve"> PSTN – IP</w:t>
      </w:r>
      <w:bookmarkEnd w:id="459"/>
      <w:bookmarkEnd w:id="460"/>
      <w:bookmarkEnd w:id="461"/>
      <w:bookmarkEnd w:id="462"/>
      <w:r w:rsidRPr="00992AA5">
        <w:rPr>
          <w:sz w:val="22"/>
          <w:szCs w:val="22"/>
        </w:rPr>
        <w:t xml:space="preserve"> </w:t>
      </w:r>
      <w:bookmarkEnd w:id="463"/>
    </w:p>
    <w:p w:rsidR="00B92BFC" w:rsidRPr="00992AA5" w:rsidRDefault="00B92BFC" w:rsidP="00EB6C89">
      <w:pPr>
        <w:spacing w:before="120" w:line="240" w:lineRule="auto"/>
        <w:rPr>
          <w:lang w:val="pl-PL"/>
        </w:rPr>
      </w:pPr>
      <w:r w:rsidRPr="00992AA5">
        <w:rPr>
          <w:lang w:val="pl-PL"/>
        </w:rPr>
        <w:t xml:space="preserve">Wartość bieżącą wyznacza się za pomocą metody wyceny bezpośredniej i/lub za pomocą metody indeksacji w przypadku braku możliwości wyceny bezpośredniej. Na podstawie nominalnej liczby portów wyznacza się szczegółową konfigurację systemu.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 xml:space="preserve">oraz z systemu ewidencji zasobów telekomunikacyjnych. </w:t>
      </w:r>
    </w:p>
    <w:p w:rsidR="00B92BFC" w:rsidRPr="00992AA5" w:rsidRDefault="00B92BFC" w:rsidP="00EB6C89">
      <w:pPr>
        <w:spacing w:before="120" w:line="240" w:lineRule="auto"/>
        <w:rPr>
          <w:lang w:val="pl-PL"/>
        </w:rPr>
      </w:pPr>
      <w:r w:rsidRPr="00992AA5">
        <w:rPr>
          <w:lang w:val="pl-PL"/>
        </w:rPr>
        <w:t>W przypadku zastosowania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F36488">
      <w:pPr>
        <w:pStyle w:val="MIKNagwek2"/>
        <w:numPr>
          <w:ilvl w:val="2"/>
          <w:numId w:val="58"/>
        </w:numPr>
        <w:rPr>
          <w:sz w:val="22"/>
          <w:szCs w:val="22"/>
        </w:rPr>
      </w:pPr>
      <w:bookmarkStart w:id="464" w:name="_Toc154381991"/>
      <w:bookmarkStart w:id="465" w:name="_Toc169500179"/>
      <w:bookmarkStart w:id="466" w:name="_Toc314727666"/>
      <w:bookmarkStart w:id="467" w:name="_Toc383521227"/>
      <w:bookmarkStart w:id="468" w:name="_Toc136054030"/>
      <w:r w:rsidRPr="00992AA5">
        <w:rPr>
          <w:sz w:val="22"/>
          <w:szCs w:val="22"/>
        </w:rPr>
        <w:t>DSLAM – ADSL</w:t>
      </w:r>
      <w:bookmarkEnd w:id="464"/>
      <w:bookmarkEnd w:id="465"/>
      <w:bookmarkEnd w:id="466"/>
      <w:bookmarkEnd w:id="467"/>
      <w:r w:rsidRPr="00992AA5">
        <w:rPr>
          <w:sz w:val="22"/>
          <w:szCs w:val="22"/>
        </w:rPr>
        <w:t xml:space="preserve"> </w:t>
      </w:r>
      <w:bookmarkEnd w:id="468"/>
    </w:p>
    <w:p w:rsidR="00B92BFC" w:rsidRPr="00992AA5" w:rsidRDefault="00E94905" w:rsidP="00EB6C89">
      <w:pPr>
        <w:spacing w:before="120" w:line="240" w:lineRule="auto"/>
        <w:rPr>
          <w:lang w:val="pl-PL"/>
        </w:rPr>
      </w:pPr>
      <w:r w:rsidRPr="00992AA5">
        <w:rPr>
          <w:lang w:val="pl-PL"/>
        </w:rPr>
        <w:t xml:space="preserve">Do tej grupy została zaliczona część urządzenia DSLAM związana z zapewnieniem gotowości do świadczenia szerokopasmowych, asymetrycznych usług dla abonentów. Wartość bieżącą wyznacza się za pomocą metody wyceny bezpośredniej. Na podstawie nominalnej liczby portów abonenckich, wyznacza się szczegółową konfigurację poszczególnych systemów. Ceny poszczególnych elementów systemu pozyskuje się </w:t>
      </w:r>
      <w:r w:rsidR="00073C78" w:rsidRPr="00992AA5">
        <w:rPr>
          <w:lang w:val="pl-PL"/>
        </w:rPr>
        <w:br/>
      </w:r>
      <w:r w:rsidRPr="00992AA5">
        <w:rPr>
          <w:lang w:val="pl-PL"/>
        </w:rPr>
        <w:t xml:space="preserve">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r w:rsidR="00B92BFC" w:rsidRPr="00992AA5">
        <w:rPr>
          <w:lang w:val="pl-PL"/>
        </w:rPr>
        <w:t>.</w:t>
      </w:r>
    </w:p>
    <w:p w:rsidR="000846D7" w:rsidRPr="00992AA5" w:rsidRDefault="000846D7" w:rsidP="00F36488">
      <w:pPr>
        <w:pStyle w:val="MIKNagwek2"/>
        <w:numPr>
          <w:ilvl w:val="2"/>
          <w:numId w:val="58"/>
        </w:numPr>
        <w:rPr>
          <w:sz w:val="22"/>
          <w:szCs w:val="22"/>
        </w:rPr>
      </w:pPr>
      <w:bookmarkStart w:id="469" w:name="_Toc314727667"/>
      <w:bookmarkStart w:id="470" w:name="_Toc383521228"/>
      <w:r w:rsidRPr="00992AA5">
        <w:rPr>
          <w:sz w:val="22"/>
          <w:szCs w:val="22"/>
        </w:rPr>
        <w:lastRenderedPageBreak/>
        <w:t>DSLAM – VDSL</w:t>
      </w:r>
      <w:bookmarkEnd w:id="469"/>
      <w:bookmarkEnd w:id="470"/>
      <w:r w:rsidRPr="00992AA5">
        <w:rPr>
          <w:sz w:val="22"/>
          <w:szCs w:val="22"/>
        </w:rPr>
        <w:t xml:space="preserve"> </w:t>
      </w:r>
    </w:p>
    <w:p w:rsidR="000846D7" w:rsidRPr="00992AA5" w:rsidRDefault="000846D7" w:rsidP="00EB6C89">
      <w:pPr>
        <w:spacing w:before="120" w:line="240" w:lineRule="auto"/>
        <w:rPr>
          <w:lang w:val="pl-PL"/>
        </w:rPr>
      </w:pPr>
      <w:r w:rsidRPr="00992AA5">
        <w:rPr>
          <w:lang w:val="pl-PL"/>
        </w:rPr>
        <w:t>Do tej grupy została zaliczona część urządzenia DSLAM związana z zapewnieniem gotowości do świadczenia szerokopasmowych</w:t>
      </w:r>
      <w:r w:rsidR="00E610A2" w:rsidRPr="00992AA5">
        <w:rPr>
          <w:lang w:val="pl-PL"/>
        </w:rPr>
        <w:t xml:space="preserve"> </w:t>
      </w:r>
      <w:r w:rsidRPr="00992AA5">
        <w:rPr>
          <w:lang w:val="pl-PL"/>
        </w:rPr>
        <w:t xml:space="preserve">usług dla abonentów. Wartość bieżącą wyznacza się za pomocą metody wyceny bezpośredniej. Na podstawie nominalnej liczby portów abonenckich,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0846D7" w:rsidRPr="00992AA5" w:rsidRDefault="000846D7" w:rsidP="00F36488">
      <w:pPr>
        <w:pStyle w:val="MIKNagwek2"/>
        <w:numPr>
          <w:ilvl w:val="2"/>
          <w:numId w:val="58"/>
        </w:numPr>
        <w:rPr>
          <w:sz w:val="22"/>
          <w:szCs w:val="22"/>
        </w:rPr>
      </w:pPr>
      <w:bookmarkStart w:id="471" w:name="_Toc314727668"/>
      <w:bookmarkStart w:id="472" w:name="_Toc383521229"/>
      <w:r w:rsidRPr="00992AA5">
        <w:rPr>
          <w:sz w:val="22"/>
          <w:szCs w:val="22"/>
        </w:rPr>
        <w:t>DSLAM – OPT</w:t>
      </w:r>
      <w:bookmarkEnd w:id="471"/>
      <w:bookmarkEnd w:id="472"/>
    </w:p>
    <w:p w:rsidR="000846D7" w:rsidRPr="00992AA5" w:rsidRDefault="000846D7" w:rsidP="00EB6C89">
      <w:pPr>
        <w:spacing w:before="120" w:line="240" w:lineRule="auto"/>
        <w:rPr>
          <w:lang w:val="pl-PL"/>
        </w:rPr>
      </w:pPr>
      <w:r w:rsidRPr="00992AA5">
        <w:rPr>
          <w:lang w:val="pl-PL"/>
        </w:rPr>
        <w:t xml:space="preserve">Do tej grupy została zaliczona część urządzenia DSLAM związana z zapewnieniem gotowości do świadczenia szerokopasmowych, </w:t>
      </w:r>
      <w:r w:rsidR="008121EB" w:rsidRPr="00992AA5">
        <w:rPr>
          <w:lang w:val="pl-PL"/>
        </w:rPr>
        <w:t>optycznych</w:t>
      </w:r>
      <w:r w:rsidRPr="00992AA5">
        <w:rPr>
          <w:lang w:val="pl-PL"/>
        </w:rPr>
        <w:t xml:space="preserve"> usług dla abonentów. Wartość bieżącą wyznacza się za pomocą metody wyceny bezpośredniej. Na podstawie nominalnej liczby portów abonenckich, wyznacza się szczegółową konfigurację poszczególnych systemów. Ceny poszczególnych elementów systemu pozyskuje się z umów zawartych </w:t>
      </w:r>
      <w:r w:rsidR="00073C78" w:rsidRPr="00992AA5">
        <w:rPr>
          <w:lang w:val="pl-PL"/>
        </w:rPr>
        <w:br/>
      </w:r>
      <w:r w:rsidRPr="00992AA5">
        <w:rPr>
          <w:lang w:val="pl-PL"/>
        </w:rPr>
        <w:t xml:space="preserve">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0E316B" w:rsidRPr="00992AA5">
        <w:rPr>
          <w:lang w:val="pl-PL"/>
        </w:rPr>
        <w:t xml:space="preserve">OPL </w:t>
      </w:r>
      <w:r w:rsidRPr="00992AA5">
        <w:rPr>
          <w:lang w:val="pl-PL"/>
        </w:rPr>
        <w:t>oraz z systemu ewidencji zasobów telekomunikacyjnych.</w:t>
      </w:r>
    </w:p>
    <w:p w:rsidR="00953034" w:rsidRPr="00992AA5" w:rsidRDefault="00953034" w:rsidP="00F36488">
      <w:pPr>
        <w:pStyle w:val="MIKNagwek2"/>
        <w:numPr>
          <w:ilvl w:val="2"/>
          <w:numId w:val="58"/>
        </w:numPr>
        <w:rPr>
          <w:sz w:val="22"/>
          <w:szCs w:val="22"/>
        </w:rPr>
      </w:pPr>
      <w:bookmarkStart w:id="473" w:name="_Toc314727669"/>
      <w:bookmarkStart w:id="474" w:name="_Toc383521230"/>
      <w:r w:rsidRPr="00992AA5">
        <w:rPr>
          <w:sz w:val="22"/>
          <w:szCs w:val="22"/>
        </w:rPr>
        <w:t>DSLAM – GPON</w:t>
      </w:r>
      <w:bookmarkEnd w:id="473"/>
      <w:bookmarkEnd w:id="474"/>
    </w:p>
    <w:p w:rsidR="00280BE0" w:rsidRPr="00992AA5" w:rsidRDefault="00280BE0" w:rsidP="00EB6C89">
      <w:pPr>
        <w:spacing w:before="120" w:line="240" w:lineRule="auto"/>
        <w:rPr>
          <w:lang w:val="pl-PL"/>
        </w:rPr>
      </w:pPr>
      <w:r w:rsidRPr="00992AA5">
        <w:rPr>
          <w:lang w:val="pl-PL"/>
        </w:rPr>
        <w:t xml:space="preserve">Do tej grupy została zaliczona część urządzenia DSLAM związana z zapewnieniem gotowości do świadczenia usług dla abonentów w technologii GPON. Wartość bieżącą wyznacza się za pomocą metody wyceny bezpośredniej. Na podstawie nominalnej liczby portów abonenckich,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E94905" w:rsidRPr="00992AA5" w:rsidRDefault="00E94905" w:rsidP="00F36488">
      <w:pPr>
        <w:pStyle w:val="MIKNagwek2"/>
        <w:numPr>
          <w:ilvl w:val="2"/>
          <w:numId w:val="58"/>
        </w:numPr>
        <w:rPr>
          <w:sz w:val="22"/>
          <w:szCs w:val="22"/>
        </w:rPr>
      </w:pPr>
      <w:bookmarkStart w:id="475" w:name="_Toc314727670"/>
      <w:bookmarkStart w:id="476" w:name="_Toc383521231"/>
      <w:r w:rsidRPr="00992AA5">
        <w:rPr>
          <w:sz w:val="22"/>
          <w:szCs w:val="22"/>
        </w:rPr>
        <w:t>DSLAM – SHDSL</w:t>
      </w:r>
      <w:bookmarkEnd w:id="475"/>
      <w:bookmarkEnd w:id="476"/>
      <w:r w:rsidRPr="00992AA5">
        <w:rPr>
          <w:sz w:val="22"/>
          <w:szCs w:val="22"/>
        </w:rPr>
        <w:t xml:space="preserve"> </w:t>
      </w:r>
    </w:p>
    <w:p w:rsidR="00E94905" w:rsidRPr="00992AA5" w:rsidRDefault="00E94905" w:rsidP="00EB6C89">
      <w:pPr>
        <w:spacing w:before="120" w:line="240" w:lineRule="auto"/>
        <w:rPr>
          <w:lang w:val="pl-PL"/>
        </w:rPr>
      </w:pPr>
      <w:r w:rsidRPr="00992AA5">
        <w:rPr>
          <w:lang w:val="pl-PL"/>
        </w:rPr>
        <w:t xml:space="preserve">Do tej grupy została zaliczona część urządzenia DSLAM związana z zapewnieniem gotowości do świadczenia szerokopasmowych, symetrycznych usług dla abonentów. Wartość bieżącą wyznacza się za pomocą metody wyceny bezpośredniej. Na podstawie nominalnej liczby portów abonenckich, wyznacza się szczegółową konfigurację poszczególnych systemów. Ceny poszczególnych elementów systemu pozyskuje się </w:t>
      </w:r>
      <w:r w:rsidR="00073C78" w:rsidRPr="00992AA5">
        <w:rPr>
          <w:lang w:val="pl-PL"/>
        </w:rPr>
        <w:br/>
      </w:r>
      <w:r w:rsidRPr="00992AA5">
        <w:rPr>
          <w:lang w:val="pl-PL"/>
        </w:rPr>
        <w:t xml:space="preserve">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953034" w:rsidRPr="00992AA5" w:rsidRDefault="00F36488" w:rsidP="00F36488">
      <w:pPr>
        <w:pStyle w:val="MIKNagwek2"/>
        <w:numPr>
          <w:ilvl w:val="2"/>
          <w:numId w:val="58"/>
        </w:numPr>
        <w:rPr>
          <w:sz w:val="22"/>
          <w:szCs w:val="22"/>
        </w:rPr>
      </w:pPr>
      <w:bookmarkStart w:id="477" w:name="_Toc314727671"/>
      <w:r w:rsidRPr="00992AA5">
        <w:rPr>
          <w:sz w:val="22"/>
          <w:szCs w:val="22"/>
        </w:rPr>
        <w:t xml:space="preserve"> </w:t>
      </w:r>
      <w:bookmarkStart w:id="478" w:name="_Toc383521232"/>
      <w:r w:rsidR="00953034" w:rsidRPr="00992AA5">
        <w:rPr>
          <w:sz w:val="22"/>
          <w:szCs w:val="22"/>
        </w:rPr>
        <w:t>DSLAM – POTS</w:t>
      </w:r>
      <w:bookmarkEnd w:id="477"/>
      <w:bookmarkEnd w:id="478"/>
    </w:p>
    <w:p w:rsidR="00280BE0" w:rsidRPr="00992AA5" w:rsidRDefault="00280BE0" w:rsidP="00EB6C89">
      <w:pPr>
        <w:spacing w:before="120" w:line="240" w:lineRule="auto"/>
        <w:rPr>
          <w:lang w:val="pl-PL"/>
        </w:rPr>
      </w:pPr>
      <w:r w:rsidRPr="00992AA5">
        <w:rPr>
          <w:lang w:val="pl-PL"/>
        </w:rPr>
        <w:t xml:space="preserve">Do tej grupy została zaliczona część urządzenia DSLAM związana z zapewnieniem gotowości do świadczenia abonentom usługi POTS. Wartość bieżącą wyznacza się </w:t>
      </w:r>
      <w:r w:rsidR="00073C78" w:rsidRPr="00992AA5">
        <w:rPr>
          <w:lang w:val="pl-PL"/>
        </w:rPr>
        <w:br/>
      </w:r>
      <w:r w:rsidRPr="00992AA5">
        <w:rPr>
          <w:lang w:val="pl-PL"/>
        </w:rPr>
        <w:t xml:space="preserve">za pomocą metody wyceny bezpośredniej. Na podstawie nominalnej liczby portów abonenckich,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B92BFC" w:rsidP="00F36488">
      <w:pPr>
        <w:pStyle w:val="MIKNagwek2"/>
        <w:numPr>
          <w:ilvl w:val="2"/>
          <w:numId w:val="58"/>
        </w:numPr>
        <w:rPr>
          <w:sz w:val="22"/>
          <w:szCs w:val="22"/>
        </w:rPr>
      </w:pPr>
      <w:bookmarkStart w:id="479" w:name="_Toc136054031"/>
      <w:bookmarkStart w:id="480" w:name="_Toc154381992"/>
      <w:bookmarkStart w:id="481" w:name="_Toc169500180"/>
      <w:bookmarkStart w:id="482" w:name="_Toc314727672"/>
      <w:bookmarkStart w:id="483" w:name="_Toc383521233"/>
      <w:r w:rsidRPr="00992AA5">
        <w:rPr>
          <w:sz w:val="22"/>
          <w:szCs w:val="22"/>
        </w:rPr>
        <w:lastRenderedPageBreak/>
        <w:t xml:space="preserve">DSLAM – </w:t>
      </w:r>
      <w:bookmarkEnd w:id="479"/>
      <w:r w:rsidRPr="00992AA5">
        <w:rPr>
          <w:sz w:val="22"/>
          <w:szCs w:val="22"/>
        </w:rPr>
        <w:t>Transmisja</w:t>
      </w:r>
      <w:bookmarkEnd w:id="480"/>
      <w:bookmarkEnd w:id="481"/>
      <w:bookmarkEnd w:id="482"/>
      <w:bookmarkEnd w:id="483"/>
    </w:p>
    <w:p w:rsidR="00B92BFC" w:rsidRPr="00992AA5" w:rsidRDefault="00B92BFC" w:rsidP="00EB6C89">
      <w:pPr>
        <w:spacing w:before="120" w:line="240" w:lineRule="auto"/>
        <w:rPr>
          <w:lang w:val="pl-PL"/>
        </w:rPr>
      </w:pPr>
      <w:r w:rsidRPr="00992AA5">
        <w:rPr>
          <w:lang w:val="pl-PL"/>
        </w:rPr>
        <w:t xml:space="preserve">Do tej grupy została zaliczona część urządzenia DSLAM związana z przesłaniem ruchu wygenerowanego przez abonentów. Wartość bieżącą wyznacza się za pomocą metody wyceny bezpośredniej. Na podstawie nominalnej liczby portów międzywęzłowych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 xml:space="preserve">oraz </w:t>
      </w:r>
      <w:r w:rsidR="00073C78" w:rsidRPr="00992AA5">
        <w:rPr>
          <w:lang w:val="pl-PL"/>
        </w:rPr>
        <w:br/>
      </w:r>
      <w:r w:rsidRPr="00992AA5">
        <w:rPr>
          <w:lang w:val="pl-PL"/>
        </w:rPr>
        <w:t>z systemu ewidencji zasobów telekomunikacyjnych.</w:t>
      </w:r>
      <w:r w:rsidR="00613F2F" w:rsidRPr="00992AA5">
        <w:rPr>
          <w:lang w:val="pl-PL"/>
        </w:rPr>
        <w:t xml:space="preserve"> </w:t>
      </w:r>
    </w:p>
    <w:p w:rsidR="00953034" w:rsidRPr="00992AA5" w:rsidRDefault="00953034" w:rsidP="00F36488">
      <w:pPr>
        <w:pStyle w:val="MIKNagwek2"/>
        <w:numPr>
          <w:ilvl w:val="2"/>
          <w:numId w:val="58"/>
        </w:numPr>
        <w:rPr>
          <w:sz w:val="22"/>
          <w:szCs w:val="22"/>
        </w:rPr>
      </w:pPr>
      <w:bookmarkStart w:id="484" w:name="_Toc314727673"/>
      <w:bookmarkStart w:id="485" w:name="_Toc383521234"/>
      <w:r w:rsidRPr="00992AA5">
        <w:rPr>
          <w:sz w:val="22"/>
          <w:szCs w:val="22"/>
        </w:rPr>
        <w:t>Urządzenia GPON - Dostęp</w:t>
      </w:r>
      <w:bookmarkEnd w:id="484"/>
      <w:bookmarkEnd w:id="485"/>
    </w:p>
    <w:p w:rsidR="00C46A09" w:rsidRPr="00992AA5" w:rsidRDefault="00C46A09" w:rsidP="00EB6C89">
      <w:pPr>
        <w:spacing w:before="120" w:line="240" w:lineRule="auto"/>
        <w:rPr>
          <w:lang w:val="pl-PL"/>
        </w:rPr>
      </w:pPr>
      <w:r w:rsidRPr="00992AA5">
        <w:rPr>
          <w:lang w:val="pl-PL"/>
        </w:rPr>
        <w:t xml:space="preserve">Do tej grupy została zaliczona część urządzenia GPON związana z zapewnieniem gotowości do świadczenia usług dostępu dla abonentów. Wartość bieżącą wyznacza się za pomocą metody wyceny bezpośredniej. Na podstawie nominalnej liczby portów abonenckich, wyznacza się szczegółową konfigurację poszczególnych systemów. Parametry nominalne pozyskuje się przy pomocy ankiet wypełnianych na podstawie sprawozdawczości wewnętrznej </w:t>
      </w:r>
      <w:r w:rsidR="000E316B" w:rsidRPr="00992AA5">
        <w:rPr>
          <w:lang w:val="pl-PL"/>
        </w:rPr>
        <w:t xml:space="preserve">OPL </w:t>
      </w:r>
      <w:r w:rsidRPr="00992AA5">
        <w:rPr>
          <w:lang w:val="pl-PL"/>
        </w:rPr>
        <w:t xml:space="preserve">oraz z systemu ewidencji zasobów telekomunikacyjnych. Ceny poszczególnych elementów systemu pozyskuje się z umów zawartych z dostawcami sprzętu. Wartość bieżącą ustala się przez pomnożenie cen przez liczbę elementów. </w:t>
      </w:r>
    </w:p>
    <w:p w:rsidR="00953034" w:rsidRPr="00992AA5" w:rsidRDefault="00953034" w:rsidP="00F36488">
      <w:pPr>
        <w:pStyle w:val="MIKNagwek2"/>
        <w:numPr>
          <w:ilvl w:val="2"/>
          <w:numId w:val="58"/>
        </w:numPr>
        <w:rPr>
          <w:sz w:val="22"/>
          <w:szCs w:val="22"/>
        </w:rPr>
      </w:pPr>
      <w:bookmarkStart w:id="486" w:name="_Toc314727674"/>
      <w:bookmarkStart w:id="487" w:name="_Toc383521235"/>
      <w:r w:rsidRPr="00992AA5">
        <w:rPr>
          <w:sz w:val="22"/>
          <w:szCs w:val="22"/>
        </w:rPr>
        <w:t>Urządzenia GPON - Transmisja</w:t>
      </w:r>
      <w:bookmarkEnd w:id="486"/>
      <w:bookmarkEnd w:id="487"/>
    </w:p>
    <w:p w:rsidR="00C46A09" w:rsidRPr="00992AA5" w:rsidRDefault="00C46A09" w:rsidP="00EB6C89">
      <w:pPr>
        <w:spacing w:before="120" w:line="240" w:lineRule="auto"/>
        <w:rPr>
          <w:lang w:val="pl-PL"/>
        </w:rPr>
      </w:pPr>
      <w:r w:rsidRPr="00992AA5">
        <w:rPr>
          <w:lang w:val="pl-PL"/>
        </w:rPr>
        <w:t xml:space="preserve">Do tej grupy została zaliczona część urządzenia GPON związana z przetworzeniem ruchu wygenerowanego przez podłączonych abonentów. Wartość bieżącą wyznacza się </w:t>
      </w:r>
      <w:r w:rsidR="00073C78" w:rsidRPr="00992AA5">
        <w:rPr>
          <w:lang w:val="pl-PL"/>
        </w:rPr>
        <w:br/>
      </w:r>
      <w:r w:rsidRPr="00992AA5">
        <w:rPr>
          <w:lang w:val="pl-PL"/>
        </w:rPr>
        <w:t xml:space="preserve">za pomocą metody wyceny bezpośredniej. Na podstawie nominalnej liczby portów transmisyjnych oraz nominalnego ruchu generowanego na tych urządzeniach wyznacza się szczegółową konfigurację poszczególnych systemów. Parametry nominalne pozyskuje się przy pomocy ankiet wypełnianych na podstawie sprawozdawczości wewnętrznej </w:t>
      </w:r>
      <w:r w:rsidR="000E316B" w:rsidRPr="00992AA5">
        <w:rPr>
          <w:lang w:val="pl-PL"/>
        </w:rPr>
        <w:t xml:space="preserve">OPL </w:t>
      </w:r>
      <w:r w:rsidRPr="00992AA5">
        <w:rPr>
          <w:lang w:val="pl-PL"/>
        </w:rPr>
        <w:t xml:space="preserve">oraz </w:t>
      </w:r>
      <w:r w:rsidR="00073C78" w:rsidRPr="00992AA5">
        <w:rPr>
          <w:lang w:val="pl-PL"/>
        </w:rPr>
        <w:br/>
      </w:r>
      <w:r w:rsidRPr="00992AA5">
        <w:rPr>
          <w:lang w:val="pl-PL"/>
        </w:rPr>
        <w:t xml:space="preserve">z systemu ewidencji zasobów telekomunikacyjnych. Ceny poszczególnych elementów systemu pozyskuje się z umów zawartych z dostawcami sprzętu. Wartość bieżącą ustala się przez pomnożenie cen przez liczbę elementów. </w:t>
      </w:r>
    </w:p>
    <w:p w:rsidR="00367357" w:rsidRPr="00992AA5" w:rsidRDefault="00367357" w:rsidP="00F36488">
      <w:pPr>
        <w:pStyle w:val="MIKNagwek2"/>
        <w:numPr>
          <w:ilvl w:val="2"/>
          <w:numId w:val="58"/>
        </w:numPr>
        <w:rPr>
          <w:sz w:val="22"/>
          <w:szCs w:val="22"/>
        </w:rPr>
      </w:pPr>
      <w:bookmarkStart w:id="488" w:name="_Toc314727675"/>
      <w:bookmarkStart w:id="489" w:name="_Toc383521236"/>
      <w:r w:rsidRPr="00992AA5">
        <w:rPr>
          <w:sz w:val="22"/>
          <w:szCs w:val="22"/>
        </w:rPr>
        <w:t>Systemy nadzoru - DSLAM</w:t>
      </w:r>
      <w:bookmarkEnd w:id="488"/>
      <w:bookmarkEnd w:id="489"/>
    </w:p>
    <w:p w:rsidR="00367357" w:rsidRPr="00992AA5" w:rsidRDefault="00367357" w:rsidP="00EB6C89">
      <w:pPr>
        <w:spacing w:before="120" w:line="240" w:lineRule="auto"/>
        <w:rPr>
          <w:lang w:val="pl-PL"/>
        </w:rPr>
      </w:pPr>
      <w:r w:rsidRPr="00992AA5">
        <w:rPr>
          <w:lang w:val="pl-PL"/>
        </w:rPr>
        <w:t xml:space="preserve">Wartość bieżącą systemów nadzoru wyznacza się na podstawie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 </w:t>
      </w:r>
    </w:p>
    <w:p w:rsidR="00B4412A" w:rsidRPr="00992AA5" w:rsidRDefault="00B4412A" w:rsidP="00F36488">
      <w:pPr>
        <w:pStyle w:val="MIKNagwek2"/>
        <w:numPr>
          <w:ilvl w:val="2"/>
          <w:numId w:val="58"/>
        </w:numPr>
        <w:rPr>
          <w:sz w:val="22"/>
          <w:szCs w:val="22"/>
        </w:rPr>
      </w:pPr>
      <w:bookmarkStart w:id="490" w:name="_Toc314727676"/>
      <w:bookmarkStart w:id="491" w:name="_Toc383521237"/>
      <w:r w:rsidRPr="00992AA5">
        <w:rPr>
          <w:sz w:val="22"/>
          <w:szCs w:val="22"/>
        </w:rPr>
        <w:t>WIMAX</w:t>
      </w:r>
      <w:bookmarkEnd w:id="490"/>
      <w:bookmarkEnd w:id="491"/>
    </w:p>
    <w:p w:rsidR="009D1172" w:rsidRPr="00992AA5" w:rsidRDefault="009D1172" w:rsidP="00EB6C89">
      <w:pPr>
        <w:spacing w:before="120" w:line="240" w:lineRule="auto"/>
        <w:rPr>
          <w:lang w:val="pl-PL"/>
        </w:rPr>
      </w:pPr>
      <w:r w:rsidRPr="00992AA5" w:rsidDel="00B04E4D">
        <w:rPr>
          <w:lang w:val="pl-PL"/>
        </w:rPr>
        <w:t xml:space="preserve">Wartość bieżącą </w:t>
      </w:r>
      <w:r w:rsidRPr="00992AA5">
        <w:rPr>
          <w:lang w:val="pl-PL"/>
        </w:rPr>
        <w:t xml:space="preserve">urządzeń bazowych WIMAX </w:t>
      </w:r>
      <w:r w:rsidRPr="00992AA5" w:rsidDel="00B04E4D">
        <w:rPr>
          <w:lang w:val="pl-PL"/>
        </w:rPr>
        <w:t>wyznacza się na podstawi</w:t>
      </w:r>
      <w:r w:rsidRPr="00992AA5">
        <w:rPr>
          <w:lang w:val="pl-PL"/>
        </w:rPr>
        <w:t xml:space="preserve">e metody indeksacji. Jako dane źródłowe do wyceny wykorzystuje się informacje o wartości brutto sprzętu zakupionego w poszczególnych latach, dla każdego roku oddzielnie. Dane te pozyskuje </w:t>
      </w:r>
      <w:r w:rsidR="00073C78" w:rsidRPr="00992AA5">
        <w:rPr>
          <w:lang w:val="pl-PL"/>
        </w:rPr>
        <w:br/>
      </w:r>
      <w:r w:rsidRPr="00992AA5">
        <w:rPr>
          <w:lang w:val="pl-PL"/>
        </w:rPr>
        <w:t>się z systemu ewidencji środków trwałych. Indeks ustala się na podstawie zmian cen walut wg tabel Narodowego Banku Polskiego.</w:t>
      </w:r>
    </w:p>
    <w:p w:rsidR="00B92BFC" w:rsidRPr="00992AA5" w:rsidRDefault="009D1172" w:rsidP="00F36488">
      <w:pPr>
        <w:pStyle w:val="MIKNagwek2"/>
        <w:numPr>
          <w:ilvl w:val="2"/>
          <w:numId w:val="58"/>
        </w:numPr>
        <w:rPr>
          <w:sz w:val="22"/>
          <w:szCs w:val="22"/>
        </w:rPr>
      </w:pPr>
      <w:bookmarkStart w:id="492" w:name="_Toc154381993"/>
      <w:bookmarkStart w:id="493" w:name="_Toc169500181"/>
      <w:bookmarkStart w:id="494" w:name="_Toc314727677"/>
      <w:bookmarkStart w:id="495" w:name="_Toc383521238"/>
      <w:bookmarkStart w:id="496" w:name="_Toc136054032"/>
      <w:r w:rsidRPr="00992AA5">
        <w:rPr>
          <w:sz w:val="22"/>
          <w:szCs w:val="22"/>
        </w:rPr>
        <w:t xml:space="preserve">ATM </w:t>
      </w:r>
      <w:r w:rsidR="00B92BFC" w:rsidRPr="00992AA5">
        <w:rPr>
          <w:sz w:val="22"/>
          <w:szCs w:val="22"/>
        </w:rPr>
        <w:t>Koncentratory szerokopasmowe</w:t>
      </w:r>
      <w:bookmarkEnd w:id="492"/>
      <w:bookmarkEnd w:id="493"/>
      <w:bookmarkEnd w:id="494"/>
      <w:bookmarkEnd w:id="495"/>
      <w:r w:rsidR="00B92BFC" w:rsidRPr="00992AA5">
        <w:rPr>
          <w:sz w:val="22"/>
          <w:szCs w:val="22"/>
        </w:rPr>
        <w:t xml:space="preserve"> </w:t>
      </w:r>
      <w:bookmarkEnd w:id="496"/>
    </w:p>
    <w:p w:rsidR="00B92BFC" w:rsidRPr="00992AA5" w:rsidRDefault="00B92BFC" w:rsidP="00EB6C89">
      <w:pPr>
        <w:spacing w:before="120" w:line="240" w:lineRule="auto"/>
        <w:rPr>
          <w:lang w:val="pl-PL"/>
        </w:rPr>
      </w:pPr>
      <w:r w:rsidRPr="00992AA5">
        <w:rPr>
          <w:lang w:val="pl-PL"/>
        </w:rPr>
        <w:t xml:space="preserve">Wartość </w:t>
      </w:r>
      <w:r w:rsidR="00D9708C" w:rsidRPr="00992AA5">
        <w:rPr>
          <w:lang w:val="pl-PL"/>
        </w:rPr>
        <w:t>bieżącą wyznacza się za pomocą wyceny bezpośredniej</w:t>
      </w:r>
      <w:r w:rsidR="001936AC" w:rsidRPr="00992AA5">
        <w:rPr>
          <w:lang w:val="pl-PL"/>
        </w:rPr>
        <w:t xml:space="preserve"> i/lub metody MEA</w:t>
      </w:r>
      <w:r w:rsidRPr="00992AA5">
        <w:rPr>
          <w:lang w:val="pl-PL"/>
        </w:rPr>
        <w:t xml:space="preserve">. </w:t>
      </w:r>
      <w:r w:rsidR="00073C78" w:rsidRPr="00992AA5">
        <w:rPr>
          <w:lang w:val="pl-PL"/>
        </w:rPr>
        <w:br/>
      </w:r>
      <w:r w:rsidRPr="00992AA5">
        <w:rPr>
          <w:lang w:val="pl-PL"/>
        </w:rPr>
        <w:t xml:space="preserve">Na podstawie nominalnej liczby portów międzywęzłowych wyznacza się szczegółową konfigurację systemu. Ceny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B92BFC" w:rsidP="001C2590">
      <w:pPr>
        <w:pStyle w:val="MIKNagwek2"/>
        <w:numPr>
          <w:ilvl w:val="2"/>
          <w:numId w:val="58"/>
        </w:numPr>
        <w:rPr>
          <w:sz w:val="22"/>
          <w:szCs w:val="22"/>
        </w:rPr>
      </w:pPr>
      <w:bookmarkStart w:id="497" w:name="_Toc136054033"/>
      <w:bookmarkStart w:id="498" w:name="_Toc154381994"/>
      <w:bookmarkStart w:id="499" w:name="_Toc169500182"/>
      <w:bookmarkStart w:id="500" w:name="_Toc314727678"/>
      <w:bookmarkStart w:id="501" w:name="_Toc383521239"/>
      <w:r w:rsidRPr="00992AA5">
        <w:rPr>
          <w:sz w:val="22"/>
          <w:szCs w:val="22"/>
        </w:rPr>
        <w:lastRenderedPageBreak/>
        <w:t xml:space="preserve">Przełączniki </w:t>
      </w:r>
      <w:bookmarkEnd w:id="497"/>
      <w:bookmarkEnd w:id="498"/>
      <w:bookmarkEnd w:id="499"/>
      <w:r w:rsidR="00A57D3D" w:rsidRPr="00992AA5">
        <w:rPr>
          <w:sz w:val="22"/>
          <w:szCs w:val="22"/>
        </w:rPr>
        <w:t>ATM</w:t>
      </w:r>
      <w:r w:rsidR="003A3A54" w:rsidRPr="00992AA5">
        <w:rPr>
          <w:sz w:val="22"/>
          <w:szCs w:val="22"/>
        </w:rPr>
        <w:t>/FR</w:t>
      </w:r>
      <w:bookmarkEnd w:id="500"/>
      <w:bookmarkEnd w:id="501"/>
      <w:r w:rsidR="00A57D3D" w:rsidRPr="00992AA5">
        <w:rPr>
          <w:sz w:val="22"/>
          <w:szCs w:val="22"/>
        </w:rPr>
        <w:t xml:space="preserve"> </w:t>
      </w:r>
    </w:p>
    <w:p w:rsidR="00953034" w:rsidRPr="00992AA5" w:rsidRDefault="00953034" w:rsidP="001C2590">
      <w:pPr>
        <w:pStyle w:val="MIKNagwek1"/>
        <w:numPr>
          <w:ilvl w:val="0"/>
          <w:numId w:val="0"/>
        </w:numPr>
        <w:spacing w:before="120" w:after="0" w:line="240" w:lineRule="auto"/>
        <w:ind w:left="1134" w:hanging="1134"/>
        <w:rPr>
          <w:sz w:val="22"/>
          <w:szCs w:val="22"/>
        </w:rPr>
      </w:pPr>
      <w:bookmarkStart w:id="502" w:name="_Toc314727679"/>
      <w:bookmarkStart w:id="503" w:name="_Toc314727681"/>
      <w:bookmarkStart w:id="504" w:name="_Toc314727683"/>
      <w:bookmarkStart w:id="505" w:name="_Toc314727685"/>
      <w:bookmarkStart w:id="506" w:name="_Toc383521240"/>
      <w:bookmarkEnd w:id="502"/>
      <w:bookmarkEnd w:id="503"/>
      <w:bookmarkEnd w:id="504"/>
      <w:r w:rsidRPr="00992AA5">
        <w:rPr>
          <w:sz w:val="22"/>
          <w:szCs w:val="22"/>
        </w:rPr>
        <w:t xml:space="preserve">ATM/FR - </w:t>
      </w:r>
      <w:proofErr w:type="spellStart"/>
      <w:r w:rsidRPr="00992AA5">
        <w:rPr>
          <w:sz w:val="22"/>
          <w:szCs w:val="22"/>
        </w:rPr>
        <w:t>Brzeg</w:t>
      </w:r>
      <w:proofErr w:type="spellEnd"/>
      <w:r w:rsidRPr="00992AA5">
        <w:rPr>
          <w:sz w:val="22"/>
          <w:szCs w:val="22"/>
        </w:rPr>
        <w:t xml:space="preserve"> – </w:t>
      </w:r>
      <w:proofErr w:type="spellStart"/>
      <w:r w:rsidRPr="00992AA5">
        <w:rPr>
          <w:sz w:val="22"/>
          <w:szCs w:val="22"/>
        </w:rPr>
        <w:t>Dostęp</w:t>
      </w:r>
      <w:bookmarkEnd w:id="505"/>
      <w:bookmarkEnd w:id="506"/>
      <w:proofErr w:type="spellEnd"/>
    </w:p>
    <w:p w:rsidR="00953034" w:rsidRPr="00992AA5" w:rsidRDefault="00953034" w:rsidP="00EB6C89">
      <w:pPr>
        <w:spacing w:before="120" w:line="240" w:lineRule="auto"/>
        <w:rPr>
          <w:lang w:val="pl-PL"/>
        </w:rPr>
      </w:pPr>
      <w:r w:rsidRPr="00992AA5">
        <w:rPr>
          <w:lang w:val="pl-PL"/>
        </w:rPr>
        <w:t xml:space="preserve">Do tej grupy została zaliczona część przełączników ATM/FR sieci brzegowej związana </w:t>
      </w:r>
      <w:r w:rsidR="00073C78" w:rsidRPr="00992AA5">
        <w:rPr>
          <w:lang w:val="pl-PL"/>
        </w:rPr>
        <w:br/>
      </w:r>
      <w:r w:rsidRPr="00992AA5">
        <w:rPr>
          <w:lang w:val="pl-PL"/>
        </w:rPr>
        <w:t>z zapewnieniem gotowości do świadczenia usług</w:t>
      </w:r>
      <w:r w:rsidR="00280BE0" w:rsidRPr="00992AA5">
        <w:rPr>
          <w:lang w:val="pl-PL"/>
        </w:rPr>
        <w:t xml:space="preserve"> dostępu dla abonentów </w:t>
      </w:r>
      <w:r w:rsidRPr="00992AA5">
        <w:rPr>
          <w:lang w:val="pl-PL"/>
        </w:rPr>
        <w:t xml:space="preserve">realizowanych </w:t>
      </w:r>
      <w:r w:rsidR="00073C78" w:rsidRPr="00992AA5">
        <w:rPr>
          <w:lang w:val="pl-PL"/>
        </w:rPr>
        <w:br/>
      </w:r>
      <w:r w:rsidRPr="00992AA5">
        <w:rPr>
          <w:lang w:val="pl-PL"/>
        </w:rPr>
        <w:t xml:space="preserve">w oparciu </w:t>
      </w:r>
      <w:r w:rsidR="00280BE0" w:rsidRPr="00992AA5">
        <w:rPr>
          <w:lang w:val="pl-PL"/>
        </w:rPr>
        <w:t xml:space="preserve">o wszystkie typy </w:t>
      </w:r>
      <w:r w:rsidRPr="00992AA5">
        <w:rPr>
          <w:lang w:val="pl-PL"/>
        </w:rPr>
        <w:t>por</w:t>
      </w:r>
      <w:r w:rsidR="00280BE0" w:rsidRPr="00992AA5">
        <w:rPr>
          <w:lang w:val="pl-PL"/>
        </w:rPr>
        <w:t>tów</w:t>
      </w:r>
      <w:r w:rsidRPr="00992AA5">
        <w:rPr>
          <w:lang w:val="pl-PL"/>
        </w:rPr>
        <w:t xml:space="preserve">. Wartość bieżącą wyznacza się za pomocą wyceny bezpośredniej i/lub metody MEA. Na podstawie nominalnej liczby portów abonenckich,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54063A" w:rsidP="001C2590">
      <w:pPr>
        <w:pStyle w:val="MIKNagwek1"/>
        <w:numPr>
          <w:ilvl w:val="0"/>
          <w:numId w:val="0"/>
        </w:numPr>
        <w:spacing w:before="120" w:after="0" w:line="240" w:lineRule="auto"/>
        <w:ind w:left="1134" w:hanging="1134"/>
        <w:rPr>
          <w:sz w:val="22"/>
          <w:szCs w:val="22"/>
          <w:lang w:val="pl-PL"/>
        </w:rPr>
      </w:pPr>
      <w:bookmarkStart w:id="507" w:name="_Toc136054036"/>
      <w:bookmarkStart w:id="508" w:name="_Toc154381996"/>
      <w:bookmarkStart w:id="509" w:name="_Toc169500184"/>
      <w:bookmarkStart w:id="510" w:name="_Toc314727686"/>
      <w:bookmarkStart w:id="511" w:name="_Toc383521241"/>
      <w:r w:rsidRPr="00992AA5">
        <w:rPr>
          <w:sz w:val="22"/>
          <w:szCs w:val="22"/>
          <w:lang w:val="pl-PL"/>
        </w:rPr>
        <w:t>ATM</w:t>
      </w:r>
      <w:r w:rsidR="003A3A54" w:rsidRPr="00992AA5">
        <w:rPr>
          <w:sz w:val="22"/>
          <w:szCs w:val="22"/>
          <w:lang w:val="pl-PL"/>
        </w:rPr>
        <w:t>/FR</w:t>
      </w:r>
      <w:r w:rsidRPr="00992AA5">
        <w:rPr>
          <w:sz w:val="22"/>
          <w:szCs w:val="22"/>
          <w:lang w:val="pl-PL"/>
        </w:rPr>
        <w:t xml:space="preserve"> </w:t>
      </w:r>
      <w:r w:rsidR="00B92BFC" w:rsidRPr="00992AA5">
        <w:rPr>
          <w:sz w:val="22"/>
          <w:szCs w:val="22"/>
          <w:lang w:val="pl-PL"/>
        </w:rPr>
        <w:t>- Brzeg - Ruch</w:t>
      </w:r>
      <w:bookmarkEnd w:id="507"/>
      <w:bookmarkEnd w:id="508"/>
      <w:bookmarkEnd w:id="509"/>
      <w:bookmarkEnd w:id="510"/>
      <w:bookmarkEnd w:id="511"/>
    </w:p>
    <w:p w:rsidR="00B92BFC" w:rsidRPr="00992AA5" w:rsidRDefault="00B92BFC" w:rsidP="00EB6C89">
      <w:pPr>
        <w:spacing w:before="120" w:line="240" w:lineRule="auto"/>
        <w:rPr>
          <w:lang w:val="pl-PL"/>
        </w:rPr>
      </w:pPr>
      <w:r w:rsidRPr="00992AA5">
        <w:rPr>
          <w:lang w:val="pl-PL"/>
        </w:rPr>
        <w:t xml:space="preserve">Do tej grupy została zaliczona część przełączników ATM/FR sieci brzegowej związana </w:t>
      </w:r>
      <w:r w:rsidR="00073C78" w:rsidRPr="00992AA5">
        <w:rPr>
          <w:lang w:val="pl-PL"/>
        </w:rPr>
        <w:br/>
      </w:r>
      <w:r w:rsidRPr="00992AA5">
        <w:rPr>
          <w:lang w:val="pl-PL"/>
        </w:rPr>
        <w:t xml:space="preserve">z przetworzeniem ruchu wygenerowanego przez abonentów podłączonych do przełączników ATM/FR sieci brzegowej. Wartość </w:t>
      </w:r>
      <w:r w:rsidR="00830BD0" w:rsidRPr="00992AA5">
        <w:rPr>
          <w:lang w:val="pl-PL"/>
        </w:rPr>
        <w:t>bieżącą wyznacza się za pomocą wyceny bezpośredniej</w:t>
      </w:r>
      <w:r w:rsidR="001936AC" w:rsidRPr="00992AA5">
        <w:rPr>
          <w:lang w:val="pl-PL"/>
        </w:rPr>
        <w:t xml:space="preserve"> i/lub metody MEA</w:t>
      </w:r>
      <w:r w:rsidRPr="00992AA5">
        <w:rPr>
          <w:lang w:val="pl-PL"/>
        </w:rPr>
        <w:t xml:space="preserve">. Na podstawie nominalnej liczby portów transmisyjnych oraz nominalnego ruchu generowanego na tych urządzeniach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953034" w:rsidRPr="00992AA5" w:rsidRDefault="00953034" w:rsidP="001C2590">
      <w:pPr>
        <w:pStyle w:val="MIKNagwek1"/>
        <w:numPr>
          <w:ilvl w:val="0"/>
          <w:numId w:val="0"/>
        </w:numPr>
        <w:spacing w:before="120" w:after="0" w:line="240" w:lineRule="auto"/>
        <w:ind w:left="1134" w:hanging="1134"/>
        <w:rPr>
          <w:sz w:val="22"/>
          <w:szCs w:val="22"/>
          <w:lang w:val="pl-PL"/>
        </w:rPr>
      </w:pPr>
      <w:bookmarkStart w:id="512" w:name="_Toc314727687"/>
      <w:bookmarkStart w:id="513" w:name="_Toc314727688"/>
      <w:bookmarkStart w:id="514" w:name="_Toc314727689"/>
      <w:bookmarkStart w:id="515" w:name="_Toc314727690"/>
      <w:bookmarkStart w:id="516" w:name="_Toc314727691"/>
      <w:bookmarkStart w:id="517" w:name="_Toc314727692"/>
      <w:bookmarkStart w:id="518" w:name="_Toc314727693"/>
      <w:bookmarkStart w:id="519" w:name="_Toc314727694"/>
      <w:bookmarkStart w:id="520" w:name="_Toc314727695"/>
      <w:bookmarkStart w:id="521" w:name="_Toc314727696"/>
      <w:bookmarkStart w:id="522" w:name="_Toc314727697"/>
      <w:bookmarkStart w:id="523" w:name="_Toc314727699"/>
      <w:bookmarkStart w:id="524" w:name="_Toc383521242"/>
      <w:bookmarkEnd w:id="512"/>
      <w:bookmarkEnd w:id="513"/>
      <w:bookmarkEnd w:id="514"/>
      <w:bookmarkEnd w:id="515"/>
      <w:bookmarkEnd w:id="516"/>
      <w:bookmarkEnd w:id="517"/>
      <w:bookmarkEnd w:id="518"/>
      <w:bookmarkEnd w:id="519"/>
      <w:bookmarkEnd w:id="520"/>
      <w:bookmarkEnd w:id="521"/>
      <w:bookmarkEnd w:id="522"/>
      <w:r w:rsidRPr="00992AA5">
        <w:rPr>
          <w:sz w:val="22"/>
          <w:szCs w:val="22"/>
          <w:lang w:val="pl-PL"/>
        </w:rPr>
        <w:t>ATM/FR - Szkielet - Dostęp</w:t>
      </w:r>
      <w:bookmarkEnd w:id="523"/>
      <w:bookmarkEnd w:id="524"/>
    </w:p>
    <w:p w:rsidR="00953034" w:rsidRPr="00992AA5" w:rsidRDefault="00953034" w:rsidP="00EB6C89">
      <w:pPr>
        <w:spacing w:before="120" w:line="240" w:lineRule="auto"/>
        <w:rPr>
          <w:lang w:val="pl-PL"/>
        </w:rPr>
      </w:pPr>
      <w:r w:rsidRPr="00992AA5">
        <w:rPr>
          <w:lang w:val="pl-PL"/>
        </w:rPr>
        <w:t xml:space="preserve">Do tej grupy została zaliczona część przełączników ATM/FR sieci szkieletowej związana </w:t>
      </w:r>
      <w:r w:rsidR="00073C78" w:rsidRPr="00992AA5">
        <w:rPr>
          <w:lang w:val="pl-PL"/>
        </w:rPr>
        <w:br/>
      </w:r>
      <w:r w:rsidRPr="00992AA5">
        <w:rPr>
          <w:lang w:val="pl-PL"/>
        </w:rPr>
        <w:t xml:space="preserve">z zapewnieniem gotowości do świadczenia </w:t>
      </w:r>
      <w:r w:rsidR="00280BE0" w:rsidRPr="00992AA5">
        <w:rPr>
          <w:lang w:val="pl-PL"/>
        </w:rPr>
        <w:t xml:space="preserve">usług dostępu dla abonentów realizowanych </w:t>
      </w:r>
      <w:r w:rsidR="00073C78" w:rsidRPr="00992AA5">
        <w:rPr>
          <w:lang w:val="pl-PL"/>
        </w:rPr>
        <w:br/>
      </w:r>
      <w:r w:rsidR="00280BE0" w:rsidRPr="00992AA5">
        <w:rPr>
          <w:lang w:val="pl-PL"/>
        </w:rPr>
        <w:t>w oparciu o wszystkie typy portów.</w:t>
      </w:r>
      <w:r w:rsidRPr="00992AA5">
        <w:rPr>
          <w:lang w:val="pl-PL"/>
        </w:rPr>
        <w:t xml:space="preserve"> Wartość bieżącą wyznacza się za pomocą wyceny bezpośredniej i/lub metody MEA. Na podstawie nominalnej liczby portów abonenckich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A2368F" w:rsidP="001C2590">
      <w:pPr>
        <w:pStyle w:val="MIKNagwek1"/>
        <w:numPr>
          <w:ilvl w:val="0"/>
          <w:numId w:val="0"/>
        </w:numPr>
        <w:spacing w:before="120" w:after="0" w:line="240" w:lineRule="auto"/>
        <w:ind w:left="1134" w:hanging="1134"/>
        <w:rPr>
          <w:sz w:val="22"/>
          <w:szCs w:val="22"/>
          <w:lang w:val="pl-PL"/>
        </w:rPr>
      </w:pPr>
      <w:bookmarkStart w:id="525" w:name="_Toc136054039"/>
      <w:bookmarkStart w:id="526" w:name="_Toc154381998"/>
      <w:bookmarkStart w:id="527" w:name="_Toc169500186"/>
      <w:bookmarkStart w:id="528" w:name="_Toc314727700"/>
      <w:bookmarkStart w:id="529" w:name="_Toc383521243"/>
      <w:r w:rsidRPr="00992AA5">
        <w:rPr>
          <w:sz w:val="22"/>
          <w:szCs w:val="22"/>
          <w:lang w:val="pl-PL"/>
        </w:rPr>
        <w:t>ATM</w:t>
      </w:r>
      <w:r w:rsidR="003A3A54" w:rsidRPr="00992AA5">
        <w:rPr>
          <w:sz w:val="22"/>
          <w:szCs w:val="22"/>
          <w:lang w:val="pl-PL"/>
        </w:rPr>
        <w:t>/FR</w:t>
      </w:r>
      <w:r w:rsidRPr="00992AA5">
        <w:rPr>
          <w:sz w:val="22"/>
          <w:szCs w:val="22"/>
          <w:lang w:val="pl-PL"/>
        </w:rPr>
        <w:t xml:space="preserve"> </w:t>
      </w:r>
      <w:r w:rsidR="00B92BFC" w:rsidRPr="00992AA5">
        <w:rPr>
          <w:sz w:val="22"/>
          <w:szCs w:val="22"/>
          <w:lang w:val="pl-PL"/>
        </w:rPr>
        <w:t>- Szkielet - Ruch</w:t>
      </w:r>
      <w:bookmarkEnd w:id="525"/>
      <w:bookmarkEnd w:id="526"/>
      <w:bookmarkEnd w:id="527"/>
      <w:bookmarkEnd w:id="528"/>
      <w:bookmarkEnd w:id="529"/>
    </w:p>
    <w:p w:rsidR="00B92BFC" w:rsidRPr="00992AA5" w:rsidRDefault="00B92BFC" w:rsidP="00EB6C89">
      <w:pPr>
        <w:spacing w:before="120" w:line="240" w:lineRule="auto"/>
        <w:rPr>
          <w:lang w:val="pl-PL"/>
        </w:rPr>
      </w:pPr>
      <w:r w:rsidRPr="00992AA5">
        <w:rPr>
          <w:lang w:val="pl-PL"/>
        </w:rPr>
        <w:t xml:space="preserve">Do tej grupy została zaliczona część przełączników ATM/FR sieci szkieletowej związana </w:t>
      </w:r>
      <w:r w:rsidR="00073C78" w:rsidRPr="00992AA5">
        <w:rPr>
          <w:lang w:val="pl-PL"/>
        </w:rPr>
        <w:br/>
      </w:r>
      <w:r w:rsidRPr="00992AA5">
        <w:rPr>
          <w:lang w:val="pl-PL"/>
        </w:rPr>
        <w:t xml:space="preserve">z przetworzeniem ruchu wygenerowanego przez abonentów podłączonych do przełączników ATM/FR sieci szkieletowej. Wartość </w:t>
      </w:r>
      <w:r w:rsidR="001E041D" w:rsidRPr="00992AA5">
        <w:rPr>
          <w:lang w:val="pl-PL"/>
        </w:rPr>
        <w:t>bieżącą wyznacza się za pomocą wyceny bezpośredniej</w:t>
      </w:r>
      <w:r w:rsidR="001936AC" w:rsidRPr="00992AA5">
        <w:rPr>
          <w:lang w:val="pl-PL"/>
        </w:rPr>
        <w:t xml:space="preserve"> i/lub metody MEA</w:t>
      </w:r>
      <w:r w:rsidRPr="00992AA5">
        <w:rPr>
          <w:lang w:val="pl-PL"/>
        </w:rPr>
        <w:t xml:space="preserve">. Na podstawie nominalnej liczby portów transmisyjnych oraz nominalnego ruchu generowanego na tych urządzeniach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B92BFC" w:rsidP="001C2590">
      <w:pPr>
        <w:pStyle w:val="MIKNagwek2"/>
        <w:numPr>
          <w:ilvl w:val="2"/>
          <w:numId w:val="58"/>
        </w:numPr>
        <w:rPr>
          <w:sz w:val="22"/>
          <w:szCs w:val="22"/>
        </w:rPr>
      </w:pPr>
      <w:bookmarkStart w:id="530" w:name="_Toc136054040"/>
      <w:bookmarkStart w:id="531" w:name="_Toc154381999"/>
      <w:bookmarkStart w:id="532" w:name="_Toc169500187"/>
      <w:bookmarkStart w:id="533" w:name="_Toc314727701"/>
      <w:bookmarkStart w:id="534" w:name="_Toc383521244"/>
      <w:r w:rsidRPr="00992AA5">
        <w:rPr>
          <w:sz w:val="22"/>
          <w:szCs w:val="22"/>
        </w:rPr>
        <w:t>Routery IP</w:t>
      </w:r>
      <w:bookmarkEnd w:id="530"/>
      <w:bookmarkEnd w:id="531"/>
      <w:bookmarkEnd w:id="532"/>
      <w:bookmarkEnd w:id="533"/>
      <w:bookmarkEnd w:id="534"/>
    </w:p>
    <w:p w:rsidR="00B92BFC" w:rsidRPr="00992AA5" w:rsidRDefault="00B92BFC" w:rsidP="001C2590">
      <w:pPr>
        <w:pStyle w:val="MIKNagwek1"/>
        <w:numPr>
          <w:ilvl w:val="0"/>
          <w:numId w:val="0"/>
        </w:numPr>
        <w:spacing w:before="120" w:after="0" w:line="240" w:lineRule="auto"/>
        <w:ind w:left="1134" w:hanging="1134"/>
        <w:rPr>
          <w:sz w:val="22"/>
          <w:szCs w:val="22"/>
          <w:lang w:val="pl-PL"/>
        </w:rPr>
      </w:pPr>
      <w:bookmarkStart w:id="535" w:name="_Toc136054041"/>
      <w:bookmarkStart w:id="536" w:name="_Toc154382000"/>
      <w:bookmarkStart w:id="537" w:name="_Toc169500188"/>
      <w:bookmarkStart w:id="538" w:name="_Toc314727702"/>
      <w:bookmarkStart w:id="539" w:name="_Toc383521245"/>
      <w:r w:rsidRPr="00992AA5">
        <w:rPr>
          <w:sz w:val="22"/>
          <w:szCs w:val="22"/>
          <w:lang w:val="pl-PL"/>
        </w:rPr>
        <w:t xml:space="preserve">IP Routery brzegowe </w:t>
      </w:r>
      <w:r w:rsidR="005103E5" w:rsidRPr="00992AA5">
        <w:rPr>
          <w:sz w:val="22"/>
          <w:szCs w:val="22"/>
          <w:lang w:val="pl-PL"/>
        </w:rPr>
        <w:t>–</w:t>
      </w:r>
      <w:r w:rsidRPr="00992AA5">
        <w:rPr>
          <w:sz w:val="22"/>
          <w:szCs w:val="22"/>
          <w:lang w:val="pl-PL"/>
        </w:rPr>
        <w:t xml:space="preserve"> Dostęp</w:t>
      </w:r>
      <w:bookmarkEnd w:id="535"/>
      <w:bookmarkEnd w:id="536"/>
      <w:bookmarkEnd w:id="537"/>
      <w:r w:rsidR="005103E5" w:rsidRPr="00992AA5">
        <w:rPr>
          <w:sz w:val="22"/>
          <w:szCs w:val="22"/>
          <w:lang w:val="pl-PL"/>
        </w:rPr>
        <w:t xml:space="preserve"> GE</w:t>
      </w:r>
      <w:bookmarkEnd w:id="538"/>
      <w:bookmarkEnd w:id="539"/>
    </w:p>
    <w:p w:rsidR="00B92BFC" w:rsidRPr="00992AA5" w:rsidRDefault="005103E5" w:rsidP="00EB6C89">
      <w:pPr>
        <w:spacing w:before="120" w:line="240" w:lineRule="auto"/>
        <w:rPr>
          <w:lang w:val="pl-PL"/>
        </w:rPr>
      </w:pPr>
      <w:r w:rsidRPr="00992AA5">
        <w:rPr>
          <w:color w:val="000000"/>
          <w:lang w:val="pl-PL"/>
        </w:rPr>
        <w:t>Do tej grupy została zaliczona część routerów IP sieci brzegowej związana z zapewnieniem gotowości dostępu do sieci IP za pośrednictwem interfejsu Gigabit Ethernet. Wartość bieżącą wyznacza się za pomocą metody wyceny bezpośredniej</w:t>
      </w:r>
      <w:r w:rsidR="00733414" w:rsidRPr="00992AA5">
        <w:rPr>
          <w:color w:val="000000"/>
          <w:lang w:val="pl-PL"/>
        </w:rPr>
        <w:t xml:space="preserve"> </w:t>
      </w:r>
      <w:r w:rsidR="00733414" w:rsidRPr="00992AA5">
        <w:rPr>
          <w:lang w:val="pl-PL"/>
        </w:rPr>
        <w:t>i/lub metody MEA</w:t>
      </w:r>
      <w:r w:rsidRPr="00992AA5">
        <w:rPr>
          <w:color w:val="000000"/>
          <w:lang w:val="pl-PL"/>
        </w:rPr>
        <w:t xml:space="preserve">. </w:t>
      </w:r>
      <w:r w:rsidR="00073C78" w:rsidRPr="00992AA5">
        <w:rPr>
          <w:color w:val="000000"/>
          <w:lang w:val="pl-PL"/>
        </w:rPr>
        <w:br/>
      </w:r>
      <w:r w:rsidRPr="00992AA5">
        <w:rPr>
          <w:color w:val="000000"/>
          <w:lang w:val="pl-PL"/>
        </w:rPr>
        <w:t xml:space="preserve">Na podstawie nominalnej liczby portów wyznacza się szczegółową konfigurację poszczególnych systemów. Ceny poszczególnych elementów systemu pozyskuje się </w:t>
      </w:r>
      <w:r w:rsidR="00073C78" w:rsidRPr="00992AA5">
        <w:rPr>
          <w:color w:val="000000"/>
          <w:lang w:val="pl-PL"/>
        </w:rPr>
        <w:br/>
      </w:r>
      <w:r w:rsidRPr="00992AA5">
        <w:rPr>
          <w:color w:val="000000"/>
          <w:lang w:val="pl-PL"/>
        </w:rPr>
        <w:lastRenderedPageBreak/>
        <w:t xml:space="preserve">z umów zawartych z dostawcami sprzętu. Wartość bieżącą ustala się przez pomnożenie cen przez liczbę elementów. Parametry nominalne pozyskuje się przy pomocy ankiet wypełnianych na podstawie sprawozdawczości wewnętrznej </w:t>
      </w:r>
      <w:r w:rsidR="000E316B" w:rsidRPr="00992AA5">
        <w:rPr>
          <w:color w:val="000000"/>
          <w:lang w:val="pl-PL"/>
        </w:rPr>
        <w:t xml:space="preserve">OPL </w:t>
      </w:r>
      <w:r w:rsidRPr="00992AA5">
        <w:rPr>
          <w:color w:val="000000"/>
          <w:lang w:val="pl-PL"/>
        </w:rPr>
        <w:t>oraz z systemu ewidencji zasobów telekomunikacyjnych</w:t>
      </w:r>
      <w:r w:rsidR="00B92BFC" w:rsidRPr="00992AA5">
        <w:rPr>
          <w:lang w:val="pl-PL"/>
        </w:rPr>
        <w:t>.</w:t>
      </w:r>
    </w:p>
    <w:p w:rsidR="005103E5" w:rsidRPr="00992AA5" w:rsidRDefault="005103E5" w:rsidP="001C2590">
      <w:pPr>
        <w:pStyle w:val="MIKNagwek1"/>
        <w:numPr>
          <w:ilvl w:val="0"/>
          <w:numId w:val="0"/>
        </w:numPr>
        <w:spacing w:before="120" w:after="0" w:line="240" w:lineRule="auto"/>
        <w:ind w:left="1134" w:hanging="1134"/>
        <w:rPr>
          <w:sz w:val="22"/>
          <w:szCs w:val="22"/>
          <w:lang w:val="pl-PL"/>
        </w:rPr>
      </w:pPr>
      <w:bookmarkStart w:id="540" w:name="_Toc314727703"/>
      <w:bookmarkStart w:id="541" w:name="_Toc383521246"/>
      <w:r w:rsidRPr="00992AA5">
        <w:rPr>
          <w:sz w:val="22"/>
          <w:szCs w:val="22"/>
          <w:lang w:val="pl-PL"/>
        </w:rPr>
        <w:t>IP Routery brzegowe – Dostęp 10GE</w:t>
      </w:r>
      <w:bookmarkEnd w:id="540"/>
      <w:bookmarkEnd w:id="541"/>
    </w:p>
    <w:p w:rsidR="005103E5" w:rsidRPr="00992AA5" w:rsidRDefault="005103E5" w:rsidP="00EB6C89">
      <w:pPr>
        <w:spacing w:before="120" w:line="240" w:lineRule="auto"/>
        <w:rPr>
          <w:lang w:val="pl-PL"/>
        </w:rPr>
      </w:pPr>
      <w:r w:rsidRPr="00992AA5">
        <w:rPr>
          <w:color w:val="000000"/>
          <w:lang w:val="pl-PL"/>
        </w:rPr>
        <w:t>Do tej grupy została zaliczona część routerów IP sieci brzegowej związana z zapewnieniem gotowości dostępu do sieci IP za pośrednictwem interfejsu 10 Gigabit Ethernet. Wartość bieżącą wyznacza się za pomocą metody wyceny bezpośredniej</w:t>
      </w:r>
      <w:r w:rsidR="00733414" w:rsidRPr="00992AA5">
        <w:rPr>
          <w:color w:val="000000"/>
          <w:lang w:val="pl-PL"/>
        </w:rPr>
        <w:t xml:space="preserve"> </w:t>
      </w:r>
      <w:r w:rsidR="00733414" w:rsidRPr="00992AA5">
        <w:rPr>
          <w:lang w:val="pl-PL"/>
        </w:rPr>
        <w:t>i/lub metody MEA</w:t>
      </w:r>
      <w:r w:rsidRPr="00992AA5">
        <w:rPr>
          <w:color w:val="000000"/>
          <w:lang w:val="pl-PL"/>
        </w:rPr>
        <w:t xml:space="preserve">. </w:t>
      </w:r>
      <w:r w:rsidR="00073C78" w:rsidRPr="00992AA5">
        <w:rPr>
          <w:color w:val="000000"/>
          <w:lang w:val="pl-PL"/>
        </w:rPr>
        <w:br/>
      </w:r>
      <w:r w:rsidRPr="00992AA5">
        <w:rPr>
          <w:color w:val="000000"/>
          <w:lang w:val="pl-PL"/>
        </w:rPr>
        <w:t xml:space="preserve">Na podstawie nominalnej liczby portów wyznacza się szczegółową konfigurację poszczególnych systemów. Ceny poszczególnych elementów systemu pozyskuje się </w:t>
      </w:r>
      <w:r w:rsidR="00073C78" w:rsidRPr="00992AA5">
        <w:rPr>
          <w:color w:val="000000"/>
          <w:lang w:val="pl-PL"/>
        </w:rPr>
        <w:br/>
      </w:r>
      <w:r w:rsidRPr="00992AA5">
        <w:rPr>
          <w:color w:val="000000"/>
          <w:lang w:val="pl-PL"/>
        </w:rPr>
        <w:t xml:space="preserve">z umów zawartych z dostawcami sprzętu. Wartość bieżącą ustala się przez pomnożenie cen przez liczbę elementów. Parametry nominalne pozyskuje się przy pomocy ankiet wypełnianych na podstawie sprawozdawczości wewnętrznej </w:t>
      </w:r>
      <w:r w:rsidR="000E316B" w:rsidRPr="00992AA5">
        <w:rPr>
          <w:color w:val="000000"/>
          <w:lang w:val="pl-PL"/>
        </w:rPr>
        <w:t xml:space="preserve">OPL </w:t>
      </w:r>
      <w:r w:rsidRPr="00992AA5">
        <w:rPr>
          <w:color w:val="000000"/>
          <w:lang w:val="pl-PL"/>
        </w:rPr>
        <w:t>oraz z systemu ewidencji zasobów telekomunikacyjnych</w:t>
      </w:r>
      <w:r w:rsidRPr="00992AA5">
        <w:rPr>
          <w:lang w:val="pl-PL"/>
        </w:rPr>
        <w:t>.</w:t>
      </w:r>
    </w:p>
    <w:p w:rsidR="00B92BFC" w:rsidRPr="00992AA5" w:rsidRDefault="00B92BFC" w:rsidP="001C2590">
      <w:pPr>
        <w:pStyle w:val="MIKNagwek1"/>
        <w:numPr>
          <w:ilvl w:val="0"/>
          <w:numId w:val="0"/>
        </w:numPr>
        <w:spacing w:before="120" w:after="0" w:line="240" w:lineRule="auto"/>
        <w:ind w:left="1134" w:hanging="1134"/>
        <w:rPr>
          <w:sz w:val="22"/>
          <w:szCs w:val="22"/>
          <w:lang w:val="pl-PL"/>
        </w:rPr>
      </w:pPr>
      <w:bookmarkStart w:id="542" w:name="_Toc136054043"/>
      <w:bookmarkStart w:id="543" w:name="_Toc154382001"/>
      <w:bookmarkStart w:id="544" w:name="_Toc169500189"/>
      <w:bookmarkStart w:id="545" w:name="_Toc314727704"/>
      <w:bookmarkStart w:id="546" w:name="_Toc383521247"/>
      <w:r w:rsidRPr="00992AA5">
        <w:rPr>
          <w:sz w:val="22"/>
          <w:szCs w:val="22"/>
          <w:lang w:val="pl-PL"/>
        </w:rPr>
        <w:t>IP Routery brzegowe – Ruch</w:t>
      </w:r>
      <w:bookmarkEnd w:id="542"/>
      <w:bookmarkEnd w:id="543"/>
      <w:bookmarkEnd w:id="544"/>
      <w:bookmarkEnd w:id="545"/>
      <w:bookmarkEnd w:id="546"/>
    </w:p>
    <w:p w:rsidR="00B92BFC" w:rsidRPr="00992AA5" w:rsidRDefault="00B92BFC" w:rsidP="00EB6C89">
      <w:pPr>
        <w:spacing w:before="120" w:line="240" w:lineRule="auto"/>
        <w:rPr>
          <w:lang w:val="pl-PL"/>
        </w:rPr>
      </w:pPr>
      <w:r w:rsidRPr="00992AA5">
        <w:rPr>
          <w:lang w:val="pl-PL"/>
        </w:rPr>
        <w:t>Do tej grupy została zaliczona część routerów IP sieci brzegowej związana z przetworzeniem ruchu wygenerowanego przez abonentów podłączonych do sieci IP. 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międzywęzłowych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B92BFC" w:rsidP="001C2590">
      <w:pPr>
        <w:pStyle w:val="MIKNagwek1"/>
        <w:numPr>
          <w:ilvl w:val="0"/>
          <w:numId w:val="0"/>
        </w:numPr>
        <w:spacing w:before="120" w:after="0" w:line="240" w:lineRule="auto"/>
        <w:ind w:left="1134" w:hanging="1134"/>
        <w:rPr>
          <w:sz w:val="22"/>
          <w:szCs w:val="22"/>
          <w:lang w:val="pl-PL"/>
        </w:rPr>
      </w:pPr>
      <w:bookmarkStart w:id="547" w:name="_Toc136054046"/>
      <w:bookmarkStart w:id="548" w:name="_Toc154382002"/>
      <w:bookmarkStart w:id="549" w:name="_Toc169500190"/>
      <w:bookmarkStart w:id="550" w:name="_Toc314727705"/>
      <w:bookmarkStart w:id="551" w:name="_Toc383521248"/>
      <w:r w:rsidRPr="00992AA5">
        <w:rPr>
          <w:sz w:val="22"/>
          <w:szCs w:val="22"/>
          <w:lang w:val="pl-PL"/>
        </w:rPr>
        <w:t>IP Routery – usługowe</w:t>
      </w:r>
      <w:bookmarkEnd w:id="547"/>
      <w:bookmarkEnd w:id="548"/>
      <w:bookmarkEnd w:id="549"/>
      <w:bookmarkEnd w:id="550"/>
      <w:bookmarkEnd w:id="551"/>
    </w:p>
    <w:p w:rsidR="00B92BFC" w:rsidRPr="00992AA5" w:rsidRDefault="00B92BFC" w:rsidP="00EB6C89">
      <w:pPr>
        <w:spacing w:before="120" w:line="240" w:lineRule="auto"/>
        <w:rPr>
          <w:lang w:val="pl-PL"/>
        </w:rPr>
      </w:pPr>
      <w:r w:rsidRPr="00992AA5">
        <w:rPr>
          <w:lang w:val="pl-PL"/>
        </w:rPr>
        <w:t>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międzywęzłowych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B92BFC" w:rsidP="001C2590">
      <w:pPr>
        <w:pStyle w:val="MIKNagwek1"/>
        <w:numPr>
          <w:ilvl w:val="0"/>
          <w:numId w:val="0"/>
        </w:numPr>
        <w:spacing w:before="120" w:after="0" w:line="240" w:lineRule="auto"/>
        <w:ind w:left="1134" w:hanging="1134"/>
        <w:rPr>
          <w:sz w:val="22"/>
          <w:szCs w:val="22"/>
          <w:lang w:val="pl-PL"/>
        </w:rPr>
      </w:pPr>
      <w:bookmarkStart w:id="552" w:name="_Toc136054047"/>
      <w:bookmarkStart w:id="553" w:name="_Toc154382003"/>
      <w:bookmarkStart w:id="554" w:name="_Toc169500191"/>
      <w:bookmarkStart w:id="555" w:name="_Toc314727706"/>
      <w:bookmarkStart w:id="556" w:name="_Toc383521249"/>
      <w:r w:rsidRPr="00992AA5">
        <w:rPr>
          <w:sz w:val="22"/>
          <w:szCs w:val="22"/>
          <w:lang w:val="pl-PL"/>
        </w:rPr>
        <w:t>IP Routery – szkieletowe</w:t>
      </w:r>
      <w:bookmarkEnd w:id="552"/>
      <w:bookmarkEnd w:id="553"/>
      <w:bookmarkEnd w:id="554"/>
      <w:bookmarkEnd w:id="555"/>
      <w:bookmarkEnd w:id="556"/>
    </w:p>
    <w:p w:rsidR="00B92BFC" w:rsidRPr="00992AA5" w:rsidRDefault="00B92BFC" w:rsidP="00EB6C89">
      <w:pPr>
        <w:autoSpaceDE w:val="0"/>
        <w:autoSpaceDN w:val="0"/>
        <w:adjustRightInd w:val="0"/>
        <w:spacing w:before="120" w:line="240" w:lineRule="auto"/>
        <w:rPr>
          <w:lang w:val="pl-PL"/>
        </w:rPr>
      </w:pPr>
      <w:r w:rsidRPr="00992AA5">
        <w:rPr>
          <w:lang w:val="pl-PL"/>
        </w:rPr>
        <w:t>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międzywęzłowych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570843" w:rsidRPr="00992AA5" w:rsidRDefault="00570843" w:rsidP="001C2590">
      <w:pPr>
        <w:pStyle w:val="MIKNagwek1"/>
        <w:numPr>
          <w:ilvl w:val="0"/>
          <w:numId w:val="0"/>
        </w:numPr>
        <w:spacing w:before="120" w:after="0" w:line="240" w:lineRule="auto"/>
        <w:ind w:left="1134" w:hanging="1134"/>
        <w:rPr>
          <w:sz w:val="22"/>
          <w:szCs w:val="22"/>
          <w:lang w:val="pl-PL"/>
        </w:rPr>
      </w:pPr>
      <w:bookmarkStart w:id="557" w:name="111171827282㽨嶐_Nagłówek_7_Nagłówek_8_"/>
      <w:bookmarkStart w:id="558" w:name="_Toc314727707"/>
      <w:bookmarkStart w:id="559" w:name="_Toc383521250"/>
      <w:r w:rsidRPr="00992AA5">
        <w:rPr>
          <w:sz w:val="22"/>
          <w:szCs w:val="22"/>
          <w:lang w:val="pl-PL"/>
        </w:rPr>
        <w:t xml:space="preserve">IP Routery </w:t>
      </w:r>
      <w:bookmarkEnd w:id="557"/>
      <w:r w:rsidRPr="00992AA5">
        <w:rPr>
          <w:sz w:val="22"/>
          <w:szCs w:val="22"/>
          <w:lang w:val="pl-PL"/>
        </w:rPr>
        <w:t>IPVPN</w:t>
      </w:r>
      <w:bookmarkEnd w:id="558"/>
      <w:bookmarkEnd w:id="559"/>
    </w:p>
    <w:p w:rsidR="00570843" w:rsidRPr="00992AA5" w:rsidRDefault="00570843" w:rsidP="00EB6C89">
      <w:pPr>
        <w:autoSpaceDE w:val="0"/>
        <w:autoSpaceDN w:val="0"/>
        <w:adjustRightInd w:val="0"/>
        <w:spacing w:before="120" w:line="240" w:lineRule="auto"/>
        <w:rPr>
          <w:lang w:val="pl-PL"/>
        </w:rPr>
      </w:pPr>
      <w:r w:rsidRPr="00992AA5">
        <w:rPr>
          <w:lang w:val="pl-PL"/>
        </w:rPr>
        <w:t>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wyznacza się szczegółową konfigurację poszczególnych systemów. Ceny poszczególnych elementów systemu pozyskuje się </w:t>
      </w:r>
      <w:r w:rsidR="00073C78" w:rsidRPr="00992AA5">
        <w:rPr>
          <w:lang w:val="pl-PL"/>
        </w:rPr>
        <w:br/>
      </w:r>
      <w:r w:rsidRPr="00992AA5">
        <w:rPr>
          <w:lang w:val="pl-PL"/>
        </w:rPr>
        <w:t xml:space="preserve">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082D8B" w:rsidRPr="00992AA5" w:rsidRDefault="00082D8B" w:rsidP="001C2590">
      <w:pPr>
        <w:pStyle w:val="MIKNagwek1"/>
        <w:numPr>
          <w:ilvl w:val="0"/>
          <w:numId w:val="0"/>
        </w:numPr>
        <w:spacing w:before="120" w:after="0" w:line="240" w:lineRule="auto"/>
        <w:ind w:left="1134" w:hanging="1134"/>
        <w:rPr>
          <w:sz w:val="22"/>
          <w:szCs w:val="22"/>
          <w:lang w:val="pl-PL"/>
        </w:rPr>
      </w:pPr>
      <w:bookmarkStart w:id="560" w:name="_Toc314727708"/>
      <w:bookmarkStart w:id="561" w:name="_Toc383521251"/>
      <w:r w:rsidRPr="00992AA5">
        <w:rPr>
          <w:sz w:val="22"/>
          <w:szCs w:val="22"/>
          <w:lang w:val="pl-PL"/>
        </w:rPr>
        <w:lastRenderedPageBreak/>
        <w:t>IP Routery – Multimedia</w:t>
      </w:r>
      <w:r w:rsidR="00E71544" w:rsidRPr="00992AA5">
        <w:rPr>
          <w:sz w:val="22"/>
          <w:szCs w:val="22"/>
          <w:lang w:val="pl-PL"/>
        </w:rPr>
        <w:t xml:space="preserve"> – Szkielet</w:t>
      </w:r>
      <w:bookmarkEnd w:id="560"/>
      <w:bookmarkEnd w:id="561"/>
      <w:r w:rsidR="00E71544" w:rsidRPr="00992AA5">
        <w:rPr>
          <w:sz w:val="22"/>
          <w:szCs w:val="22"/>
          <w:lang w:val="pl-PL"/>
        </w:rPr>
        <w:t xml:space="preserve"> </w:t>
      </w:r>
    </w:p>
    <w:p w:rsidR="00082D8B" w:rsidRPr="00992AA5" w:rsidRDefault="00E71544" w:rsidP="00EB6C89">
      <w:pPr>
        <w:spacing w:before="120" w:line="240" w:lineRule="auto"/>
        <w:rPr>
          <w:lang w:val="pl-PL"/>
        </w:rPr>
      </w:pPr>
      <w:r w:rsidRPr="00992AA5">
        <w:rPr>
          <w:lang w:val="pl-PL"/>
        </w:rPr>
        <w:t>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międzywęzłowych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0B5433" w:rsidRPr="00992AA5" w:rsidRDefault="000B5433" w:rsidP="001C2590">
      <w:pPr>
        <w:pStyle w:val="MIKNagwek1"/>
        <w:numPr>
          <w:ilvl w:val="0"/>
          <w:numId w:val="0"/>
        </w:numPr>
        <w:spacing w:before="120" w:after="0" w:line="240" w:lineRule="auto"/>
        <w:ind w:left="1134" w:hanging="1134"/>
        <w:rPr>
          <w:sz w:val="22"/>
          <w:szCs w:val="22"/>
          <w:lang w:val="pl-PL"/>
        </w:rPr>
      </w:pPr>
      <w:bookmarkStart w:id="562" w:name="_Toc314727709"/>
      <w:bookmarkStart w:id="563" w:name="_Toc383521252"/>
      <w:r w:rsidRPr="00992AA5">
        <w:rPr>
          <w:sz w:val="22"/>
          <w:szCs w:val="22"/>
          <w:lang w:val="pl-PL"/>
        </w:rPr>
        <w:t>IP Routery – Multimedia</w:t>
      </w:r>
      <w:r w:rsidR="00E71544" w:rsidRPr="00992AA5">
        <w:rPr>
          <w:sz w:val="22"/>
          <w:szCs w:val="22"/>
          <w:lang w:val="pl-PL"/>
        </w:rPr>
        <w:t xml:space="preserve"> – Brzeg – Dostęp GE</w:t>
      </w:r>
      <w:bookmarkEnd w:id="562"/>
      <w:bookmarkEnd w:id="563"/>
    </w:p>
    <w:p w:rsidR="000B5433" w:rsidRPr="00992AA5" w:rsidRDefault="00E71544" w:rsidP="00EB6C89">
      <w:pPr>
        <w:spacing w:before="120" w:line="240" w:lineRule="auto"/>
        <w:rPr>
          <w:lang w:val="pl-PL"/>
        </w:rPr>
      </w:pPr>
      <w:r w:rsidRPr="00992AA5">
        <w:rPr>
          <w:lang w:val="pl-PL"/>
        </w:rPr>
        <w:t xml:space="preserve">Do tej grupy została zaliczona część routerów IP Multimedia sieci brzegowej związana </w:t>
      </w:r>
      <w:r w:rsidR="00073C78" w:rsidRPr="00992AA5">
        <w:rPr>
          <w:lang w:val="pl-PL"/>
        </w:rPr>
        <w:br/>
      </w:r>
      <w:r w:rsidRPr="00992AA5">
        <w:rPr>
          <w:lang w:val="pl-PL"/>
        </w:rPr>
        <w:t>z zapewnieniem gotowości dostępu do sieci IP za pośrednictwem interfejsu Gigabit Ethernet. 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wyznacza się szczegółową konfigurację poszczególnych systemów. Ceny poszczególnych elementów systemu pozyskuje się </w:t>
      </w:r>
      <w:r w:rsidR="00073C78" w:rsidRPr="00992AA5">
        <w:rPr>
          <w:lang w:val="pl-PL"/>
        </w:rPr>
        <w:br/>
      </w:r>
      <w:r w:rsidRPr="00992AA5">
        <w:rPr>
          <w:lang w:val="pl-PL"/>
        </w:rPr>
        <w:t xml:space="preserve">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0B5433" w:rsidRPr="00992AA5" w:rsidRDefault="000B5433" w:rsidP="001C2590">
      <w:pPr>
        <w:pStyle w:val="MIKNagwek1"/>
        <w:numPr>
          <w:ilvl w:val="0"/>
          <w:numId w:val="0"/>
        </w:numPr>
        <w:spacing w:before="120" w:after="0" w:line="240" w:lineRule="auto"/>
        <w:ind w:left="1134" w:hanging="1134"/>
        <w:rPr>
          <w:sz w:val="22"/>
          <w:szCs w:val="22"/>
          <w:lang w:val="pl-PL"/>
        </w:rPr>
      </w:pPr>
      <w:bookmarkStart w:id="564" w:name="_Toc314727710"/>
      <w:bookmarkStart w:id="565" w:name="_Toc383521253"/>
      <w:r w:rsidRPr="00992AA5">
        <w:rPr>
          <w:sz w:val="22"/>
          <w:szCs w:val="22"/>
          <w:lang w:val="pl-PL"/>
        </w:rPr>
        <w:t>IP Routery – Multimedia</w:t>
      </w:r>
      <w:r w:rsidR="00E71544" w:rsidRPr="00992AA5">
        <w:rPr>
          <w:sz w:val="22"/>
          <w:szCs w:val="22"/>
          <w:lang w:val="pl-PL"/>
        </w:rPr>
        <w:t xml:space="preserve"> – Brzeg – Dostęp 10GE</w:t>
      </w:r>
      <w:bookmarkEnd w:id="564"/>
      <w:bookmarkEnd w:id="565"/>
    </w:p>
    <w:p w:rsidR="000B5433" w:rsidRPr="00992AA5" w:rsidRDefault="00E71544" w:rsidP="00EB6C89">
      <w:pPr>
        <w:spacing w:before="120" w:line="240" w:lineRule="auto"/>
        <w:rPr>
          <w:lang w:val="pl-PL"/>
        </w:rPr>
      </w:pPr>
      <w:r w:rsidRPr="00992AA5">
        <w:rPr>
          <w:lang w:val="pl-PL"/>
        </w:rPr>
        <w:t xml:space="preserve">Do tej grupy została zaliczona część routerów IP Multimedia sieci brzegowej związana </w:t>
      </w:r>
      <w:r w:rsidR="00073C78" w:rsidRPr="00992AA5">
        <w:rPr>
          <w:lang w:val="pl-PL"/>
        </w:rPr>
        <w:br/>
      </w:r>
      <w:r w:rsidRPr="00992AA5">
        <w:rPr>
          <w:lang w:val="pl-PL"/>
        </w:rPr>
        <w:t>z zapewnieniem gotowości dostępu do sieci IP za pośrednictwem interfejsu 10 Gigabit Ethernet. 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0B5433" w:rsidRPr="00992AA5" w:rsidRDefault="000B5433" w:rsidP="001C2590">
      <w:pPr>
        <w:pStyle w:val="MIKNagwek1"/>
        <w:numPr>
          <w:ilvl w:val="0"/>
          <w:numId w:val="0"/>
        </w:numPr>
        <w:spacing w:before="120" w:after="0" w:line="240" w:lineRule="auto"/>
        <w:ind w:left="1134" w:hanging="1134"/>
        <w:rPr>
          <w:sz w:val="22"/>
          <w:szCs w:val="22"/>
          <w:lang w:val="pl-PL"/>
        </w:rPr>
      </w:pPr>
      <w:bookmarkStart w:id="566" w:name="_Toc314727711"/>
      <w:bookmarkStart w:id="567" w:name="_Toc383521254"/>
      <w:r w:rsidRPr="00992AA5">
        <w:rPr>
          <w:sz w:val="22"/>
          <w:szCs w:val="22"/>
          <w:lang w:val="pl-PL"/>
        </w:rPr>
        <w:t>IP Routery – Multimedia</w:t>
      </w:r>
      <w:r w:rsidR="00E71544" w:rsidRPr="00992AA5">
        <w:rPr>
          <w:sz w:val="22"/>
          <w:szCs w:val="22"/>
          <w:lang w:val="pl-PL"/>
        </w:rPr>
        <w:t xml:space="preserve"> – Brzeg – Ruch</w:t>
      </w:r>
      <w:bookmarkEnd w:id="566"/>
      <w:bookmarkEnd w:id="567"/>
      <w:r w:rsidR="00E71544" w:rsidRPr="00992AA5">
        <w:rPr>
          <w:sz w:val="22"/>
          <w:szCs w:val="22"/>
          <w:lang w:val="pl-PL"/>
        </w:rPr>
        <w:t xml:space="preserve"> </w:t>
      </w:r>
    </w:p>
    <w:p w:rsidR="000B5433" w:rsidRPr="00992AA5" w:rsidRDefault="007B6A7C" w:rsidP="00EB6C89">
      <w:pPr>
        <w:spacing w:before="120" w:line="240" w:lineRule="auto"/>
        <w:rPr>
          <w:lang w:val="pl-PL"/>
        </w:rPr>
      </w:pPr>
      <w:r w:rsidRPr="00992AA5">
        <w:rPr>
          <w:lang w:val="pl-PL"/>
        </w:rPr>
        <w:t xml:space="preserve">Do tej grupy została zaliczona część routerów IP Multimedia sieci brzegowej związana </w:t>
      </w:r>
      <w:r w:rsidR="00073C78" w:rsidRPr="00992AA5">
        <w:rPr>
          <w:lang w:val="pl-PL"/>
        </w:rPr>
        <w:br/>
      </w:r>
      <w:r w:rsidRPr="00992AA5">
        <w:rPr>
          <w:lang w:val="pl-PL"/>
        </w:rPr>
        <w:t>z przetworzeniem ruchu wygenerowanego przez abonentów podłączonych do sieci IP. Wartość bieżącą wyznacza się za pomocą metody wyceny bezpośredniej</w:t>
      </w:r>
      <w:r w:rsidR="00733414" w:rsidRPr="00992AA5">
        <w:rPr>
          <w:lang w:val="pl-PL"/>
        </w:rPr>
        <w:t xml:space="preserve"> i/lub metody MEA</w:t>
      </w:r>
      <w:r w:rsidRPr="00992AA5">
        <w:rPr>
          <w:lang w:val="pl-PL"/>
        </w:rPr>
        <w:t xml:space="preserve">. Na podstawie nominalnej liczby portów międzywęzłowych wyznacza się szczegółową konfigurację poszczególnych systemów. Ceny poszczególnych elementów systemu pozyskuje się z umów zawartych z dostawcami sprzętu. Wartość bieżącą ustala się przez pomnożenie cen przez liczbę elementów. Parametry nominalne pozyskuje się przy pomocy ankiet wypełnianych na podstawie sprawozdawczości wewnętrznej </w:t>
      </w:r>
      <w:r w:rsidR="000E316B" w:rsidRPr="00992AA5">
        <w:rPr>
          <w:lang w:val="pl-PL"/>
        </w:rPr>
        <w:t xml:space="preserve">OPL </w:t>
      </w:r>
      <w:r w:rsidRPr="00992AA5">
        <w:rPr>
          <w:lang w:val="pl-PL"/>
        </w:rPr>
        <w:t>oraz z systemu ewidencji zasobów telekomunikacyjnych.</w:t>
      </w:r>
    </w:p>
    <w:p w:rsidR="00B92BFC" w:rsidRPr="00992AA5" w:rsidRDefault="00B92BFC" w:rsidP="001C2590">
      <w:pPr>
        <w:pStyle w:val="MIKNagwek2"/>
        <w:numPr>
          <w:ilvl w:val="2"/>
          <w:numId w:val="58"/>
        </w:numPr>
        <w:rPr>
          <w:sz w:val="22"/>
          <w:szCs w:val="22"/>
        </w:rPr>
      </w:pPr>
      <w:bookmarkStart w:id="568" w:name="_Toc154382005"/>
      <w:bookmarkStart w:id="569" w:name="_Toc169500193"/>
      <w:bookmarkStart w:id="570" w:name="_Toc314727712"/>
      <w:bookmarkStart w:id="571" w:name="_Toc383521255"/>
      <w:r w:rsidRPr="00992AA5">
        <w:rPr>
          <w:sz w:val="22"/>
          <w:szCs w:val="22"/>
        </w:rPr>
        <w:t>IP Serwery – Multimedia</w:t>
      </w:r>
      <w:bookmarkEnd w:id="568"/>
      <w:bookmarkEnd w:id="569"/>
      <w:bookmarkEnd w:id="570"/>
      <w:bookmarkEnd w:id="571"/>
    </w:p>
    <w:p w:rsidR="00BA6057" w:rsidRPr="00992AA5" w:rsidRDefault="00BA6057" w:rsidP="001C2590">
      <w:pPr>
        <w:pStyle w:val="MIKNagwek1"/>
        <w:numPr>
          <w:ilvl w:val="0"/>
          <w:numId w:val="0"/>
        </w:numPr>
        <w:spacing w:before="120" w:after="0" w:line="240" w:lineRule="auto"/>
        <w:ind w:left="1134" w:hanging="1134"/>
        <w:rPr>
          <w:sz w:val="22"/>
          <w:szCs w:val="22"/>
        </w:rPr>
      </w:pPr>
      <w:bookmarkStart w:id="572" w:name="_Toc314727713"/>
      <w:bookmarkStart w:id="573" w:name="_Toc383521256"/>
      <w:r w:rsidRPr="00992AA5">
        <w:rPr>
          <w:sz w:val="22"/>
          <w:szCs w:val="22"/>
        </w:rPr>
        <w:t xml:space="preserve">IP </w:t>
      </w:r>
      <w:proofErr w:type="spellStart"/>
      <w:r w:rsidRPr="00992AA5">
        <w:rPr>
          <w:sz w:val="22"/>
          <w:szCs w:val="22"/>
        </w:rPr>
        <w:t>Serwery</w:t>
      </w:r>
      <w:proofErr w:type="spellEnd"/>
      <w:r w:rsidRPr="00992AA5">
        <w:rPr>
          <w:sz w:val="22"/>
          <w:szCs w:val="22"/>
        </w:rPr>
        <w:t xml:space="preserve"> – </w:t>
      </w:r>
      <w:proofErr w:type="spellStart"/>
      <w:r w:rsidRPr="00992AA5">
        <w:rPr>
          <w:sz w:val="22"/>
          <w:szCs w:val="22"/>
        </w:rPr>
        <w:t>Platforma</w:t>
      </w:r>
      <w:proofErr w:type="spellEnd"/>
      <w:r w:rsidRPr="00992AA5">
        <w:rPr>
          <w:sz w:val="22"/>
          <w:szCs w:val="22"/>
        </w:rPr>
        <w:t xml:space="preserve"> VoIP</w:t>
      </w:r>
      <w:bookmarkEnd w:id="572"/>
      <w:bookmarkEnd w:id="573"/>
    </w:p>
    <w:p w:rsidR="00BA6057" w:rsidRPr="00992AA5" w:rsidRDefault="00BA6057" w:rsidP="00EB6C89">
      <w:pPr>
        <w:autoSpaceDE w:val="0"/>
        <w:autoSpaceDN w:val="0"/>
        <w:adjustRightInd w:val="0"/>
        <w:spacing w:before="120" w:line="240" w:lineRule="auto"/>
        <w:rPr>
          <w:color w:val="000000"/>
          <w:lang w:val="pl-PL"/>
        </w:rPr>
      </w:pPr>
      <w:r w:rsidRPr="00992AA5">
        <w:rPr>
          <w:color w:val="000000"/>
          <w:lang w:val="pl-PL"/>
        </w:rPr>
        <w:t xml:space="preserve">Wartość bieżącą urządzeń IP Serwery – Platforma </w:t>
      </w:r>
      <w:proofErr w:type="spellStart"/>
      <w:r w:rsidRPr="00992AA5">
        <w:rPr>
          <w:color w:val="000000"/>
          <w:lang w:val="pl-PL"/>
        </w:rPr>
        <w:t>VoIP</w:t>
      </w:r>
      <w:proofErr w:type="spellEnd"/>
      <w:r w:rsidRPr="00992AA5">
        <w:rPr>
          <w:color w:val="000000"/>
          <w:lang w:val="pl-PL"/>
        </w:rPr>
        <w:t xml:space="preserve"> wyznacza się na podstawie metody indeksacji. Jako dane źródłowe do wyceny wykorzystuje się informacje o wartości brutto sprzętu zakupionego w poszczególnych latach, dla każdego roku oddzielnie. </w:t>
      </w:r>
    </w:p>
    <w:p w:rsidR="00BA6057" w:rsidRPr="00992AA5" w:rsidRDefault="00BA6057" w:rsidP="00EB6C89">
      <w:pPr>
        <w:spacing w:before="120" w:line="240" w:lineRule="auto"/>
        <w:rPr>
          <w:lang w:val="pl-PL"/>
        </w:rPr>
      </w:pPr>
      <w:r w:rsidRPr="00992AA5">
        <w:rPr>
          <w:color w:val="000000"/>
          <w:lang w:val="pl-PL"/>
        </w:rPr>
        <w:t>Dane te pozyskuje się z systemu ewidencji środków trwałych. Indeks ustala się na podstawie zmian cen walut wg tabel Narodowego Banku Polskiego</w:t>
      </w:r>
      <w:r w:rsidRPr="00992AA5">
        <w:rPr>
          <w:lang w:val="pl-PL"/>
        </w:rPr>
        <w:t>.</w:t>
      </w:r>
      <w:r w:rsidR="00AB7083" w:rsidRPr="00992AA5">
        <w:rPr>
          <w:lang w:val="pl-PL"/>
        </w:rPr>
        <w:t xml:space="preserve"> </w:t>
      </w:r>
    </w:p>
    <w:p w:rsidR="00BA6057" w:rsidRPr="00992AA5" w:rsidRDefault="00BA6057" w:rsidP="001C2590">
      <w:pPr>
        <w:pStyle w:val="MIKNagwek1"/>
        <w:numPr>
          <w:ilvl w:val="0"/>
          <w:numId w:val="0"/>
        </w:numPr>
        <w:spacing w:before="120" w:after="0" w:line="240" w:lineRule="auto"/>
        <w:ind w:left="1134" w:hanging="1134"/>
        <w:rPr>
          <w:sz w:val="22"/>
          <w:szCs w:val="22"/>
          <w:lang w:val="pl-PL"/>
        </w:rPr>
      </w:pPr>
      <w:bookmarkStart w:id="574" w:name="_Toc314727714"/>
      <w:bookmarkStart w:id="575" w:name="_Toc383521257"/>
      <w:r w:rsidRPr="00992AA5">
        <w:rPr>
          <w:sz w:val="22"/>
          <w:szCs w:val="22"/>
          <w:lang w:val="pl-PL"/>
        </w:rPr>
        <w:t xml:space="preserve">IP Serwery – Platforma </w:t>
      </w:r>
      <w:proofErr w:type="spellStart"/>
      <w:r w:rsidRPr="00992AA5">
        <w:rPr>
          <w:sz w:val="22"/>
          <w:szCs w:val="22"/>
          <w:lang w:val="pl-PL"/>
        </w:rPr>
        <w:t>BTV&amp;VoD</w:t>
      </w:r>
      <w:bookmarkEnd w:id="574"/>
      <w:bookmarkEnd w:id="575"/>
      <w:proofErr w:type="spellEnd"/>
    </w:p>
    <w:p w:rsidR="00BA6057" w:rsidRPr="00992AA5" w:rsidRDefault="00BA6057" w:rsidP="00EB6C89">
      <w:pPr>
        <w:autoSpaceDE w:val="0"/>
        <w:autoSpaceDN w:val="0"/>
        <w:adjustRightInd w:val="0"/>
        <w:spacing w:before="120" w:line="240" w:lineRule="auto"/>
        <w:rPr>
          <w:color w:val="000000"/>
          <w:lang w:val="pl-PL"/>
        </w:rPr>
      </w:pPr>
      <w:r w:rsidRPr="00992AA5">
        <w:rPr>
          <w:color w:val="000000"/>
          <w:lang w:val="pl-PL"/>
        </w:rPr>
        <w:t xml:space="preserve">Wartość bieżącą urządzeń IP Serwery – Platforma </w:t>
      </w:r>
      <w:proofErr w:type="spellStart"/>
      <w:r w:rsidRPr="00992AA5">
        <w:rPr>
          <w:color w:val="000000"/>
          <w:lang w:val="pl-PL"/>
        </w:rPr>
        <w:t>BTV&amp;VoD</w:t>
      </w:r>
      <w:proofErr w:type="spellEnd"/>
      <w:r w:rsidRPr="00992AA5">
        <w:rPr>
          <w:color w:val="000000"/>
          <w:lang w:val="pl-PL"/>
        </w:rPr>
        <w:t xml:space="preserve"> wyznacza się na podstawie metody indeksacji. Jako dane źródłowe do wyceny wykorzystuje się informacje o wartości brutto sprzętu zakupionego w poszczególnych latach, dla każdego roku oddzielnie.</w:t>
      </w:r>
    </w:p>
    <w:p w:rsidR="00BA6057" w:rsidRPr="00992AA5" w:rsidRDefault="00BA6057" w:rsidP="00EB6C89">
      <w:pPr>
        <w:spacing w:before="120" w:line="240" w:lineRule="auto"/>
        <w:rPr>
          <w:lang w:val="pl-PL"/>
        </w:rPr>
      </w:pPr>
      <w:r w:rsidRPr="00992AA5">
        <w:rPr>
          <w:color w:val="000000"/>
          <w:lang w:val="pl-PL"/>
        </w:rPr>
        <w:lastRenderedPageBreak/>
        <w:t>Dane te pozyskuje się z systemu ewidencji środków trwałych. Indeks ustala się na podstawie zmian cen walut wg tabel Narodowego Banku Polskiego</w:t>
      </w:r>
      <w:r w:rsidRPr="00992AA5">
        <w:rPr>
          <w:lang w:val="pl-PL"/>
        </w:rPr>
        <w:t>.</w:t>
      </w:r>
      <w:r w:rsidR="00AB7083" w:rsidRPr="00992AA5">
        <w:rPr>
          <w:lang w:val="pl-PL"/>
        </w:rPr>
        <w:t xml:space="preserve"> </w:t>
      </w:r>
    </w:p>
    <w:p w:rsidR="00BA6057" w:rsidRPr="00992AA5" w:rsidRDefault="00BA6057" w:rsidP="001C2590">
      <w:pPr>
        <w:pStyle w:val="MIKNagwek1"/>
        <w:numPr>
          <w:ilvl w:val="0"/>
          <w:numId w:val="0"/>
        </w:numPr>
        <w:spacing w:before="120" w:after="0" w:line="240" w:lineRule="auto"/>
        <w:ind w:left="1134" w:hanging="1134"/>
        <w:rPr>
          <w:sz w:val="22"/>
          <w:szCs w:val="22"/>
          <w:lang w:val="pl-PL"/>
        </w:rPr>
      </w:pPr>
      <w:bookmarkStart w:id="576" w:name="_Toc314727715"/>
      <w:bookmarkStart w:id="577" w:name="_Toc383521258"/>
      <w:r w:rsidRPr="00992AA5">
        <w:rPr>
          <w:sz w:val="22"/>
          <w:szCs w:val="22"/>
          <w:lang w:val="pl-PL"/>
        </w:rPr>
        <w:t>IP Serwery – Autentykacja</w:t>
      </w:r>
      <w:bookmarkEnd w:id="576"/>
      <w:bookmarkEnd w:id="577"/>
    </w:p>
    <w:p w:rsidR="00BA6057" w:rsidRPr="00992AA5" w:rsidRDefault="00BA6057" w:rsidP="00EB6C89">
      <w:pPr>
        <w:autoSpaceDE w:val="0"/>
        <w:autoSpaceDN w:val="0"/>
        <w:adjustRightInd w:val="0"/>
        <w:spacing w:before="120" w:line="240" w:lineRule="auto"/>
        <w:rPr>
          <w:color w:val="000000"/>
          <w:lang w:val="pl-PL"/>
        </w:rPr>
      </w:pPr>
      <w:r w:rsidRPr="00992AA5">
        <w:rPr>
          <w:color w:val="000000"/>
          <w:lang w:val="pl-PL"/>
        </w:rPr>
        <w:t xml:space="preserve">Wartość bieżącą urządzeń IP Serwery – Autentykacja wyznacza się na podstawie metody indeksacji. Jako dane źródłowe do wyceny wykorzystuje się informacje o wartości brutto sprzętu zakupionego w poszczególnych latach, dla każdego roku oddzielnie. </w:t>
      </w:r>
    </w:p>
    <w:p w:rsidR="00BA6057" w:rsidRPr="00992AA5" w:rsidRDefault="00BA6057" w:rsidP="00EB6C89">
      <w:pPr>
        <w:spacing w:before="120" w:line="240" w:lineRule="auto"/>
        <w:rPr>
          <w:lang w:val="pl-PL"/>
        </w:rPr>
      </w:pPr>
      <w:r w:rsidRPr="00992AA5">
        <w:rPr>
          <w:color w:val="000000"/>
          <w:lang w:val="pl-PL"/>
        </w:rPr>
        <w:t>Dane te pozyskuje się z systemu ewidencji środków trwałych. Indeks ustala się na podstawie zmian cen walut wg tabel Narodowego Banku Polskiego</w:t>
      </w:r>
      <w:r w:rsidRPr="00992AA5">
        <w:rPr>
          <w:lang w:val="pl-PL"/>
        </w:rPr>
        <w:t>.</w:t>
      </w:r>
      <w:r w:rsidR="00AB7083" w:rsidRPr="00992AA5">
        <w:rPr>
          <w:lang w:val="pl-PL"/>
        </w:rPr>
        <w:t xml:space="preserve"> </w:t>
      </w:r>
    </w:p>
    <w:p w:rsidR="00BA6057" w:rsidRPr="00992AA5" w:rsidRDefault="00BA6057" w:rsidP="001C2590">
      <w:pPr>
        <w:pStyle w:val="MIKNagwek1"/>
        <w:numPr>
          <w:ilvl w:val="0"/>
          <w:numId w:val="0"/>
        </w:numPr>
        <w:spacing w:before="120" w:after="0" w:line="240" w:lineRule="auto"/>
        <w:ind w:left="1134" w:hanging="1134"/>
        <w:rPr>
          <w:sz w:val="22"/>
          <w:szCs w:val="22"/>
          <w:lang w:val="pl-PL"/>
        </w:rPr>
      </w:pPr>
      <w:bookmarkStart w:id="578" w:name="_Toc314727716"/>
      <w:bookmarkStart w:id="579" w:name="_Toc383521259"/>
      <w:r w:rsidRPr="00992AA5">
        <w:rPr>
          <w:sz w:val="22"/>
          <w:szCs w:val="22"/>
          <w:lang w:val="pl-PL"/>
        </w:rPr>
        <w:t>IP Serwery – Usługi dodane</w:t>
      </w:r>
      <w:bookmarkEnd w:id="578"/>
      <w:bookmarkEnd w:id="579"/>
    </w:p>
    <w:p w:rsidR="00BA6057" w:rsidRPr="00992AA5" w:rsidRDefault="00BA6057" w:rsidP="00EB6C89">
      <w:pPr>
        <w:autoSpaceDE w:val="0"/>
        <w:autoSpaceDN w:val="0"/>
        <w:adjustRightInd w:val="0"/>
        <w:spacing w:before="120" w:line="240" w:lineRule="auto"/>
        <w:rPr>
          <w:color w:val="000000"/>
          <w:lang w:val="pl-PL"/>
        </w:rPr>
      </w:pPr>
      <w:r w:rsidRPr="00992AA5">
        <w:rPr>
          <w:color w:val="000000"/>
          <w:lang w:val="pl-PL"/>
        </w:rPr>
        <w:t xml:space="preserve">Wartość bieżącą urządzeń IP Serwery – Usługi dodane wyznacza się na podstawie metody indeksacji. Jako dane źródłowe do wyceny wykorzystuje się informacje o wartości brutto sprzętu zakupionego w poszczególnych latach, dla każdego roku oddzielnie. </w:t>
      </w:r>
    </w:p>
    <w:p w:rsidR="00BA6057" w:rsidRPr="00992AA5" w:rsidRDefault="00BA6057" w:rsidP="00EB6C89">
      <w:pPr>
        <w:spacing w:before="120" w:line="240" w:lineRule="auto"/>
        <w:rPr>
          <w:lang w:val="pl-PL"/>
        </w:rPr>
      </w:pPr>
      <w:r w:rsidRPr="00992AA5">
        <w:rPr>
          <w:color w:val="000000"/>
          <w:lang w:val="pl-PL"/>
        </w:rPr>
        <w:t>Dane te pozyskuje się z systemu ewidencji środków trwałych. Indeks ustala się na podstawie zmian cen walut wg tabel Narodowego Banku Polskiego</w:t>
      </w:r>
      <w:r w:rsidRPr="00992AA5">
        <w:rPr>
          <w:lang w:val="pl-PL"/>
        </w:rPr>
        <w:t>.</w:t>
      </w:r>
    </w:p>
    <w:p w:rsidR="00B92BFC" w:rsidRPr="00992AA5" w:rsidRDefault="00B92BFC" w:rsidP="001C2590">
      <w:pPr>
        <w:pStyle w:val="MIKNagwek2"/>
        <w:numPr>
          <w:ilvl w:val="2"/>
          <w:numId w:val="58"/>
        </w:numPr>
        <w:rPr>
          <w:sz w:val="22"/>
          <w:szCs w:val="22"/>
        </w:rPr>
      </w:pPr>
      <w:bookmarkStart w:id="580" w:name="_Toc154382006"/>
      <w:bookmarkStart w:id="581" w:name="_Toc169500194"/>
      <w:bookmarkStart w:id="582" w:name="_Toc314727717"/>
      <w:bookmarkStart w:id="583" w:name="_Toc383521260"/>
      <w:r w:rsidRPr="00992AA5">
        <w:rPr>
          <w:sz w:val="22"/>
          <w:szCs w:val="22"/>
        </w:rPr>
        <w:t xml:space="preserve">IP </w:t>
      </w:r>
      <w:proofErr w:type="spellStart"/>
      <w:r w:rsidRPr="00992AA5">
        <w:rPr>
          <w:sz w:val="22"/>
          <w:szCs w:val="22"/>
        </w:rPr>
        <w:t>MetroEthernet</w:t>
      </w:r>
      <w:bookmarkEnd w:id="580"/>
      <w:bookmarkEnd w:id="581"/>
      <w:bookmarkEnd w:id="582"/>
      <w:bookmarkEnd w:id="583"/>
      <w:proofErr w:type="spellEnd"/>
    </w:p>
    <w:p w:rsidR="00B92BFC" w:rsidRPr="00992AA5" w:rsidRDefault="00B92BFC" w:rsidP="00EB6C89">
      <w:pPr>
        <w:spacing w:before="120" w:line="240" w:lineRule="auto"/>
        <w:rPr>
          <w:lang w:val="pl-PL"/>
        </w:rPr>
      </w:pPr>
      <w:r w:rsidRPr="00992AA5" w:rsidDel="00B04E4D">
        <w:rPr>
          <w:lang w:val="pl-PL"/>
        </w:rPr>
        <w:t xml:space="preserve">Wartość bieżącą </w:t>
      </w:r>
      <w:r w:rsidRPr="00992AA5">
        <w:rPr>
          <w:lang w:val="pl-PL"/>
        </w:rPr>
        <w:t xml:space="preserve">urządzeń sieci IP </w:t>
      </w:r>
      <w:proofErr w:type="spellStart"/>
      <w:r w:rsidRPr="00992AA5">
        <w:rPr>
          <w:lang w:val="pl-PL"/>
        </w:rPr>
        <w:t>MetroEthernet</w:t>
      </w:r>
      <w:proofErr w:type="spellEnd"/>
      <w:r w:rsidRPr="00992AA5">
        <w:rPr>
          <w:lang w:val="pl-PL"/>
        </w:rPr>
        <w:t xml:space="preserve"> </w:t>
      </w:r>
      <w:r w:rsidRPr="00992AA5" w:rsidDel="00B04E4D">
        <w:rPr>
          <w:lang w:val="pl-PL"/>
        </w:rPr>
        <w:t>wyznacza się na podstawi</w:t>
      </w:r>
      <w:r w:rsidRPr="00992AA5">
        <w:rPr>
          <w:lang w:val="pl-PL"/>
        </w:rPr>
        <w:t xml:space="preserve">e metody indeksacji. Jako </w:t>
      </w:r>
      <w:proofErr w:type="spellStart"/>
      <w:r w:rsidRPr="00992AA5">
        <w:rPr>
          <w:lang w:val="pl-PL"/>
        </w:rPr>
        <w:t>dae</w:t>
      </w:r>
      <w:proofErr w:type="spellEnd"/>
      <w:r w:rsidRPr="00992AA5">
        <w:rPr>
          <w:lang w:val="pl-PL"/>
        </w:rPr>
        <w:t xml:space="preserve"> źródłowe do wyceny wykorzystuje się informacje o wartości brutto sprzętu zakupionego w poszczególnych latach, dla każdego roku oddzielnie. </w:t>
      </w:r>
    </w:p>
    <w:p w:rsidR="00B92BFC" w:rsidRPr="00992AA5" w:rsidRDefault="00B92BFC" w:rsidP="00EB6C89">
      <w:pPr>
        <w:spacing w:before="120" w:line="240" w:lineRule="auto"/>
        <w:rPr>
          <w:lang w:val="pl-PL"/>
        </w:rPr>
      </w:pPr>
      <w:r w:rsidRPr="00992AA5">
        <w:rPr>
          <w:lang w:val="pl-PL"/>
        </w:rPr>
        <w:t>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584" w:name="_Toc136054050"/>
      <w:bookmarkStart w:id="585" w:name="_Toc154382007"/>
      <w:bookmarkStart w:id="586" w:name="_Toc169500195"/>
      <w:bookmarkStart w:id="587" w:name="_Toc314727718"/>
      <w:bookmarkStart w:id="588" w:name="_Toc383521261"/>
      <w:r w:rsidRPr="00992AA5">
        <w:rPr>
          <w:sz w:val="22"/>
          <w:szCs w:val="22"/>
        </w:rPr>
        <w:t>Urządzenia nadzoru Sieci Pakietowej</w:t>
      </w:r>
      <w:bookmarkEnd w:id="584"/>
      <w:bookmarkEnd w:id="585"/>
      <w:bookmarkEnd w:id="586"/>
      <w:bookmarkEnd w:id="587"/>
      <w:bookmarkEnd w:id="588"/>
    </w:p>
    <w:p w:rsidR="00B92BFC" w:rsidRPr="00992AA5" w:rsidRDefault="00B92BFC" w:rsidP="00EB6C89">
      <w:pPr>
        <w:spacing w:before="120" w:line="240" w:lineRule="auto"/>
        <w:rPr>
          <w:lang w:val="pl-PL"/>
        </w:rPr>
      </w:pPr>
      <w:r w:rsidRPr="00992AA5">
        <w:rPr>
          <w:lang w:val="pl-PL"/>
        </w:rPr>
        <w:t xml:space="preserve">Wartość bieżącą urządzeń nadzoru sieci pakietowej ustala się metodą indeksacji. Jako dane źródłowe do wyceny wykorzystuje się informacje o wartości brutto urządzeń zakupionych </w:t>
      </w:r>
      <w:r w:rsidR="00073C78" w:rsidRPr="00992AA5">
        <w:rPr>
          <w:lang w:val="pl-PL"/>
        </w:rPr>
        <w:br/>
      </w:r>
      <w:r w:rsidRPr="00992AA5">
        <w:rPr>
          <w:lang w:val="pl-PL"/>
        </w:rPr>
        <w:t>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589" w:name="_Toc136054052"/>
      <w:bookmarkStart w:id="590" w:name="_Toc154382008"/>
      <w:bookmarkStart w:id="591" w:name="_Toc169500196"/>
      <w:bookmarkStart w:id="592" w:name="_Toc314727719"/>
      <w:bookmarkStart w:id="593" w:name="_Toc383521262"/>
      <w:r w:rsidRPr="00992AA5">
        <w:rPr>
          <w:sz w:val="22"/>
          <w:szCs w:val="22"/>
        </w:rPr>
        <w:t>Sieciowe urządzenia wspomagające</w:t>
      </w:r>
      <w:bookmarkEnd w:id="589"/>
      <w:bookmarkEnd w:id="590"/>
      <w:bookmarkEnd w:id="591"/>
      <w:bookmarkEnd w:id="592"/>
      <w:bookmarkEnd w:id="593"/>
    </w:p>
    <w:p w:rsidR="00B92BFC" w:rsidRPr="00992AA5" w:rsidRDefault="00B92BFC" w:rsidP="001C2590">
      <w:pPr>
        <w:pStyle w:val="MIKNagwek2"/>
        <w:numPr>
          <w:ilvl w:val="2"/>
          <w:numId w:val="58"/>
        </w:numPr>
        <w:rPr>
          <w:sz w:val="22"/>
          <w:szCs w:val="22"/>
        </w:rPr>
      </w:pPr>
      <w:bookmarkStart w:id="594" w:name="_Toc136054053"/>
      <w:bookmarkStart w:id="595" w:name="_Toc154382009"/>
      <w:bookmarkStart w:id="596" w:name="_Toc169500197"/>
      <w:bookmarkStart w:id="597" w:name="_Toc314727720"/>
      <w:bookmarkStart w:id="598" w:name="_Toc383521263"/>
      <w:r w:rsidRPr="00992AA5">
        <w:rPr>
          <w:sz w:val="22"/>
          <w:szCs w:val="22"/>
        </w:rPr>
        <w:t>Baterie akumulatorów</w:t>
      </w:r>
      <w:bookmarkEnd w:id="594"/>
      <w:bookmarkEnd w:id="595"/>
      <w:bookmarkEnd w:id="596"/>
      <w:bookmarkEnd w:id="597"/>
      <w:bookmarkEnd w:id="598"/>
    </w:p>
    <w:p w:rsidR="00B92BFC" w:rsidRPr="00992AA5" w:rsidRDefault="00B92BFC" w:rsidP="00EB6C89">
      <w:pPr>
        <w:spacing w:before="120" w:line="240" w:lineRule="auto"/>
        <w:rPr>
          <w:lang w:val="pl-PL"/>
        </w:rPr>
      </w:pPr>
      <w:r w:rsidRPr="00992AA5">
        <w:rPr>
          <w:lang w:val="pl-PL"/>
        </w:rPr>
        <w:t xml:space="preserve">Wartość bieżącą baterii akumulatorów wyznacza się za pomocą wyceny bezpośredniej. Wycena obejmuje bazę wszystkich baterii akumulatorów </w:t>
      </w:r>
      <w:r w:rsidR="00C05DE1" w:rsidRPr="00992AA5">
        <w:rPr>
          <w:lang w:val="pl-PL"/>
        </w:rPr>
        <w:t xml:space="preserve">OPL </w:t>
      </w:r>
      <w:r w:rsidRPr="00992AA5">
        <w:rPr>
          <w:lang w:val="pl-PL"/>
        </w:rPr>
        <w:t xml:space="preserve">pozyskaną z systemu ewidencji zasobów telekomunikacyjnych. Ceny poszczególnych typów urządzeń pozyskane z umów zawartych z dostawcami sprzętu. Wartość bieżącą ustala się przez pomnożenie cen przez liczbę elementów. </w:t>
      </w:r>
    </w:p>
    <w:p w:rsidR="00B92BFC" w:rsidRPr="00992AA5" w:rsidRDefault="00B92BFC" w:rsidP="001C2590">
      <w:pPr>
        <w:pStyle w:val="MIKNagwek2"/>
        <w:numPr>
          <w:ilvl w:val="2"/>
          <w:numId w:val="58"/>
        </w:numPr>
        <w:rPr>
          <w:sz w:val="22"/>
          <w:szCs w:val="22"/>
        </w:rPr>
      </w:pPr>
      <w:bookmarkStart w:id="599" w:name="_Toc136054054"/>
      <w:bookmarkStart w:id="600" w:name="_Toc154382010"/>
      <w:bookmarkStart w:id="601" w:name="_Toc169500198"/>
      <w:bookmarkStart w:id="602" w:name="_Toc314727721"/>
      <w:bookmarkStart w:id="603" w:name="_Toc383521264"/>
      <w:r w:rsidRPr="00992AA5">
        <w:rPr>
          <w:sz w:val="22"/>
          <w:szCs w:val="22"/>
        </w:rPr>
        <w:t>Agregaty prądotwórcze</w:t>
      </w:r>
      <w:bookmarkEnd w:id="599"/>
      <w:bookmarkEnd w:id="600"/>
      <w:bookmarkEnd w:id="601"/>
      <w:bookmarkEnd w:id="602"/>
      <w:bookmarkEnd w:id="603"/>
    </w:p>
    <w:p w:rsidR="00B92BFC" w:rsidRPr="00992AA5" w:rsidRDefault="00B92BFC" w:rsidP="00EB6C89">
      <w:pPr>
        <w:spacing w:before="120" w:line="240" w:lineRule="auto"/>
        <w:rPr>
          <w:lang w:val="pl-PL"/>
        </w:rPr>
      </w:pPr>
      <w:r w:rsidRPr="00992AA5">
        <w:rPr>
          <w:lang w:val="pl-PL"/>
        </w:rPr>
        <w:t xml:space="preserve">Wartość bieżącą agregatów prądotwórczych wyznacza się za pomocą wyceny bezpośredniej. Wycena obejmuje bazę wszystkich agregatów </w:t>
      </w:r>
      <w:r w:rsidR="00C05DE1" w:rsidRPr="00992AA5">
        <w:rPr>
          <w:lang w:val="pl-PL"/>
        </w:rPr>
        <w:t xml:space="preserve">OPL </w:t>
      </w:r>
      <w:r w:rsidRPr="00992AA5">
        <w:rPr>
          <w:lang w:val="pl-PL"/>
        </w:rPr>
        <w:t xml:space="preserve">pozyskaną z systemu ewidencji zasobów telekomunikacyjnych. Ceny poszczególnych typów urządzeń pozyskuje się z umów zawartych z dostawcami sprzętu. Wartość bieżącą ustala się przez pomnożenie cen przez liczbę elementów. </w:t>
      </w:r>
    </w:p>
    <w:p w:rsidR="00B92BFC" w:rsidRPr="00992AA5" w:rsidRDefault="00B92BFC" w:rsidP="001C2590">
      <w:pPr>
        <w:pStyle w:val="MIKNagwek2"/>
        <w:numPr>
          <w:ilvl w:val="2"/>
          <w:numId w:val="58"/>
        </w:numPr>
        <w:rPr>
          <w:sz w:val="22"/>
          <w:szCs w:val="22"/>
        </w:rPr>
      </w:pPr>
      <w:bookmarkStart w:id="604" w:name="_Toc136054055"/>
      <w:bookmarkStart w:id="605" w:name="_Toc154382011"/>
      <w:bookmarkStart w:id="606" w:name="_Toc169500199"/>
      <w:bookmarkStart w:id="607" w:name="_Toc314727722"/>
      <w:bookmarkStart w:id="608" w:name="_Toc383521265"/>
      <w:r w:rsidRPr="00992AA5">
        <w:rPr>
          <w:sz w:val="22"/>
          <w:szCs w:val="22"/>
        </w:rPr>
        <w:t>Siłownie telekomunikacyjne</w:t>
      </w:r>
      <w:bookmarkEnd w:id="604"/>
      <w:bookmarkEnd w:id="605"/>
      <w:bookmarkEnd w:id="606"/>
      <w:bookmarkEnd w:id="607"/>
      <w:bookmarkEnd w:id="608"/>
    </w:p>
    <w:p w:rsidR="00B92BFC" w:rsidRPr="00992AA5" w:rsidRDefault="00B92BFC" w:rsidP="00EB6C89">
      <w:pPr>
        <w:spacing w:before="120" w:line="240" w:lineRule="auto"/>
        <w:rPr>
          <w:lang w:val="pl-PL"/>
        </w:rPr>
      </w:pPr>
      <w:r w:rsidRPr="00992AA5">
        <w:rPr>
          <w:lang w:val="pl-PL"/>
        </w:rPr>
        <w:t xml:space="preserve">Wartość bieżącą siłowni telekomunikacyjnych wyznacza się za pomocą wyceny bezpośredniej. Wycena obejmuje bazę wszystkich siłowni </w:t>
      </w:r>
      <w:r w:rsidR="00C05DE1" w:rsidRPr="00992AA5">
        <w:rPr>
          <w:lang w:val="pl-PL"/>
        </w:rPr>
        <w:t xml:space="preserve">OPL </w:t>
      </w:r>
      <w:r w:rsidRPr="00992AA5">
        <w:rPr>
          <w:lang w:val="pl-PL"/>
        </w:rPr>
        <w:t xml:space="preserve">pozyskaną z systemu ewidencji zasobów telekomunikacyjnych. Ceny poszczególnych typów urządzeń pozyskuje się z umów zawartych z dostawcami sprzętu. Wartość bieżącą ustala się przez pomnożenie cen przez liczbę elementów. </w:t>
      </w:r>
    </w:p>
    <w:p w:rsidR="00B92BFC" w:rsidRPr="00992AA5" w:rsidRDefault="00B92BFC" w:rsidP="001C2590">
      <w:pPr>
        <w:pStyle w:val="MIKNagwek2"/>
        <w:numPr>
          <w:ilvl w:val="2"/>
          <w:numId w:val="58"/>
        </w:numPr>
        <w:rPr>
          <w:sz w:val="22"/>
          <w:szCs w:val="22"/>
        </w:rPr>
      </w:pPr>
      <w:bookmarkStart w:id="609" w:name="_Toc136054056"/>
      <w:bookmarkStart w:id="610" w:name="_Toc154382012"/>
      <w:bookmarkStart w:id="611" w:name="_Toc169500200"/>
      <w:bookmarkStart w:id="612" w:name="_Toc314727723"/>
      <w:bookmarkStart w:id="613" w:name="_Toc383521266"/>
      <w:r w:rsidRPr="00992AA5">
        <w:rPr>
          <w:sz w:val="22"/>
          <w:szCs w:val="22"/>
        </w:rPr>
        <w:lastRenderedPageBreak/>
        <w:t>Urządzenia klimatyzacyjne</w:t>
      </w:r>
      <w:bookmarkEnd w:id="609"/>
      <w:bookmarkEnd w:id="610"/>
      <w:bookmarkEnd w:id="611"/>
      <w:bookmarkEnd w:id="612"/>
      <w:bookmarkEnd w:id="613"/>
    </w:p>
    <w:p w:rsidR="00B92BFC" w:rsidRPr="00992AA5" w:rsidRDefault="00B92BFC" w:rsidP="00EB6C89">
      <w:pPr>
        <w:spacing w:before="120" w:line="240" w:lineRule="auto"/>
        <w:rPr>
          <w:lang w:val="pl-PL"/>
        </w:rPr>
      </w:pPr>
      <w:r w:rsidRPr="00992AA5">
        <w:rPr>
          <w:lang w:val="pl-PL"/>
        </w:rPr>
        <w:t xml:space="preserve">Wartość bieżącą urządzeń klimatyzacyjnych ustala się metodą indeksacji. Jako dane źródłowe do wyceny wykorzystuje się informacje o wartości brutto urządzeń zakupionych </w:t>
      </w:r>
      <w:r w:rsidR="00073C78" w:rsidRPr="00992AA5">
        <w:rPr>
          <w:lang w:val="pl-PL"/>
        </w:rPr>
        <w:br/>
      </w:r>
      <w:r w:rsidRPr="00992AA5">
        <w:rPr>
          <w:lang w:val="pl-PL"/>
        </w:rPr>
        <w:t>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14" w:name="_Toc136054057"/>
      <w:bookmarkStart w:id="615" w:name="_Toc154382013"/>
      <w:bookmarkStart w:id="616" w:name="_Toc169500201"/>
      <w:bookmarkStart w:id="617" w:name="_Toc314727724"/>
      <w:bookmarkStart w:id="618" w:name="_Toc383521267"/>
      <w:r w:rsidRPr="00992AA5">
        <w:rPr>
          <w:sz w:val="22"/>
          <w:szCs w:val="22"/>
        </w:rPr>
        <w:t>Urządzenia pomiarowe</w:t>
      </w:r>
      <w:bookmarkEnd w:id="614"/>
      <w:bookmarkEnd w:id="615"/>
      <w:bookmarkEnd w:id="616"/>
      <w:bookmarkEnd w:id="617"/>
      <w:bookmarkEnd w:id="618"/>
    </w:p>
    <w:p w:rsidR="00B92BFC" w:rsidRPr="00992AA5" w:rsidRDefault="00B92BFC" w:rsidP="00EB6C89">
      <w:pPr>
        <w:spacing w:before="120" w:line="240" w:lineRule="auto"/>
        <w:rPr>
          <w:lang w:val="pl-PL"/>
        </w:rPr>
      </w:pPr>
      <w:r w:rsidRPr="00992AA5">
        <w:rPr>
          <w:lang w:val="pl-PL"/>
        </w:rPr>
        <w:t xml:space="preserve">Wartość bieżącą urządzeń pomiarowych ustala się na bazie kosztu historycznego. Urządzenia pomiarowe nie są przeszacowywane, do wyceny wykorzystuje się informacje o wartości brutto środków trwałych na dzień 31 grudnia </w:t>
      </w:r>
      <w:r w:rsidR="005B24B6" w:rsidRPr="00992AA5">
        <w:rPr>
          <w:lang w:val="pl-PL"/>
        </w:rPr>
        <w:t>2013</w:t>
      </w:r>
      <w:r w:rsidRPr="00992AA5">
        <w:rPr>
          <w:lang w:val="pl-PL"/>
        </w:rPr>
        <w:t xml:space="preserve"> pozyskane z systemu ewidencji środków trwałych. </w:t>
      </w:r>
    </w:p>
    <w:p w:rsidR="00B92BFC" w:rsidRPr="00992AA5" w:rsidRDefault="00B92BFC" w:rsidP="001C2590">
      <w:pPr>
        <w:pStyle w:val="MIKNagwek2"/>
        <w:numPr>
          <w:ilvl w:val="2"/>
          <w:numId w:val="58"/>
        </w:numPr>
        <w:rPr>
          <w:sz w:val="22"/>
          <w:szCs w:val="22"/>
        </w:rPr>
      </w:pPr>
      <w:bookmarkStart w:id="619" w:name="_Toc136054058"/>
      <w:bookmarkStart w:id="620" w:name="_Toc154382014"/>
      <w:bookmarkStart w:id="621" w:name="_Toc169500202"/>
      <w:bookmarkStart w:id="622" w:name="_Toc314727725"/>
      <w:bookmarkStart w:id="623" w:name="_Toc383521268"/>
      <w:r w:rsidRPr="00992AA5">
        <w:rPr>
          <w:sz w:val="22"/>
          <w:szCs w:val="22"/>
        </w:rPr>
        <w:t>Urządzenia synchronizacji sieci</w:t>
      </w:r>
      <w:bookmarkEnd w:id="619"/>
      <w:bookmarkEnd w:id="620"/>
      <w:bookmarkEnd w:id="621"/>
      <w:bookmarkEnd w:id="622"/>
      <w:bookmarkEnd w:id="623"/>
    </w:p>
    <w:p w:rsidR="00B92BFC" w:rsidRPr="00992AA5" w:rsidRDefault="00B92BFC" w:rsidP="00EB6C89">
      <w:pPr>
        <w:pStyle w:val="Tekstpodstawowy3"/>
        <w:numPr>
          <w:ilvl w:val="0"/>
          <w:numId w:val="0"/>
        </w:numPr>
        <w:spacing w:before="120" w:line="240" w:lineRule="auto"/>
        <w:rPr>
          <w:color w:val="auto"/>
        </w:rPr>
      </w:pPr>
      <w:r w:rsidRPr="00992AA5">
        <w:rPr>
          <w:color w:val="auto"/>
        </w:rPr>
        <w:t xml:space="preserve">Wartość bieżącą urządzeń synchronizacji sieci ustala się metodą indeksacji. Jako dane źródłowe do wyceny wykorzystuje się informacje o wartości brutto urządzeń zakupionych </w:t>
      </w:r>
      <w:r w:rsidR="00073C78" w:rsidRPr="00992AA5">
        <w:rPr>
          <w:color w:val="auto"/>
        </w:rPr>
        <w:br/>
      </w:r>
      <w:r w:rsidRPr="00992AA5">
        <w:rPr>
          <w:color w:val="auto"/>
        </w:rPr>
        <w:t>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24" w:name="_Toc136054061"/>
      <w:bookmarkStart w:id="625" w:name="_Toc154382016"/>
      <w:bookmarkStart w:id="626" w:name="_Toc169500203"/>
      <w:bookmarkStart w:id="627" w:name="_Toc314727726"/>
      <w:bookmarkStart w:id="628" w:name="_Toc383521269"/>
      <w:r w:rsidRPr="00992AA5">
        <w:rPr>
          <w:sz w:val="22"/>
          <w:szCs w:val="22"/>
        </w:rPr>
        <w:t xml:space="preserve">Systemy </w:t>
      </w:r>
      <w:bookmarkEnd w:id="624"/>
      <w:r w:rsidRPr="00992AA5">
        <w:rPr>
          <w:sz w:val="22"/>
          <w:szCs w:val="22"/>
        </w:rPr>
        <w:t>obsługi klientów</w:t>
      </w:r>
      <w:bookmarkEnd w:id="625"/>
      <w:bookmarkEnd w:id="626"/>
      <w:bookmarkEnd w:id="627"/>
      <w:bookmarkEnd w:id="628"/>
    </w:p>
    <w:p w:rsidR="00B92BFC" w:rsidRPr="00992AA5" w:rsidRDefault="00B92BFC" w:rsidP="001C2590">
      <w:pPr>
        <w:pStyle w:val="MIKNagwek2"/>
        <w:numPr>
          <w:ilvl w:val="2"/>
          <w:numId w:val="58"/>
        </w:numPr>
        <w:rPr>
          <w:sz w:val="22"/>
          <w:szCs w:val="22"/>
        </w:rPr>
      </w:pPr>
      <w:bookmarkStart w:id="629" w:name="_Toc154382017"/>
      <w:bookmarkStart w:id="630" w:name="_Toc169500204"/>
      <w:bookmarkStart w:id="631" w:name="_Toc314727727"/>
      <w:bookmarkStart w:id="632" w:name="_Toc383521270"/>
      <w:r w:rsidRPr="00992AA5">
        <w:rPr>
          <w:sz w:val="22"/>
          <w:szCs w:val="22"/>
        </w:rPr>
        <w:t>Systemy IT - UI</w:t>
      </w:r>
      <w:bookmarkEnd w:id="629"/>
      <w:bookmarkEnd w:id="630"/>
      <w:bookmarkEnd w:id="631"/>
      <w:bookmarkEnd w:id="632"/>
    </w:p>
    <w:p w:rsidR="00B92BFC" w:rsidRPr="00992AA5" w:rsidRDefault="00B92BFC" w:rsidP="00EB6C89">
      <w:pPr>
        <w:spacing w:before="120" w:line="240" w:lineRule="auto"/>
        <w:rPr>
          <w:lang w:val="pl-PL"/>
        </w:rPr>
      </w:pPr>
      <w:r w:rsidRPr="00992AA5">
        <w:rPr>
          <w:lang w:val="pl-PL"/>
        </w:rPr>
        <w:t>Wartość bieżącą systemów ustala się metodą indeksacji. Jako dane źródłowe do wyceny wykorzystuje się informacje o wartości brutto systemów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33" w:name="_Toc154382018"/>
      <w:bookmarkStart w:id="634" w:name="_Toc169500205"/>
      <w:bookmarkStart w:id="635" w:name="_Toc314727728"/>
      <w:bookmarkStart w:id="636" w:name="_Toc383521271"/>
      <w:r w:rsidRPr="00992AA5">
        <w:rPr>
          <w:sz w:val="22"/>
          <w:szCs w:val="22"/>
        </w:rPr>
        <w:t>Systemy IT - CRM</w:t>
      </w:r>
      <w:bookmarkEnd w:id="633"/>
      <w:bookmarkEnd w:id="634"/>
      <w:bookmarkEnd w:id="635"/>
      <w:bookmarkEnd w:id="636"/>
    </w:p>
    <w:p w:rsidR="00B92BFC" w:rsidRPr="00992AA5" w:rsidRDefault="00B92BFC" w:rsidP="00EB6C89">
      <w:pPr>
        <w:spacing w:before="120" w:line="240" w:lineRule="auto"/>
        <w:rPr>
          <w:lang w:val="pl-PL"/>
        </w:rPr>
      </w:pPr>
      <w:r w:rsidRPr="00992AA5">
        <w:rPr>
          <w:lang w:val="pl-PL"/>
        </w:rPr>
        <w:t>Wartość bieżącą systemów ustala się metodą indeksacji. Jako dane źródłowe do wyceny wykorzystuje się informacje o wartości brutto systemów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37" w:name="_Toc154382019"/>
      <w:bookmarkStart w:id="638" w:name="_Toc169500206"/>
      <w:bookmarkStart w:id="639" w:name="_Toc314727729"/>
      <w:bookmarkStart w:id="640" w:name="_Toc383521272"/>
      <w:r w:rsidRPr="00992AA5">
        <w:rPr>
          <w:sz w:val="22"/>
          <w:szCs w:val="22"/>
        </w:rPr>
        <w:t>Komutacja CRM, UI</w:t>
      </w:r>
      <w:bookmarkEnd w:id="637"/>
      <w:bookmarkEnd w:id="638"/>
      <w:bookmarkEnd w:id="639"/>
      <w:bookmarkEnd w:id="640"/>
    </w:p>
    <w:p w:rsidR="00B92BFC" w:rsidRPr="00992AA5" w:rsidRDefault="00B92BFC" w:rsidP="00EB6C89">
      <w:pPr>
        <w:spacing w:before="120" w:line="240" w:lineRule="auto"/>
        <w:rPr>
          <w:lang w:val="pl-PL"/>
        </w:rPr>
      </w:pPr>
      <w:r w:rsidRPr="00992AA5">
        <w:rPr>
          <w:lang w:val="pl-PL"/>
        </w:rPr>
        <w:t xml:space="preserve">Wartość bieżącą urządzeń komutacyjnych CRM, UI wyznacza się na podstawie metody bezpośredniej. Wycena obejmuje bazę wszystkich urządzeń komutacyjnych CRM, </w:t>
      </w:r>
      <w:r w:rsidR="00073C78" w:rsidRPr="00992AA5">
        <w:rPr>
          <w:lang w:val="pl-PL"/>
        </w:rPr>
        <w:br/>
      </w:r>
      <w:r w:rsidRPr="00992AA5">
        <w:rPr>
          <w:lang w:val="pl-PL"/>
        </w:rPr>
        <w:t>UI pozyskaną z systemu ewidencji zasobów telekomunikacyjnych. Ceny poszczególnych typów urządzeń pozyskane z umów zawartych z dostawcami sprzętu. Wartość bieżącą ustala się przez pomnożenie cen przez liczbę elementów.</w:t>
      </w:r>
    </w:p>
    <w:p w:rsidR="00B92BFC" w:rsidRPr="00992AA5" w:rsidRDefault="00B92BFC" w:rsidP="001C2590">
      <w:pPr>
        <w:pStyle w:val="MIKNagwek2"/>
        <w:numPr>
          <w:ilvl w:val="2"/>
          <w:numId w:val="58"/>
        </w:numPr>
        <w:rPr>
          <w:sz w:val="22"/>
          <w:szCs w:val="22"/>
        </w:rPr>
      </w:pPr>
      <w:bookmarkStart w:id="641" w:name="_Toc314727730"/>
      <w:bookmarkStart w:id="642" w:name="_Toc314727733"/>
      <w:bookmarkStart w:id="643" w:name="_Toc154382022"/>
      <w:bookmarkStart w:id="644" w:name="_Toc169500209"/>
      <w:bookmarkStart w:id="645" w:name="_Toc314727734"/>
      <w:bookmarkStart w:id="646" w:name="_Toc383521273"/>
      <w:bookmarkEnd w:id="641"/>
      <w:bookmarkEnd w:id="642"/>
      <w:r w:rsidRPr="00992AA5">
        <w:rPr>
          <w:sz w:val="22"/>
          <w:szCs w:val="22"/>
        </w:rPr>
        <w:t>Systemy IT</w:t>
      </w:r>
      <w:bookmarkEnd w:id="643"/>
      <w:bookmarkEnd w:id="644"/>
      <w:bookmarkEnd w:id="645"/>
      <w:bookmarkEnd w:id="646"/>
    </w:p>
    <w:p w:rsidR="00B92BFC" w:rsidRPr="00992AA5" w:rsidRDefault="00B92BFC" w:rsidP="001C2590">
      <w:pPr>
        <w:pStyle w:val="MIKNagwek2"/>
        <w:numPr>
          <w:ilvl w:val="2"/>
          <w:numId w:val="58"/>
        </w:numPr>
        <w:rPr>
          <w:sz w:val="22"/>
          <w:szCs w:val="22"/>
        </w:rPr>
      </w:pPr>
      <w:bookmarkStart w:id="647" w:name="_Toc136054062"/>
      <w:bookmarkStart w:id="648" w:name="_Toc154382023"/>
      <w:bookmarkStart w:id="649" w:name="_Toc169500210"/>
      <w:bookmarkStart w:id="650" w:name="_Toc314727735"/>
      <w:bookmarkStart w:id="651" w:name="_Toc383521274"/>
      <w:r w:rsidRPr="00992AA5">
        <w:rPr>
          <w:sz w:val="22"/>
          <w:szCs w:val="22"/>
        </w:rPr>
        <w:t>Systemy IT - biling</w:t>
      </w:r>
      <w:bookmarkEnd w:id="647"/>
      <w:bookmarkEnd w:id="648"/>
      <w:bookmarkEnd w:id="649"/>
      <w:bookmarkEnd w:id="650"/>
      <w:bookmarkEnd w:id="651"/>
    </w:p>
    <w:p w:rsidR="00B92BFC" w:rsidRPr="00992AA5" w:rsidRDefault="00B92BFC" w:rsidP="00EB6C89">
      <w:pPr>
        <w:spacing w:before="120" w:line="240" w:lineRule="auto"/>
        <w:rPr>
          <w:lang w:val="pl-PL"/>
        </w:rPr>
      </w:pPr>
      <w:r w:rsidRPr="00992AA5">
        <w:rPr>
          <w:lang w:val="pl-PL"/>
        </w:rPr>
        <w:t>Wartość bieżącą systemów ustala się metodą indeksacji. Jako dane źródłowe do wyceny wykorzystuje się informacje o wartości brutto systemów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52" w:name="_Toc136054063"/>
      <w:bookmarkStart w:id="653" w:name="_Toc154382024"/>
      <w:bookmarkStart w:id="654" w:name="_Toc169500211"/>
      <w:bookmarkStart w:id="655" w:name="_Toc314727736"/>
      <w:bookmarkStart w:id="656" w:name="_Toc383521275"/>
      <w:r w:rsidRPr="00992AA5">
        <w:rPr>
          <w:sz w:val="22"/>
          <w:szCs w:val="22"/>
        </w:rPr>
        <w:t>Systemy IT - fakturowanie</w:t>
      </w:r>
      <w:bookmarkEnd w:id="652"/>
      <w:bookmarkEnd w:id="653"/>
      <w:bookmarkEnd w:id="654"/>
      <w:bookmarkEnd w:id="655"/>
      <w:bookmarkEnd w:id="656"/>
    </w:p>
    <w:p w:rsidR="00B92BFC" w:rsidRPr="00992AA5" w:rsidRDefault="00B92BFC" w:rsidP="00EB6C89">
      <w:pPr>
        <w:spacing w:before="120" w:line="240" w:lineRule="auto"/>
        <w:rPr>
          <w:lang w:val="pl-PL"/>
        </w:rPr>
      </w:pPr>
      <w:r w:rsidRPr="00992AA5">
        <w:rPr>
          <w:lang w:val="pl-PL"/>
        </w:rPr>
        <w:t xml:space="preserve">Wartość bieżącą systemów i urządzeń ustala się metodą indeksacji. Jako dane źródłowe </w:t>
      </w:r>
      <w:r w:rsidR="00073C78" w:rsidRPr="00992AA5">
        <w:rPr>
          <w:lang w:val="pl-PL"/>
        </w:rPr>
        <w:br/>
      </w:r>
      <w:r w:rsidRPr="00992AA5">
        <w:rPr>
          <w:lang w:val="pl-PL"/>
        </w:rPr>
        <w:t xml:space="preserve">do wyceny wykorzystuje się informacje o wartości brutto systemów i urządzeń zakupionych w poszczególnych latach, dla każdego roku oddzielnie. Dane te pozyskuje się z systemu </w:t>
      </w:r>
      <w:r w:rsidRPr="00992AA5">
        <w:rPr>
          <w:lang w:val="pl-PL"/>
        </w:rPr>
        <w:lastRenderedPageBreak/>
        <w:t>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57" w:name="_Toc136054064"/>
      <w:bookmarkStart w:id="658" w:name="_Toc154382025"/>
      <w:bookmarkStart w:id="659" w:name="_Toc169500212"/>
      <w:bookmarkStart w:id="660" w:name="_Toc314727737"/>
      <w:bookmarkStart w:id="661" w:name="_Toc383521276"/>
      <w:r w:rsidRPr="00992AA5">
        <w:rPr>
          <w:sz w:val="22"/>
          <w:szCs w:val="22"/>
        </w:rPr>
        <w:t xml:space="preserve">Systemy IT - systemy dedykowane na modelowe </w:t>
      </w:r>
      <w:r w:rsidRPr="00992AA5">
        <w:rPr>
          <w:sz w:val="22"/>
          <w:szCs w:val="22"/>
        </w:rPr>
        <w:br/>
        <w:t>elementy sieci</w:t>
      </w:r>
      <w:bookmarkEnd w:id="657"/>
      <w:bookmarkEnd w:id="658"/>
      <w:bookmarkEnd w:id="659"/>
      <w:bookmarkEnd w:id="660"/>
      <w:bookmarkEnd w:id="661"/>
    </w:p>
    <w:p w:rsidR="00B92BFC" w:rsidRPr="00992AA5" w:rsidRDefault="00B92BFC" w:rsidP="00EB6C89">
      <w:pPr>
        <w:spacing w:before="120" w:line="240" w:lineRule="auto"/>
        <w:rPr>
          <w:lang w:val="pl-PL"/>
        </w:rPr>
      </w:pPr>
      <w:r w:rsidRPr="00992AA5">
        <w:rPr>
          <w:lang w:val="pl-PL"/>
        </w:rPr>
        <w:t>Wartość bieżącą systemów ustala się metodą indeksacji. Jako dane źródłowe do wyceny wykorzystuje się informacje o wartości brutto systemów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62" w:name="_Toc169500213"/>
      <w:bookmarkStart w:id="663" w:name="_Toc314727738"/>
      <w:bookmarkStart w:id="664" w:name="_Toc383521277"/>
      <w:r w:rsidRPr="00992AA5">
        <w:rPr>
          <w:sz w:val="22"/>
          <w:szCs w:val="22"/>
        </w:rPr>
        <w:t>Systemy IT - systemy obsługi finansowej</w:t>
      </w:r>
      <w:bookmarkEnd w:id="662"/>
      <w:bookmarkEnd w:id="663"/>
      <w:bookmarkEnd w:id="664"/>
    </w:p>
    <w:p w:rsidR="00B92BFC" w:rsidRPr="00992AA5" w:rsidRDefault="00B92BFC" w:rsidP="00EB6C89">
      <w:pPr>
        <w:spacing w:before="120" w:line="240" w:lineRule="auto"/>
        <w:rPr>
          <w:lang w:val="pl-PL"/>
        </w:rPr>
      </w:pPr>
      <w:r w:rsidRPr="00992AA5">
        <w:rPr>
          <w:lang w:val="pl-PL"/>
        </w:rPr>
        <w:t>Wartość bieżącą systemów ustala się metodą indeksacji. Jako dane źródłowe do wyceny wykorzystuje się informacje o wartości brutto systemów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65" w:name="_Toc169500214"/>
      <w:bookmarkStart w:id="666" w:name="_Toc314727739"/>
      <w:bookmarkStart w:id="667" w:name="_Toc383521278"/>
      <w:r w:rsidRPr="00992AA5">
        <w:rPr>
          <w:sz w:val="22"/>
          <w:szCs w:val="22"/>
        </w:rPr>
        <w:t>Systemy IT - systemy zarządzania zasobami ludzkimi</w:t>
      </w:r>
      <w:bookmarkEnd w:id="665"/>
      <w:bookmarkEnd w:id="666"/>
      <w:bookmarkEnd w:id="667"/>
    </w:p>
    <w:p w:rsidR="00B92BFC" w:rsidRPr="00992AA5" w:rsidRDefault="00B92BFC" w:rsidP="00EB6C89">
      <w:pPr>
        <w:spacing w:before="120" w:line="240" w:lineRule="auto"/>
        <w:rPr>
          <w:lang w:val="pl-PL"/>
        </w:rPr>
      </w:pPr>
      <w:r w:rsidRPr="00992AA5">
        <w:rPr>
          <w:lang w:val="pl-PL"/>
        </w:rPr>
        <w:t>Wartość bieżącą systemów ustala się metodą indeksacji. Jako dane źródłowe do wyceny wykorzystuje się informacje o wartości brutto systemów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68" w:name="_Toc169500215"/>
      <w:bookmarkStart w:id="669" w:name="_Toc314727740"/>
      <w:bookmarkStart w:id="670" w:name="_Toc383521279"/>
      <w:r w:rsidRPr="00992AA5">
        <w:rPr>
          <w:sz w:val="22"/>
          <w:szCs w:val="22"/>
        </w:rPr>
        <w:t>Systemy IT - systemy obsługi zaopatrzenia</w:t>
      </w:r>
      <w:bookmarkEnd w:id="668"/>
      <w:bookmarkEnd w:id="669"/>
      <w:bookmarkEnd w:id="670"/>
    </w:p>
    <w:p w:rsidR="00B92BFC" w:rsidRPr="00992AA5" w:rsidRDefault="00B92BFC" w:rsidP="00EB6C89">
      <w:pPr>
        <w:spacing w:before="120" w:line="240" w:lineRule="auto"/>
        <w:rPr>
          <w:lang w:val="pl-PL"/>
        </w:rPr>
      </w:pPr>
      <w:r w:rsidRPr="00992AA5">
        <w:rPr>
          <w:lang w:val="pl-PL"/>
        </w:rPr>
        <w:t>Wartość bieżącą systemów ustala się metodą indeksacji. Jako dane źródłowe do wyceny wykorzystuje się informacje o wartości brutto systemów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71" w:name="_Toc169500216"/>
      <w:bookmarkStart w:id="672" w:name="_Toc314727741"/>
      <w:bookmarkStart w:id="673" w:name="_Toc383521280"/>
      <w:r w:rsidRPr="00992AA5">
        <w:rPr>
          <w:sz w:val="22"/>
          <w:szCs w:val="22"/>
        </w:rPr>
        <w:t>Systemy IT - aplikacje</w:t>
      </w:r>
      <w:bookmarkEnd w:id="671"/>
      <w:bookmarkEnd w:id="672"/>
      <w:bookmarkEnd w:id="673"/>
    </w:p>
    <w:p w:rsidR="00B92BFC" w:rsidRPr="00992AA5" w:rsidRDefault="00B92BFC" w:rsidP="00EB6C89">
      <w:pPr>
        <w:spacing w:before="120" w:line="240" w:lineRule="auto"/>
        <w:rPr>
          <w:lang w:val="pl-PL"/>
        </w:rPr>
      </w:pPr>
      <w:r w:rsidRPr="00992AA5">
        <w:rPr>
          <w:lang w:val="pl-PL"/>
        </w:rPr>
        <w:t xml:space="preserve">Wartość bieżącą aplikacji i licencji ustala się metodą indeksacji. Jako dane źródłowe </w:t>
      </w:r>
      <w:r w:rsidR="00073C78" w:rsidRPr="00992AA5">
        <w:rPr>
          <w:lang w:val="pl-PL"/>
        </w:rPr>
        <w:br/>
      </w:r>
      <w:r w:rsidRPr="00992AA5">
        <w:rPr>
          <w:lang w:val="pl-PL"/>
        </w:rPr>
        <w:t>do wyceny wykorzystuje się informacje o wartości brutto aplikacji i licencji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74" w:name="_Toc169500217"/>
      <w:bookmarkStart w:id="675" w:name="_Toc314727742"/>
      <w:bookmarkStart w:id="676" w:name="_Toc383521281"/>
      <w:r w:rsidRPr="00992AA5">
        <w:rPr>
          <w:sz w:val="22"/>
          <w:szCs w:val="22"/>
        </w:rPr>
        <w:t>Systemy IT –urządzenia</w:t>
      </w:r>
      <w:bookmarkEnd w:id="674"/>
      <w:bookmarkEnd w:id="675"/>
      <w:bookmarkEnd w:id="676"/>
    </w:p>
    <w:p w:rsidR="00B92BFC" w:rsidRPr="00992AA5" w:rsidRDefault="00B92BFC" w:rsidP="00EB6C89">
      <w:pPr>
        <w:spacing w:before="120" w:line="240" w:lineRule="auto"/>
        <w:rPr>
          <w:lang w:val="pl-PL"/>
        </w:rPr>
      </w:pPr>
      <w:r w:rsidRPr="00992AA5">
        <w:rPr>
          <w:lang w:val="pl-PL"/>
        </w:rPr>
        <w:t>Wartość bieżącą urządzeń ustala się metodą indeksacji. Jako dane źródłowe do wyceny wykorzystuje się informacje o wartości brutto urządzeń zakupionych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77" w:name="_Toc136054065"/>
      <w:bookmarkStart w:id="678" w:name="_Toc154382026"/>
      <w:bookmarkStart w:id="679" w:name="_Toc169500218"/>
      <w:bookmarkStart w:id="680" w:name="_Toc314727743"/>
      <w:bookmarkStart w:id="681" w:name="_Toc383521282"/>
      <w:r w:rsidRPr="00992AA5">
        <w:rPr>
          <w:sz w:val="22"/>
          <w:szCs w:val="22"/>
        </w:rPr>
        <w:t>Systemy IT - sieć korporacyjna</w:t>
      </w:r>
      <w:bookmarkEnd w:id="677"/>
      <w:bookmarkEnd w:id="678"/>
      <w:bookmarkEnd w:id="679"/>
      <w:bookmarkEnd w:id="680"/>
      <w:bookmarkEnd w:id="681"/>
    </w:p>
    <w:p w:rsidR="00B92BFC" w:rsidRPr="00992AA5" w:rsidRDefault="00B92BFC" w:rsidP="00EB6C89">
      <w:pPr>
        <w:spacing w:before="120" w:line="240" w:lineRule="auto"/>
        <w:rPr>
          <w:lang w:val="pl-PL"/>
        </w:rPr>
      </w:pPr>
      <w:r w:rsidRPr="00992AA5">
        <w:rPr>
          <w:lang w:val="pl-PL"/>
        </w:rPr>
        <w:t xml:space="preserve">Wartość bieżącą sieci korporacyjnej ustala się metodą bezpośrednia lub za pomocą metody indeksacji w przypadku braku możliwości zastosowania metody bezpośredniej. Na podstawie parametrów i specyfikacji urządzeń wyznacza się szczegółową konfigurację systemów </w:t>
      </w:r>
      <w:r w:rsidR="00073C78" w:rsidRPr="00992AA5">
        <w:rPr>
          <w:lang w:val="pl-PL"/>
        </w:rPr>
        <w:br/>
      </w:r>
      <w:r w:rsidRPr="00992AA5">
        <w:rPr>
          <w:lang w:val="pl-PL"/>
        </w:rPr>
        <w:t xml:space="preserve">IT sieci korporacyjnej. Ceny poszczególnych elementów systemu pozyskuje się z umów zawartych z dostawcami sprzętu. Wartość bieżącą ustala się przez pomnożenie cen przez liczbę elementów. Parametry nominalne pozyskuje się przy pomocy ankiet wypełnianych </w:t>
      </w:r>
      <w:r w:rsidR="00073C78" w:rsidRPr="00992AA5">
        <w:rPr>
          <w:lang w:val="pl-PL"/>
        </w:rPr>
        <w:br/>
      </w:r>
      <w:r w:rsidRPr="00992AA5">
        <w:rPr>
          <w:lang w:val="pl-PL"/>
        </w:rPr>
        <w:t xml:space="preserve">na podstawie sprawozdawczości wewnętrznej </w:t>
      </w:r>
      <w:r w:rsidR="00C05DE1" w:rsidRPr="00992AA5">
        <w:rPr>
          <w:lang w:val="pl-PL"/>
        </w:rPr>
        <w:t>OPL</w:t>
      </w:r>
      <w:r w:rsidRPr="00992AA5">
        <w:rPr>
          <w:lang w:val="pl-PL"/>
        </w:rPr>
        <w:t xml:space="preserve">. </w:t>
      </w:r>
    </w:p>
    <w:p w:rsidR="00B92BFC" w:rsidRPr="00992AA5" w:rsidRDefault="00B92BFC" w:rsidP="00EB6C89">
      <w:pPr>
        <w:spacing w:before="120" w:line="240" w:lineRule="auto"/>
        <w:rPr>
          <w:lang w:val="pl-PL"/>
        </w:rPr>
      </w:pPr>
      <w:r w:rsidRPr="00992AA5">
        <w:rPr>
          <w:lang w:val="pl-PL"/>
        </w:rPr>
        <w:lastRenderedPageBreak/>
        <w:t>W przypadku zastosowania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82" w:name="_Toc169500220"/>
      <w:bookmarkStart w:id="683" w:name="_Toc314727744"/>
      <w:bookmarkStart w:id="684" w:name="_Toc383521283"/>
      <w:r w:rsidRPr="00992AA5">
        <w:rPr>
          <w:sz w:val="22"/>
          <w:szCs w:val="22"/>
        </w:rPr>
        <w:t>Komputery osobiste</w:t>
      </w:r>
      <w:bookmarkEnd w:id="682"/>
      <w:bookmarkEnd w:id="683"/>
      <w:bookmarkEnd w:id="684"/>
    </w:p>
    <w:p w:rsidR="00B92BFC" w:rsidRPr="00992AA5" w:rsidRDefault="00B92BFC" w:rsidP="00EB6C89">
      <w:pPr>
        <w:spacing w:before="120" w:line="240" w:lineRule="auto"/>
        <w:rPr>
          <w:lang w:val="pl-PL"/>
        </w:rPr>
      </w:pPr>
      <w:r w:rsidRPr="00992AA5">
        <w:rPr>
          <w:lang w:val="pl-PL"/>
        </w:rPr>
        <w:t xml:space="preserve">Wartość bieżącą komputerów osobistych i innych urządzeń informatycznych ustala się metodą bezpośrednią i/lub na podstawie metody indeksacji w przypadku braku możliwości wyceny bezpośredniej. Na podstawie dostępnych danych wyznacza się konfigurację urządzeń zakwalifikowanych do grupy komputery osobiste. Ceny poszczególnych elementów pozyskuje się z umów zawartych z dostawcami sprzętu. Wartość bieżącą ustala się przez pomnożenie cen przez liczbę elementów. </w:t>
      </w:r>
    </w:p>
    <w:p w:rsidR="00B92BFC" w:rsidRPr="00992AA5" w:rsidRDefault="00B92BFC" w:rsidP="00EB6C89">
      <w:pPr>
        <w:spacing w:before="120" w:line="240" w:lineRule="auto"/>
        <w:rPr>
          <w:lang w:val="pl-PL"/>
        </w:rPr>
      </w:pPr>
      <w:r w:rsidRPr="00992AA5">
        <w:rPr>
          <w:lang w:val="pl-PL"/>
        </w:rPr>
        <w:t>W przypadku zastosowania metody indeksacji, jako dane źródłowe do wyceny wykorzystuje się informacje o wartości brutto sprzętu zakupionego w poszczególnych latach, dla każdego roku oddzielnie. Dane te pozyskuje się z systemu ewidencji środków trwałych. Indeks ustala się na podstawie zmian cen walut wg tabel Narodowego Banku Polskiego.</w:t>
      </w:r>
    </w:p>
    <w:p w:rsidR="00B92BFC" w:rsidRPr="00992AA5" w:rsidRDefault="00B92BFC" w:rsidP="001C2590">
      <w:pPr>
        <w:pStyle w:val="MIKNagwek2"/>
        <w:numPr>
          <w:ilvl w:val="2"/>
          <w:numId w:val="58"/>
        </w:numPr>
        <w:rPr>
          <w:sz w:val="22"/>
          <w:szCs w:val="22"/>
        </w:rPr>
      </w:pPr>
      <w:bookmarkStart w:id="685" w:name="_Toc154382028"/>
      <w:bookmarkStart w:id="686" w:name="_Toc169500221"/>
      <w:bookmarkStart w:id="687" w:name="_Toc314727745"/>
      <w:bookmarkStart w:id="688" w:name="_Toc383521284"/>
      <w:r w:rsidRPr="00992AA5">
        <w:rPr>
          <w:sz w:val="22"/>
          <w:szCs w:val="22"/>
        </w:rPr>
        <w:t>Pozostałe</w:t>
      </w:r>
      <w:bookmarkEnd w:id="685"/>
      <w:bookmarkEnd w:id="686"/>
      <w:bookmarkEnd w:id="687"/>
      <w:bookmarkEnd w:id="688"/>
    </w:p>
    <w:p w:rsidR="00B92BFC" w:rsidRPr="00992AA5" w:rsidRDefault="00B92BFC" w:rsidP="001C2590">
      <w:pPr>
        <w:pStyle w:val="MIKNagwek2"/>
        <w:numPr>
          <w:ilvl w:val="2"/>
          <w:numId w:val="58"/>
        </w:numPr>
        <w:rPr>
          <w:sz w:val="22"/>
          <w:szCs w:val="22"/>
        </w:rPr>
      </w:pPr>
      <w:bookmarkStart w:id="689" w:name="_Toc136054073"/>
      <w:bookmarkStart w:id="690" w:name="_Toc154382029"/>
      <w:bookmarkStart w:id="691" w:name="_Toc169500222"/>
      <w:bookmarkStart w:id="692" w:name="_Toc314727746"/>
      <w:bookmarkStart w:id="693" w:name="_Toc383521285"/>
      <w:r w:rsidRPr="00992AA5">
        <w:rPr>
          <w:sz w:val="22"/>
          <w:szCs w:val="22"/>
        </w:rPr>
        <w:t>PAS</w:t>
      </w:r>
      <w:bookmarkEnd w:id="689"/>
      <w:bookmarkEnd w:id="690"/>
      <w:bookmarkEnd w:id="691"/>
      <w:bookmarkEnd w:id="692"/>
      <w:bookmarkEnd w:id="693"/>
    </w:p>
    <w:p w:rsidR="00B92BFC" w:rsidRPr="00992AA5" w:rsidRDefault="00B92BFC" w:rsidP="00EB6C89">
      <w:pPr>
        <w:spacing w:before="120" w:line="240" w:lineRule="auto"/>
        <w:rPr>
          <w:lang w:val="pl-PL"/>
        </w:rPr>
      </w:pPr>
      <w:r w:rsidRPr="00992AA5">
        <w:rPr>
          <w:lang w:val="pl-PL"/>
        </w:rPr>
        <w:t xml:space="preserve">Wartość bieżącą urządzeń wyznacza się za pomocą metody wyceny bezpośredniej. Dane o wolumenach aparatów, kabin i </w:t>
      </w:r>
      <w:proofErr w:type="spellStart"/>
      <w:r w:rsidRPr="00992AA5">
        <w:rPr>
          <w:lang w:val="pl-PL"/>
        </w:rPr>
        <w:t>półkabin</w:t>
      </w:r>
      <w:proofErr w:type="spellEnd"/>
      <w:r w:rsidRPr="00992AA5">
        <w:rPr>
          <w:lang w:val="pl-PL"/>
        </w:rPr>
        <w:t xml:space="preserve"> pozyskuje się podstawie sprawozdawczości </w:t>
      </w:r>
      <w:r w:rsidR="00C05DE1" w:rsidRPr="00992AA5">
        <w:rPr>
          <w:lang w:val="pl-PL"/>
        </w:rPr>
        <w:t>OPL</w:t>
      </w:r>
      <w:r w:rsidRPr="00992AA5">
        <w:rPr>
          <w:lang w:val="pl-PL"/>
        </w:rPr>
        <w:t>. Ceny poszczególnych typów urządzeń pozyskane z umów zawartych z dostawcami sprzętu. Wartość bieżącą ustala się przez pomnożenie cen przez liczbę elementów.</w:t>
      </w:r>
    </w:p>
    <w:p w:rsidR="00B92BFC" w:rsidRPr="00992AA5" w:rsidRDefault="00B92BFC" w:rsidP="001C2590">
      <w:pPr>
        <w:pStyle w:val="MIKNagwek2"/>
        <w:numPr>
          <w:ilvl w:val="2"/>
          <w:numId w:val="58"/>
        </w:numPr>
        <w:rPr>
          <w:sz w:val="22"/>
          <w:szCs w:val="22"/>
        </w:rPr>
      </w:pPr>
      <w:bookmarkStart w:id="694" w:name="_Toc136054078"/>
      <w:bookmarkStart w:id="695" w:name="_Toc154382031"/>
      <w:bookmarkStart w:id="696" w:name="_Toc169500224"/>
      <w:bookmarkStart w:id="697" w:name="_Toc314727747"/>
      <w:bookmarkStart w:id="698" w:name="_Toc383521286"/>
      <w:r w:rsidRPr="00992AA5">
        <w:rPr>
          <w:sz w:val="22"/>
          <w:szCs w:val="22"/>
        </w:rPr>
        <w:t>Środki transportu</w:t>
      </w:r>
      <w:bookmarkEnd w:id="694"/>
      <w:bookmarkEnd w:id="695"/>
      <w:bookmarkEnd w:id="696"/>
      <w:bookmarkEnd w:id="697"/>
      <w:bookmarkEnd w:id="698"/>
    </w:p>
    <w:p w:rsidR="00B92BFC" w:rsidRPr="00992AA5" w:rsidRDefault="00B92BFC" w:rsidP="00EB6C89">
      <w:pPr>
        <w:pStyle w:val="Tekstpodstawowy3"/>
        <w:numPr>
          <w:ilvl w:val="0"/>
          <w:numId w:val="0"/>
        </w:numPr>
        <w:spacing w:before="120" w:line="240" w:lineRule="auto"/>
        <w:rPr>
          <w:color w:val="auto"/>
        </w:rPr>
      </w:pPr>
      <w:r w:rsidRPr="00992AA5">
        <w:rPr>
          <w:color w:val="auto"/>
        </w:rPr>
        <w:t xml:space="preserve">Wartość bieżącą środków transportu ustala się metodą bezpośrednią i/lub na podstawie wartości historycznej w przypadku braku możliwości wyceny bezpośredniej. W tym celu </w:t>
      </w:r>
      <w:r w:rsidR="00073C78" w:rsidRPr="00992AA5">
        <w:rPr>
          <w:color w:val="auto"/>
        </w:rPr>
        <w:br/>
      </w:r>
      <w:r w:rsidRPr="00992AA5">
        <w:rPr>
          <w:color w:val="auto"/>
        </w:rPr>
        <w:t xml:space="preserve">ze scentralizowanego systemu ewidencji pojazdów pobiera się informację o aktualnym wolumenie środków transportu w podziale na wyodrębnione grupy o podobnych walorach użytkowych (wyodrębniono kilkanaście grup pojazdów). Uwzględnia się jedynie pojazdy znajdujące się na stanie majątkowym </w:t>
      </w:r>
      <w:r w:rsidR="00C05DE1" w:rsidRPr="00992AA5">
        <w:rPr>
          <w:color w:val="auto"/>
        </w:rPr>
        <w:t>OPL</w:t>
      </w:r>
      <w:r w:rsidRPr="00992AA5">
        <w:rPr>
          <w:color w:val="auto"/>
        </w:rPr>
        <w:t xml:space="preserve">. Jednocześnie z ofert dealerów samochodowych lub publikacji branżowych pozyskuje się aktualne ceny poszczególnych </w:t>
      </w:r>
      <w:proofErr w:type="spellStart"/>
      <w:r w:rsidRPr="00992AA5">
        <w:rPr>
          <w:color w:val="auto"/>
        </w:rPr>
        <w:t>marek</w:t>
      </w:r>
      <w:proofErr w:type="spellEnd"/>
      <w:r w:rsidRPr="00992AA5">
        <w:rPr>
          <w:color w:val="auto"/>
        </w:rPr>
        <w:t xml:space="preserve"> samochodów i na ich podstawie ustala się przeciętną cenę pojazdu w danej grupie. Wartość bieżącą środków transportu uzyskuje się poprzez przemnożenie liczby wszystkich środków transportu w każdej z grup przez przeciętną cenę samochodu w danej grupie i zsumowanie wartości wszystkich grup. </w:t>
      </w:r>
    </w:p>
    <w:p w:rsidR="00B92BFC" w:rsidRPr="00992AA5" w:rsidRDefault="00B92BFC" w:rsidP="00EB6C89">
      <w:pPr>
        <w:pStyle w:val="Tekstpodstawowy3"/>
        <w:numPr>
          <w:ilvl w:val="0"/>
          <w:numId w:val="0"/>
        </w:numPr>
        <w:spacing w:before="120" w:line="240" w:lineRule="auto"/>
        <w:rPr>
          <w:color w:val="auto"/>
        </w:rPr>
      </w:pPr>
      <w:r w:rsidRPr="00992AA5">
        <w:rPr>
          <w:color w:val="auto"/>
        </w:rPr>
        <w:t xml:space="preserve">W przypadku przyjęcia kosztu historycznego. Środki transportu nie są przeszacowywane, </w:t>
      </w:r>
      <w:r w:rsidR="00073C78" w:rsidRPr="00992AA5">
        <w:rPr>
          <w:color w:val="auto"/>
        </w:rPr>
        <w:br/>
      </w:r>
      <w:r w:rsidRPr="00992AA5">
        <w:rPr>
          <w:color w:val="auto"/>
        </w:rPr>
        <w:t xml:space="preserve">do wyceny wykorzystuje się informacje o wartości brutto środków trwałych na dzień </w:t>
      </w:r>
      <w:r w:rsidR="00073C78" w:rsidRPr="00992AA5">
        <w:rPr>
          <w:color w:val="auto"/>
        </w:rPr>
        <w:br/>
      </w:r>
      <w:r w:rsidRPr="00992AA5">
        <w:rPr>
          <w:color w:val="auto"/>
        </w:rPr>
        <w:t xml:space="preserve">31 grudnia </w:t>
      </w:r>
      <w:r w:rsidR="005B24B6" w:rsidRPr="00992AA5">
        <w:rPr>
          <w:color w:val="auto"/>
        </w:rPr>
        <w:t>2013</w:t>
      </w:r>
      <w:r w:rsidRPr="00992AA5">
        <w:rPr>
          <w:color w:val="auto"/>
        </w:rPr>
        <w:t xml:space="preserve"> pozyskane z systemu ewidencji środków trwałych.</w:t>
      </w:r>
    </w:p>
    <w:p w:rsidR="00B92BFC" w:rsidRPr="00992AA5" w:rsidRDefault="00B92BFC" w:rsidP="001C2590">
      <w:pPr>
        <w:pStyle w:val="MIKNagwek2"/>
        <w:numPr>
          <w:ilvl w:val="2"/>
          <w:numId w:val="58"/>
        </w:numPr>
        <w:rPr>
          <w:sz w:val="22"/>
          <w:szCs w:val="22"/>
        </w:rPr>
      </w:pPr>
      <w:bookmarkStart w:id="699" w:name="_Toc136054079"/>
      <w:bookmarkStart w:id="700" w:name="_Toc154382032"/>
      <w:bookmarkStart w:id="701" w:name="_Toc169500225"/>
      <w:bookmarkStart w:id="702" w:name="_Toc314727748"/>
      <w:bookmarkStart w:id="703" w:name="_Toc383521287"/>
      <w:r w:rsidRPr="00992AA5">
        <w:rPr>
          <w:sz w:val="22"/>
          <w:szCs w:val="22"/>
        </w:rPr>
        <w:t>Meble, urządzenia biurowe i inne wyposażenie</w:t>
      </w:r>
      <w:bookmarkEnd w:id="699"/>
      <w:bookmarkEnd w:id="700"/>
      <w:bookmarkEnd w:id="701"/>
      <w:bookmarkEnd w:id="702"/>
      <w:bookmarkEnd w:id="703"/>
    </w:p>
    <w:p w:rsidR="00B92BFC" w:rsidRPr="00992AA5" w:rsidRDefault="00B92BFC" w:rsidP="00EB6C89">
      <w:pPr>
        <w:spacing w:before="120" w:line="240" w:lineRule="auto"/>
        <w:rPr>
          <w:lang w:val="pl-PL"/>
        </w:rPr>
      </w:pPr>
      <w:r w:rsidRPr="00992AA5">
        <w:rPr>
          <w:lang w:val="pl-PL"/>
        </w:rPr>
        <w:t xml:space="preserve">Wartość bieżącą dla mebli, urządzeń biurowych i innego wyposażenia ustala się na bazie kosztu historycznego. Do wyceny wykorzystuje się informacje o wartości brutto środków trwałych na dzień 31 grudnia </w:t>
      </w:r>
      <w:r w:rsidR="005B24B6" w:rsidRPr="00992AA5">
        <w:rPr>
          <w:lang w:val="pl-PL"/>
        </w:rPr>
        <w:t>2013</w:t>
      </w:r>
      <w:r w:rsidRPr="00992AA5">
        <w:rPr>
          <w:lang w:val="pl-PL"/>
        </w:rPr>
        <w:t xml:space="preserve"> pozyskane z systemu ewidencji środków trwałych.</w:t>
      </w:r>
    </w:p>
    <w:p w:rsidR="00B92BFC" w:rsidRPr="00992AA5" w:rsidRDefault="00B92BFC" w:rsidP="001C2590">
      <w:pPr>
        <w:pStyle w:val="MIKNagwek2"/>
        <w:numPr>
          <w:ilvl w:val="2"/>
          <w:numId w:val="58"/>
        </w:numPr>
        <w:rPr>
          <w:sz w:val="22"/>
          <w:szCs w:val="22"/>
        </w:rPr>
      </w:pPr>
      <w:bookmarkStart w:id="704" w:name="_Toc136054081"/>
      <w:bookmarkStart w:id="705" w:name="_Toc154382033"/>
      <w:bookmarkStart w:id="706" w:name="_Toc169500226"/>
      <w:bookmarkStart w:id="707" w:name="_Toc314727749"/>
      <w:bookmarkStart w:id="708" w:name="_Toc383521288"/>
      <w:r w:rsidRPr="00992AA5">
        <w:rPr>
          <w:sz w:val="22"/>
          <w:szCs w:val="22"/>
        </w:rPr>
        <w:t>Budynki</w:t>
      </w:r>
      <w:bookmarkEnd w:id="704"/>
      <w:bookmarkEnd w:id="705"/>
      <w:bookmarkEnd w:id="706"/>
      <w:bookmarkEnd w:id="707"/>
      <w:bookmarkEnd w:id="708"/>
    </w:p>
    <w:p w:rsidR="00B92BFC" w:rsidRPr="00992AA5" w:rsidRDefault="00B92BFC" w:rsidP="00EB6C89">
      <w:pPr>
        <w:spacing w:before="120" w:line="240" w:lineRule="auto"/>
        <w:rPr>
          <w:lang w:val="pl-PL"/>
        </w:rPr>
      </w:pPr>
      <w:r w:rsidRPr="00992AA5">
        <w:rPr>
          <w:lang w:val="pl-PL"/>
        </w:rPr>
        <w:t>W odniesieniu do omawianej grupy środków trwałych i wartości niematerialnych i prawnych wyznaczenie wartości bieżącej oparte będzie w całości na metodzie wyceny bezpośredniej.</w:t>
      </w:r>
    </w:p>
    <w:p w:rsidR="00B92BFC" w:rsidRPr="00992AA5" w:rsidRDefault="00B92BFC" w:rsidP="00EB6C89">
      <w:pPr>
        <w:spacing w:before="120" w:line="240" w:lineRule="auto"/>
        <w:rPr>
          <w:lang w:val="pl-PL"/>
        </w:rPr>
      </w:pPr>
      <w:r w:rsidRPr="00992AA5">
        <w:rPr>
          <w:lang w:val="pl-PL"/>
        </w:rPr>
        <w:t xml:space="preserve">Przy dokonywaniu wyceny wykorzystuje się wyniki </w:t>
      </w:r>
      <w:r w:rsidR="006F60E0" w:rsidRPr="00992AA5">
        <w:rPr>
          <w:lang w:val="pl-PL"/>
        </w:rPr>
        <w:t>pra</w:t>
      </w:r>
      <w:r w:rsidR="005B24B6" w:rsidRPr="00992AA5">
        <w:rPr>
          <w:lang w:val="pl-PL"/>
        </w:rPr>
        <w:t>c</w:t>
      </w:r>
      <w:r w:rsidR="006F60E0" w:rsidRPr="00992AA5">
        <w:rPr>
          <w:lang w:val="pl-PL"/>
        </w:rPr>
        <w:t xml:space="preserve"> niezależnych</w:t>
      </w:r>
      <w:r w:rsidRPr="00992AA5">
        <w:rPr>
          <w:lang w:val="pl-PL"/>
        </w:rPr>
        <w:t xml:space="preserve"> rzeczoznawców.</w:t>
      </w:r>
    </w:p>
    <w:p w:rsidR="00B92BFC" w:rsidRPr="00992AA5" w:rsidRDefault="00B92BFC" w:rsidP="00EB6C89">
      <w:pPr>
        <w:spacing w:before="120" w:line="240" w:lineRule="auto"/>
        <w:rPr>
          <w:lang w:val="pl-PL"/>
        </w:rPr>
      </w:pPr>
    </w:p>
    <w:p w:rsidR="00B92BFC" w:rsidRPr="00992AA5" w:rsidRDefault="00B92BFC" w:rsidP="00EB6C89">
      <w:pPr>
        <w:spacing w:before="120" w:line="240" w:lineRule="auto"/>
        <w:rPr>
          <w:lang w:val="pl-PL"/>
        </w:rPr>
      </w:pPr>
      <w:r w:rsidRPr="00992AA5">
        <w:rPr>
          <w:lang w:val="pl-PL"/>
        </w:rPr>
        <w:lastRenderedPageBreak/>
        <w:t xml:space="preserve">Pierwszym krokiem wyceny, jest pozyskanie ze scentralizowanego systemu ewidencji </w:t>
      </w:r>
      <w:proofErr w:type="spellStart"/>
      <w:r w:rsidRPr="00992AA5">
        <w:rPr>
          <w:lang w:val="pl-PL"/>
        </w:rPr>
        <w:t>informacji</w:t>
      </w:r>
      <w:proofErr w:type="spellEnd"/>
      <w:r w:rsidRPr="00992AA5">
        <w:rPr>
          <w:lang w:val="pl-PL"/>
        </w:rPr>
        <w:t xml:space="preserve"> o obiektach i ich powierzchni. Każdy budynek występujący w bazie nieruchomości jest scharakteryzowany, między innymi, przez poniższe dane: </w:t>
      </w:r>
    </w:p>
    <w:p w:rsidR="00B92BFC" w:rsidRPr="00992AA5" w:rsidRDefault="00B92BFC" w:rsidP="00EB6C89">
      <w:pPr>
        <w:numPr>
          <w:ilvl w:val="0"/>
          <w:numId w:val="34"/>
        </w:numPr>
        <w:tabs>
          <w:tab w:val="clear" w:pos="567"/>
        </w:tabs>
        <w:spacing w:before="120" w:line="240" w:lineRule="auto"/>
        <w:rPr>
          <w:lang w:val="pl-PL"/>
        </w:rPr>
      </w:pPr>
      <w:r w:rsidRPr="00992AA5">
        <w:rPr>
          <w:lang w:val="pl-PL"/>
        </w:rPr>
        <w:t>obszar telekomunikacyjny,</w:t>
      </w:r>
    </w:p>
    <w:p w:rsidR="00B92BFC" w:rsidRPr="00992AA5" w:rsidRDefault="00B92BFC" w:rsidP="00EB6C89">
      <w:pPr>
        <w:numPr>
          <w:ilvl w:val="0"/>
          <w:numId w:val="34"/>
        </w:numPr>
        <w:tabs>
          <w:tab w:val="clear" w:pos="567"/>
        </w:tabs>
        <w:spacing w:before="120" w:line="240" w:lineRule="auto"/>
        <w:rPr>
          <w:lang w:val="pl-PL"/>
        </w:rPr>
      </w:pPr>
      <w:r w:rsidRPr="00992AA5">
        <w:rPr>
          <w:lang w:val="pl-PL"/>
        </w:rPr>
        <w:t>adres nieruchomości,</w:t>
      </w:r>
    </w:p>
    <w:p w:rsidR="00B92BFC" w:rsidRPr="00992AA5" w:rsidRDefault="00B92BFC" w:rsidP="00EB6C89">
      <w:pPr>
        <w:numPr>
          <w:ilvl w:val="0"/>
          <w:numId w:val="34"/>
        </w:numPr>
        <w:tabs>
          <w:tab w:val="clear" w:pos="567"/>
        </w:tabs>
        <w:spacing w:before="120" w:line="240" w:lineRule="auto"/>
        <w:rPr>
          <w:lang w:val="pl-PL"/>
        </w:rPr>
      </w:pPr>
      <w:r w:rsidRPr="00992AA5">
        <w:rPr>
          <w:lang w:val="pl-PL"/>
        </w:rPr>
        <w:t>rodzaj budynku – techniczny, techniczno-biurowy, biurowy, magazynowy itp.,</w:t>
      </w:r>
    </w:p>
    <w:p w:rsidR="00B92BFC" w:rsidRPr="00992AA5" w:rsidRDefault="00B92BFC" w:rsidP="00EB6C89">
      <w:pPr>
        <w:numPr>
          <w:ilvl w:val="0"/>
          <w:numId w:val="34"/>
        </w:numPr>
        <w:tabs>
          <w:tab w:val="clear" w:pos="567"/>
        </w:tabs>
        <w:spacing w:before="120" w:line="240" w:lineRule="auto"/>
        <w:rPr>
          <w:lang w:val="pl-PL"/>
        </w:rPr>
      </w:pPr>
      <w:r w:rsidRPr="00992AA5">
        <w:rPr>
          <w:lang w:val="pl-PL"/>
        </w:rPr>
        <w:t xml:space="preserve">powierzchnia z podziałem na pow. biurową, techniczną, </w:t>
      </w:r>
      <w:r w:rsidR="00B104E8" w:rsidRPr="00992AA5">
        <w:rPr>
          <w:lang w:val="pl-PL"/>
        </w:rPr>
        <w:t xml:space="preserve">handlową, </w:t>
      </w:r>
      <w:r w:rsidRPr="00992AA5">
        <w:rPr>
          <w:lang w:val="pl-PL"/>
        </w:rPr>
        <w:t>magazynową, garaże.</w:t>
      </w:r>
    </w:p>
    <w:p w:rsidR="00613F2F" w:rsidRPr="00992AA5" w:rsidRDefault="00613F2F" w:rsidP="00EB6C89">
      <w:pPr>
        <w:spacing w:before="120" w:line="240" w:lineRule="auto"/>
        <w:rPr>
          <w:lang w:val="pl-PL"/>
        </w:rPr>
      </w:pPr>
    </w:p>
    <w:p w:rsidR="00B92BFC" w:rsidRPr="00992AA5" w:rsidRDefault="00B92BFC" w:rsidP="00EB6C89">
      <w:pPr>
        <w:spacing w:before="120" w:line="240" w:lineRule="auto"/>
        <w:rPr>
          <w:lang w:val="pl-PL"/>
        </w:rPr>
      </w:pPr>
      <w:r w:rsidRPr="00992AA5">
        <w:rPr>
          <w:lang w:val="pl-PL"/>
        </w:rPr>
        <w:t xml:space="preserve">Kolejnym krokiem jest wyznaczenie dla każdego obiektu wartości odtworzeniowej, to znaczy kosztu, po którym dany budynek może zostać wybudowany. W tym celu przyporządkowuje się budynki do odpowiednich obiektów katalogowych, dla których z wymienionych poniżej publikacji można wyznaczyć odpowiednie jednostkowe koszty odtworzeniowe. </w:t>
      </w:r>
    </w:p>
    <w:p w:rsidR="00B92BFC" w:rsidRPr="00992AA5" w:rsidRDefault="00B92BFC" w:rsidP="00EB6C89">
      <w:pPr>
        <w:spacing w:before="120" w:line="240" w:lineRule="auto"/>
        <w:rPr>
          <w:lang w:val="pl-PL"/>
        </w:rPr>
      </w:pPr>
    </w:p>
    <w:p w:rsidR="00B92BFC" w:rsidRPr="00992AA5" w:rsidRDefault="00B92BFC" w:rsidP="00EB6C89">
      <w:pPr>
        <w:spacing w:before="120" w:line="240" w:lineRule="auto"/>
        <w:rPr>
          <w:lang w:val="pl-PL"/>
        </w:rPr>
      </w:pPr>
      <w:r w:rsidRPr="00992AA5">
        <w:rPr>
          <w:lang w:val="pl-PL"/>
        </w:rPr>
        <w:t>Źródłem danych w procesie przeszacowania są dwie publikacje:</w:t>
      </w:r>
    </w:p>
    <w:p w:rsidR="00B92BFC" w:rsidRPr="00992AA5" w:rsidRDefault="00B92BFC" w:rsidP="00EB6C89">
      <w:pPr>
        <w:numPr>
          <w:ilvl w:val="0"/>
          <w:numId w:val="33"/>
        </w:numPr>
        <w:tabs>
          <w:tab w:val="clear" w:pos="567"/>
        </w:tabs>
        <w:spacing w:before="120" w:line="240" w:lineRule="auto"/>
        <w:rPr>
          <w:lang w:val="pl-PL"/>
        </w:rPr>
      </w:pPr>
      <w:r w:rsidRPr="00992AA5">
        <w:rPr>
          <w:lang w:val="pl-PL"/>
        </w:rPr>
        <w:t xml:space="preserve">„Biuletyn cen obiektów budowlanych BCO”, </w:t>
      </w:r>
      <w:proofErr w:type="spellStart"/>
      <w:r w:rsidRPr="00992AA5">
        <w:rPr>
          <w:lang w:val="pl-PL"/>
        </w:rPr>
        <w:t>Sekocenbud</w:t>
      </w:r>
      <w:proofErr w:type="spellEnd"/>
      <w:r w:rsidRPr="00992AA5">
        <w:rPr>
          <w:lang w:val="pl-PL"/>
        </w:rPr>
        <w:t>,</w:t>
      </w:r>
    </w:p>
    <w:p w:rsidR="00B92BFC" w:rsidRPr="00992AA5" w:rsidRDefault="00B92BFC" w:rsidP="00EB6C89">
      <w:pPr>
        <w:numPr>
          <w:ilvl w:val="0"/>
          <w:numId w:val="33"/>
        </w:numPr>
        <w:tabs>
          <w:tab w:val="clear" w:pos="567"/>
        </w:tabs>
        <w:spacing w:before="120" w:line="240" w:lineRule="auto"/>
        <w:rPr>
          <w:lang w:val="pl-PL"/>
        </w:rPr>
      </w:pPr>
      <w:r w:rsidRPr="00992AA5">
        <w:rPr>
          <w:lang w:val="pl-PL"/>
        </w:rPr>
        <w:t xml:space="preserve">„Katalog cen jednostkowych robót i obiektów inwestycyjnych”, </w:t>
      </w:r>
      <w:proofErr w:type="spellStart"/>
      <w:r w:rsidRPr="00992AA5">
        <w:rPr>
          <w:lang w:val="pl-PL"/>
        </w:rPr>
        <w:t>Bistyp-Consulting</w:t>
      </w:r>
      <w:proofErr w:type="spellEnd"/>
      <w:r w:rsidRPr="00992AA5">
        <w:rPr>
          <w:lang w:val="pl-PL"/>
        </w:rPr>
        <w:t>.</w:t>
      </w:r>
    </w:p>
    <w:p w:rsidR="00B92BFC" w:rsidRPr="00992AA5" w:rsidRDefault="00B92BFC" w:rsidP="00EB6C89">
      <w:pPr>
        <w:spacing w:before="120" w:line="240" w:lineRule="auto"/>
        <w:rPr>
          <w:lang w:val="pl-PL"/>
        </w:rPr>
      </w:pPr>
      <w:r w:rsidRPr="00992AA5">
        <w:rPr>
          <w:lang w:val="pl-PL"/>
        </w:rPr>
        <w:t>Dobór obiektu porównawczego jest dokonany niezależnie z pierwszego lub drugiego wydawnictwa</w:t>
      </w:r>
      <w:r w:rsidR="00E01DAE" w:rsidRPr="00992AA5">
        <w:rPr>
          <w:lang w:val="pl-PL"/>
        </w:rPr>
        <w:t xml:space="preserve">, tak aby przypisywany obiekt porównawczy w sposób możliwie najbardziej dokładny odpowiadał charakterystyce wycenianych budynków w szczególności w zakresie wielkości powierzchni oraz </w:t>
      </w:r>
      <w:r w:rsidR="00D60DCD" w:rsidRPr="00992AA5">
        <w:rPr>
          <w:lang w:val="pl-PL"/>
        </w:rPr>
        <w:t>rodzaju</w:t>
      </w:r>
      <w:r w:rsidR="00E01DAE" w:rsidRPr="00992AA5">
        <w:rPr>
          <w:lang w:val="pl-PL"/>
        </w:rPr>
        <w:t xml:space="preserve"> obiektu</w:t>
      </w:r>
      <w:r w:rsidRPr="00992AA5">
        <w:rPr>
          <w:lang w:val="pl-PL"/>
        </w:rPr>
        <w:t xml:space="preserve">. </w:t>
      </w:r>
    </w:p>
    <w:p w:rsidR="00B92BFC" w:rsidRPr="00992AA5" w:rsidRDefault="00B92BFC" w:rsidP="00EB6C89">
      <w:pPr>
        <w:spacing w:before="120" w:line="240" w:lineRule="auto"/>
        <w:rPr>
          <w:lang w:val="pl-PL"/>
        </w:rPr>
      </w:pPr>
      <w:r w:rsidRPr="00992AA5">
        <w:rPr>
          <w:lang w:val="pl-PL"/>
        </w:rPr>
        <w:t xml:space="preserve">Każdy budynek posiadany przez </w:t>
      </w:r>
      <w:r w:rsidR="00C05DE1" w:rsidRPr="00992AA5">
        <w:rPr>
          <w:lang w:val="pl-PL"/>
        </w:rPr>
        <w:t xml:space="preserve">OPL S.A. </w:t>
      </w:r>
      <w:r w:rsidRPr="00992AA5">
        <w:rPr>
          <w:lang w:val="pl-PL"/>
        </w:rPr>
        <w:t>przyporządkowany jest do odpowiednich obiektów katalogowych, dla których z wymienionych powyżej publikacji można wyznaczyć odpowiednie jednostkowe koszty odtworzeniowe</w:t>
      </w:r>
      <w:r w:rsidR="00A50EB0" w:rsidRPr="00992AA5">
        <w:rPr>
          <w:lang w:val="pl-PL"/>
        </w:rPr>
        <w:t xml:space="preserve"> za 1m</w:t>
      </w:r>
      <w:r w:rsidR="00A50EB0" w:rsidRPr="00992AA5">
        <w:rPr>
          <w:vertAlign w:val="superscript"/>
          <w:lang w:val="pl-PL"/>
        </w:rPr>
        <w:t>2</w:t>
      </w:r>
      <w:r w:rsidRPr="00992AA5">
        <w:rPr>
          <w:lang w:val="pl-PL"/>
        </w:rPr>
        <w:t>. Publikacje te zawierają również wskaźniki przeliczeniowe związane z usytuowaniem nieruchomości w danym województwie lub mieście wojewódzkim. Mnożniki te podawane są w formie przedziału</w:t>
      </w:r>
      <w:r w:rsidR="00865CA5" w:rsidRPr="00992AA5">
        <w:rPr>
          <w:lang w:val="pl-PL"/>
        </w:rPr>
        <w:t>,</w:t>
      </w:r>
      <w:r w:rsidRPr="00992AA5">
        <w:rPr>
          <w:lang w:val="pl-PL"/>
        </w:rPr>
        <w:t xml:space="preserve"> np.: 0,79-0,93. </w:t>
      </w:r>
      <w:r w:rsidR="00073C78" w:rsidRPr="00992AA5">
        <w:rPr>
          <w:lang w:val="pl-PL"/>
        </w:rPr>
        <w:br/>
      </w:r>
      <w:r w:rsidR="001C3E34" w:rsidRPr="00992AA5">
        <w:rPr>
          <w:lang w:val="pl-PL"/>
        </w:rPr>
        <w:t xml:space="preserve">W wycenie nieruchomości zakłada się uwzględnienie korekty wyjściowego jednostkowego kosztu odtworzenia o odpowiedni mnożnik przeliczeniowy uwzględniający lokalizację wycenianego obiektu, który w ramach podanych przez publikację przedziałów został zróżnicowany i przypisany do każdego wycenianego obiektu przez niezależnego rzeczoznawcę. </w:t>
      </w:r>
    </w:p>
    <w:p w:rsidR="00734F6B" w:rsidRPr="00992AA5" w:rsidRDefault="00734F6B" w:rsidP="00EB6C89">
      <w:pPr>
        <w:spacing w:before="120" w:line="240" w:lineRule="auto"/>
        <w:rPr>
          <w:lang w:val="pl-PL"/>
        </w:rPr>
      </w:pPr>
      <w:r w:rsidRPr="00992AA5">
        <w:rPr>
          <w:lang w:val="pl-PL"/>
        </w:rPr>
        <w:t>Łączny koszt odtworzenia budynku obejmuje również dodatkowe koszty inwestycyjne takie jak koszt opracowania dokumentacji oraz koszty nadzoru inwestorskiego. Wysokość tych kosztów ustalana jest w postaci narzutu. Wysokość wskaźnika narzutu ustalana jest na podstawie posiadanych przez Spółkę wycen dokonanych przez niezależnych rzeczoznawców.</w:t>
      </w:r>
    </w:p>
    <w:p w:rsidR="00B92BFC" w:rsidRPr="00992AA5" w:rsidRDefault="00B92BFC" w:rsidP="001C2590">
      <w:pPr>
        <w:pStyle w:val="MIKNagwek2"/>
        <w:numPr>
          <w:ilvl w:val="2"/>
          <w:numId w:val="58"/>
        </w:numPr>
        <w:rPr>
          <w:sz w:val="22"/>
          <w:szCs w:val="22"/>
        </w:rPr>
      </w:pPr>
      <w:bookmarkStart w:id="709" w:name="_Toc154382034"/>
      <w:bookmarkStart w:id="710" w:name="_Toc169500227"/>
      <w:bookmarkStart w:id="711" w:name="_Toc314727750"/>
      <w:bookmarkStart w:id="712" w:name="_Toc383521289"/>
      <w:r w:rsidRPr="00992AA5">
        <w:rPr>
          <w:sz w:val="22"/>
          <w:szCs w:val="22"/>
        </w:rPr>
        <w:t>Pozostałe środki trwałe i wartości niematerialne i prawne – sieciowe</w:t>
      </w:r>
      <w:bookmarkEnd w:id="709"/>
      <w:bookmarkEnd w:id="710"/>
      <w:bookmarkEnd w:id="711"/>
      <w:bookmarkEnd w:id="712"/>
    </w:p>
    <w:p w:rsidR="00B92BFC" w:rsidRPr="00992AA5" w:rsidRDefault="00B92BFC" w:rsidP="00EB6C89">
      <w:pPr>
        <w:spacing w:before="120" w:line="240" w:lineRule="auto"/>
        <w:rPr>
          <w:lang w:val="pl-PL"/>
        </w:rPr>
      </w:pPr>
      <w:r w:rsidRPr="00992AA5">
        <w:rPr>
          <w:lang w:val="pl-PL"/>
        </w:rPr>
        <w:t xml:space="preserve">Wartość bieżącą pozostałych środków trwałych – sieciowych ustala się na podstawie metody indeksacji i/lub na podstawie kosztu historycznego w zależności od możliwości pozyskania danych o urządzeniach. W przypadku zastosowania metody indeksacji, jako dane źródłowe do wyceny wykorzystuje się informacje o wartości brutto sprzętu zakupionego </w:t>
      </w:r>
      <w:r w:rsidR="00073C78" w:rsidRPr="00992AA5">
        <w:rPr>
          <w:lang w:val="pl-PL"/>
        </w:rPr>
        <w:br/>
      </w:r>
      <w:r w:rsidRPr="00992AA5">
        <w:rPr>
          <w:lang w:val="pl-PL"/>
        </w:rPr>
        <w:t xml:space="preserve">w poszczególnych latach, dla każdego roku oddzielnie. Dane te pozyskuje się z systemu ewidencji środków trwałych. Indeks ustala się na podstawie zmian cen walut wg tabel Narodowego Banku Polskiego. </w:t>
      </w:r>
    </w:p>
    <w:p w:rsidR="00B92BFC" w:rsidRPr="00992AA5" w:rsidRDefault="00B92BFC" w:rsidP="00EB6C89">
      <w:pPr>
        <w:spacing w:before="120" w:line="240" w:lineRule="auto"/>
        <w:rPr>
          <w:lang w:val="pl-PL"/>
        </w:rPr>
      </w:pPr>
      <w:r w:rsidRPr="00992AA5">
        <w:rPr>
          <w:lang w:val="pl-PL"/>
        </w:rPr>
        <w:lastRenderedPageBreak/>
        <w:t xml:space="preserve">W przypadku zastosowania kosztu historycznego pozostałe środki trwałe - sieciowe nie </w:t>
      </w:r>
      <w:r w:rsidR="00073C78" w:rsidRPr="00992AA5">
        <w:rPr>
          <w:lang w:val="pl-PL"/>
        </w:rPr>
        <w:br/>
      </w:r>
      <w:r w:rsidRPr="00992AA5">
        <w:rPr>
          <w:lang w:val="pl-PL"/>
        </w:rPr>
        <w:t xml:space="preserve">są przeszacowywane, do wyceny wykorzystuje się informacje o wartości brutto środków trwałych na dzień 31 grudnia </w:t>
      </w:r>
      <w:r w:rsidR="005B24B6" w:rsidRPr="00992AA5">
        <w:rPr>
          <w:lang w:val="pl-PL"/>
        </w:rPr>
        <w:t>2013</w:t>
      </w:r>
      <w:r w:rsidRPr="00992AA5">
        <w:rPr>
          <w:lang w:val="pl-PL"/>
        </w:rPr>
        <w:t xml:space="preserve"> pozyskane z systemu ewidencji środków trwałych.</w:t>
      </w:r>
    </w:p>
    <w:p w:rsidR="00B92BFC" w:rsidRPr="00992AA5" w:rsidRDefault="00B92BFC" w:rsidP="001C2590">
      <w:pPr>
        <w:pStyle w:val="MIKNagwek2"/>
        <w:numPr>
          <w:ilvl w:val="2"/>
          <w:numId w:val="58"/>
        </w:numPr>
        <w:rPr>
          <w:sz w:val="22"/>
          <w:szCs w:val="22"/>
        </w:rPr>
      </w:pPr>
      <w:bookmarkStart w:id="713" w:name="_Toc136054082"/>
      <w:bookmarkStart w:id="714" w:name="_Toc154382035"/>
      <w:bookmarkStart w:id="715" w:name="_Toc169500228"/>
      <w:bookmarkStart w:id="716" w:name="_Toc314727751"/>
      <w:bookmarkStart w:id="717" w:name="_Toc383521290"/>
      <w:r w:rsidRPr="00992AA5">
        <w:rPr>
          <w:sz w:val="22"/>
          <w:szCs w:val="22"/>
        </w:rPr>
        <w:t xml:space="preserve">Pozostałe środki trwałe i wartości niematerialne i prawne </w:t>
      </w:r>
      <w:r w:rsidR="005815FA" w:rsidRPr="00992AA5">
        <w:rPr>
          <w:sz w:val="22"/>
          <w:szCs w:val="22"/>
        </w:rPr>
        <w:t>–</w:t>
      </w:r>
      <w:r w:rsidRPr="00992AA5">
        <w:rPr>
          <w:sz w:val="22"/>
          <w:szCs w:val="22"/>
        </w:rPr>
        <w:t xml:space="preserve"> </w:t>
      </w:r>
      <w:proofErr w:type="spellStart"/>
      <w:r w:rsidRPr="00992AA5">
        <w:rPr>
          <w:sz w:val="22"/>
          <w:szCs w:val="22"/>
        </w:rPr>
        <w:t>niesieciowe</w:t>
      </w:r>
      <w:bookmarkEnd w:id="713"/>
      <w:bookmarkEnd w:id="714"/>
      <w:bookmarkEnd w:id="715"/>
      <w:bookmarkEnd w:id="716"/>
      <w:bookmarkEnd w:id="717"/>
      <w:proofErr w:type="spellEnd"/>
      <w:r w:rsidR="005815FA" w:rsidRPr="00992AA5">
        <w:rPr>
          <w:sz w:val="22"/>
          <w:szCs w:val="22"/>
        </w:rPr>
        <w:tab/>
      </w:r>
    </w:p>
    <w:p w:rsidR="003F18A2" w:rsidRPr="00992AA5" w:rsidRDefault="00B92BFC" w:rsidP="00EB6C89">
      <w:pPr>
        <w:spacing w:before="120" w:line="240" w:lineRule="auto"/>
        <w:rPr>
          <w:lang w:val="pl-PL"/>
        </w:rPr>
      </w:pPr>
      <w:r w:rsidRPr="00992AA5">
        <w:rPr>
          <w:lang w:val="pl-PL"/>
        </w:rPr>
        <w:t>Wartość bieżącą aktywów (w tym gruntów i praw wieczystego użytkowania gruntów) ustala się na bazie kosztu historycznego. Środki te nie są przeszacowywane, do wyceny wykorzystuje się informacje o ich wartości brutto na dzień 31.12.</w:t>
      </w:r>
      <w:r w:rsidR="005B24B6" w:rsidRPr="00992AA5">
        <w:rPr>
          <w:lang w:val="pl-PL"/>
        </w:rPr>
        <w:t>2013</w:t>
      </w:r>
      <w:r w:rsidRPr="00992AA5">
        <w:rPr>
          <w:lang w:val="pl-PL"/>
        </w:rPr>
        <w:t xml:space="preserve"> pozyskane z systemu ewidencji środków trwałych.</w:t>
      </w:r>
    </w:p>
    <w:p w:rsidR="00E728A4" w:rsidRPr="00992AA5" w:rsidRDefault="00772BBD" w:rsidP="00EB6C89">
      <w:pPr>
        <w:pStyle w:val="MIKNagwek1"/>
        <w:spacing w:before="120" w:after="0" w:line="240" w:lineRule="auto"/>
        <w:rPr>
          <w:sz w:val="22"/>
          <w:szCs w:val="22"/>
          <w:lang w:val="pl-PL"/>
        </w:rPr>
      </w:pPr>
      <w:bookmarkStart w:id="718" w:name="_Toc314727752"/>
      <w:bookmarkStart w:id="719" w:name="_Toc383521291"/>
      <w:bookmarkStart w:id="720" w:name="_Toc169500229"/>
      <w:bookmarkStart w:id="721" w:name="_Toc122859428"/>
      <w:r w:rsidRPr="00992AA5">
        <w:rPr>
          <w:sz w:val="22"/>
          <w:szCs w:val="22"/>
          <w:lang w:val="pl-PL"/>
        </w:rPr>
        <w:t>Metody przeszacowania</w:t>
      </w:r>
      <w:r w:rsidR="00E728A4" w:rsidRPr="00992AA5">
        <w:rPr>
          <w:sz w:val="22"/>
          <w:szCs w:val="22"/>
          <w:lang w:val="pl-PL"/>
        </w:rPr>
        <w:t xml:space="preserve"> </w:t>
      </w:r>
      <w:r w:rsidR="00B92391" w:rsidRPr="00992AA5">
        <w:rPr>
          <w:sz w:val="22"/>
          <w:szCs w:val="22"/>
          <w:lang w:val="pl-PL"/>
        </w:rPr>
        <w:t>składników kapitału zaangażowanego innych niż</w:t>
      </w:r>
      <w:r w:rsidR="00E728A4" w:rsidRPr="00992AA5">
        <w:rPr>
          <w:sz w:val="22"/>
          <w:szCs w:val="22"/>
          <w:lang w:val="pl-PL"/>
        </w:rPr>
        <w:t xml:space="preserve"> środk</w:t>
      </w:r>
      <w:r w:rsidR="00B92391" w:rsidRPr="00992AA5">
        <w:rPr>
          <w:sz w:val="22"/>
          <w:szCs w:val="22"/>
          <w:lang w:val="pl-PL"/>
        </w:rPr>
        <w:t>i</w:t>
      </w:r>
      <w:r w:rsidR="00E728A4" w:rsidRPr="00992AA5">
        <w:rPr>
          <w:sz w:val="22"/>
          <w:szCs w:val="22"/>
          <w:lang w:val="pl-PL"/>
        </w:rPr>
        <w:t xml:space="preserve"> trwał</w:t>
      </w:r>
      <w:r w:rsidR="00B92391" w:rsidRPr="00992AA5">
        <w:rPr>
          <w:sz w:val="22"/>
          <w:szCs w:val="22"/>
          <w:lang w:val="pl-PL"/>
        </w:rPr>
        <w:t>e</w:t>
      </w:r>
      <w:r w:rsidR="00E728A4" w:rsidRPr="00992AA5">
        <w:rPr>
          <w:sz w:val="22"/>
          <w:szCs w:val="22"/>
          <w:lang w:val="pl-PL"/>
        </w:rPr>
        <w:t xml:space="preserve"> i wartości niematerialn</w:t>
      </w:r>
      <w:r w:rsidR="00B92391" w:rsidRPr="00992AA5">
        <w:rPr>
          <w:sz w:val="22"/>
          <w:szCs w:val="22"/>
          <w:lang w:val="pl-PL"/>
        </w:rPr>
        <w:t>e</w:t>
      </w:r>
      <w:r w:rsidR="00E728A4" w:rsidRPr="00992AA5">
        <w:rPr>
          <w:sz w:val="22"/>
          <w:szCs w:val="22"/>
          <w:lang w:val="pl-PL"/>
        </w:rPr>
        <w:t xml:space="preserve"> i prawn</w:t>
      </w:r>
      <w:r w:rsidR="00B92391" w:rsidRPr="00992AA5">
        <w:rPr>
          <w:sz w:val="22"/>
          <w:szCs w:val="22"/>
          <w:lang w:val="pl-PL"/>
        </w:rPr>
        <w:t>e</w:t>
      </w:r>
      <w:bookmarkEnd w:id="718"/>
      <w:bookmarkEnd w:id="719"/>
    </w:p>
    <w:p w:rsidR="008E592A" w:rsidRPr="00992AA5" w:rsidRDefault="008E592A" w:rsidP="00EB6C89">
      <w:pPr>
        <w:tabs>
          <w:tab w:val="left" w:pos="-180"/>
        </w:tabs>
        <w:spacing w:before="120" w:line="240" w:lineRule="auto"/>
        <w:rPr>
          <w:lang w:val="pl-PL"/>
        </w:rPr>
      </w:pPr>
      <w:r w:rsidRPr="00992AA5">
        <w:rPr>
          <w:lang w:val="pl-PL"/>
        </w:rPr>
        <w:t xml:space="preserve">Przez kapitał zaangażowany, zgodnie z Rozporządzeniem kosztowym, rozumie się </w:t>
      </w:r>
      <w:r w:rsidR="00C22ACB" w:rsidRPr="00992AA5">
        <w:rPr>
          <w:lang w:val="pl-PL"/>
        </w:rPr>
        <w:t>w</w:t>
      </w:r>
      <w:r w:rsidRPr="00992AA5">
        <w:rPr>
          <w:lang w:val="pl-PL"/>
        </w:rPr>
        <w:t>ykazane zgodnie z ustawą z dnia 29 września 1994 r. o rachunkowości,</w:t>
      </w:r>
      <w:r w:rsidR="00C22ACB" w:rsidRPr="00992AA5">
        <w:rPr>
          <w:lang w:val="pl-PL"/>
        </w:rPr>
        <w:t xml:space="preserve"> </w:t>
      </w:r>
      <w:r w:rsidRPr="00992AA5">
        <w:rPr>
          <w:lang w:val="pl-PL"/>
        </w:rPr>
        <w:t xml:space="preserve">a następnie wycenione w wartościach bieżących netto aktywa z wyłączeniem aktywów z tytułu odroczonego podatku dochodowego od osób prawnych oraz innych aktywów związanych </w:t>
      </w:r>
      <w:r w:rsidR="00073C78" w:rsidRPr="00992AA5">
        <w:rPr>
          <w:lang w:val="pl-PL"/>
        </w:rPr>
        <w:br/>
      </w:r>
      <w:r w:rsidR="00C22ACB" w:rsidRPr="00992AA5">
        <w:rPr>
          <w:lang w:val="pl-PL"/>
        </w:rPr>
        <w:t xml:space="preserve">z </w:t>
      </w:r>
      <w:r w:rsidRPr="00992AA5">
        <w:rPr>
          <w:lang w:val="pl-PL"/>
        </w:rPr>
        <w:t>pozyskaniem zobowiązań długoterminowych, pomniejszone o średnioroczne:</w:t>
      </w:r>
    </w:p>
    <w:p w:rsidR="008E592A" w:rsidRPr="00992AA5" w:rsidRDefault="008E592A" w:rsidP="00EB6C89">
      <w:pPr>
        <w:numPr>
          <w:ilvl w:val="1"/>
          <w:numId w:val="35"/>
        </w:numPr>
        <w:tabs>
          <w:tab w:val="clear" w:pos="1440"/>
          <w:tab w:val="left" w:pos="360"/>
        </w:tabs>
        <w:spacing w:before="120" w:line="240" w:lineRule="auto"/>
        <w:ind w:left="360"/>
        <w:rPr>
          <w:lang w:val="pl-PL"/>
        </w:rPr>
      </w:pPr>
      <w:r w:rsidRPr="00992AA5">
        <w:rPr>
          <w:lang w:val="pl-PL"/>
        </w:rPr>
        <w:t>rezerwy na zobowiązania z wyłączeniem reze</w:t>
      </w:r>
      <w:r w:rsidR="00C22ACB" w:rsidRPr="00992AA5">
        <w:rPr>
          <w:lang w:val="pl-PL"/>
        </w:rPr>
        <w:t xml:space="preserve">rw z tytułu odroczonego podatku </w:t>
      </w:r>
      <w:r w:rsidRPr="00992AA5">
        <w:rPr>
          <w:lang w:val="pl-PL"/>
        </w:rPr>
        <w:t>dochodowego,</w:t>
      </w:r>
    </w:p>
    <w:p w:rsidR="008E592A" w:rsidRPr="00992AA5" w:rsidRDefault="008E592A" w:rsidP="00EB6C89">
      <w:pPr>
        <w:numPr>
          <w:ilvl w:val="1"/>
          <w:numId w:val="35"/>
        </w:numPr>
        <w:tabs>
          <w:tab w:val="clear" w:pos="1440"/>
          <w:tab w:val="left" w:pos="360"/>
        </w:tabs>
        <w:spacing w:before="120" w:line="240" w:lineRule="auto"/>
        <w:ind w:left="360"/>
        <w:rPr>
          <w:lang w:val="pl-PL"/>
        </w:rPr>
      </w:pPr>
      <w:r w:rsidRPr="00992AA5">
        <w:rPr>
          <w:lang w:val="pl-PL"/>
        </w:rPr>
        <w:t>zobowiązania krótkoterminowe z wyłączeniem</w:t>
      </w:r>
      <w:r w:rsidR="00C22ACB" w:rsidRPr="00992AA5">
        <w:rPr>
          <w:lang w:val="pl-PL"/>
        </w:rPr>
        <w:t xml:space="preserve"> zobowiązań z tytułu tej części </w:t>
      </w:r>
      <w:r w:rsidRPr="00992AA5">
        <w:rPr>
          <w:lang w:val="pl-PL"/>
        </w:rPr>
        <w:t>długoterminowych kredytów, pożyczek i emisji dłu</w:t>
      </w:r>
      <w:r w:rsidR="00C22ACB" w:rsidRPr="00992AA5">
        <w:rPr>
          <w:lang w:val="pl-PL"/>
        </w:rPr>
        <w:t xml:space="preserve">goterminowych dłużnych papierów </w:t>
      </w:r>
      <w:r w:rsidRPr="00992AA5">
        <w:rPr>
          <w:lang w:val="pl-PL"/>
        </w:rPr>
        <w:t>wartościowych, których okres wymagalności nie przekracza</w:t>
      </w:r>
      <w:r w:rsidR="00C22ACB" w:rsidRPr="00992AA5">
        <w:rPr>
          <w:lang w:val="pl-PL"/>
        </w:rPr>
        <w:t xml:space="preserve"> 12 miesięcy od dnia </w:t>
      </w:r>
      <w:r w:rsidRPr="00992AA5">
        <w:rPr>
          <w:lang w:val="pl-PL"/>
        </w:rPr>
        <w:t>bilansowego oraz zobowiązań z tytułu dywiden</w:t>
      </w:r>
      <w:r w:rsidR="00C22ACB" w:rsidRPr="00992AA5">
        <w:rPr>
          <w:lang w:val="pl-PL"/>
        </w:rPr>
        <w:t xml:space="preserve">d i podatku dochodowego od osób </w:t>
      </w:r>
      <w:r w:rsidRPr="00992AA5">
        <w:rPr>
          <w:lang w:val="pl-PL"/>
        </w:rPr>
        <w:t>prawnych,</w:t>
      </w:r>
    </w:p>
    <w:p w:rsidR="008E592A" w:rsidRPr="00992AA5" w:rsidRDefault="008E592A" w:rsidP="00EB6C89">
      <w:pPr>
        <w:numPr>
          <w:ilvl w:val="1"/>
          <w:numId w:val="35"/>
        </w:numPr>
        <w:tabs>
          <w:tab w:val="clear" w:pos="1440"/>
          <w:tab w:val="left" w:pos="360"/>
        </w:tabs>
        <w:spacing w:before="120" w:line="240" w:lineRule="auto"/>
        <w:ind w:left="360"/>
        <w:rPr>
          <w:lang w:val="pl-PL"/>
        </w:rPr>
      </w:pPr>
      <w:r w:rsidRPr="00992AA5">
        <w:rPr>
          <w:lang w:val="pl-PL"/>
        </w:rPr>
        <w:t>rozliczenia międzyokresowe z wyłączeniem ujemnej wartości firmy.</w:t>
      </w:r>
    </w:p>
    <w:p w:rsidR="008E592A" w:rsidRPr="00992AA5" w:rsidRDefault="008E592A" w:rsidP="00EB6C89">
      <w:pPr>
        <w:pStyle w:val="CharChar1"/>
        <w:spacing w:before="120" w:after="0" w:line="240" w:lineRule="auto"/>
        <w:jc w:val="both"/>
        <w:rPr>
          <w:sz w:val="22"/>
          <w:szCs w:val="22"/>
          <w:lang w:val="pl-PL"/>
        </w:rPr>
      </w:pPr>
      <w:r w:rsidRPr="00992AA5">
        <w:rPr>
          <w:sz w:val="22"/>
          <w:szCs w:val="22"/>
          <w:lang w:val="pl-PL"/>
        </w:rPr>
        <w:t>Wartość księgowa netto (</w:t>
      </w:r>
      <w:r w:rsidR="00440BF2" w:rsidRPr="00992AA5">
        <w:rPr>
          <w:sz w:val="22"/>
          <w:szCs w:val="22"/>
          <w:lang w:val="pl-PL"/>
        </w:rPr>
        <w:t>WKNP</w:t>
      </w:r>
      <w:r w:rsidR="00440BF2" w:rsidRPr="00992AA5">
        <w:rPr>
          <w:sz w:val="22"/>
          <w:szCs w:val="22"/>
          <w:vertAlign w:val="subscript"/>
          <w:lang w:val="pl-PL"/>
        </w:rPr>
        <w:t>1</w:t>
      </w:r>
      <w:r w:rsidR="0049492E" w:rsidRPr="00992AA5">
        <w:rPr>
          <w:sz w:val="22"/>
          <w:szCs w:val="22"/>
          <w:vertAlign w:val="subscript"/>
          <w:lang w:val="pl-PL"/>
        </w:rPr>
        <w:t>3</w:t>
      </w:r>
      <w:r w:rsidRPr="00992AA5">
        <w:rPr>
          <w:sz w:val="22"/>
          <w:szCs w:val="22"/>
          <w:lang w:val="pl-PL"/>
        </w:rPr>
        <w:t>) danej grupy składników ka</w:t>
      </w:r>
      <w:r w:rsidR="00C22ACB" w:rsidRPr="00992AA5">
        <w:rPr>
          <w:sz w:val="22"/>
          <w:szCs w:val="22"/>
          <w:lang w:val="pl-PL"/>
        </w:rPr>
        <w:t xml:space="preserve">pitału zaangażowanego innych </w:t>
      </w:r>
      <w:r w:rsidRPr="00992AA5">
        <w:rPr>
          <w:sz w:val="22"/>
          <w:szCs w:val="22"/>
          <w:lang w:val="pl-PL"/>
        </w:rPr>
        <w:t xml:space="preserve">niż środki trwałe i wartości niematerialne i prawne na dzień 31 grudnia </w:t>
      </w:r>
      <w:r w:rsidR="005B24B6" w:rsidRPr="00992AA5">
        <w:rPr>
          <w:sz w:val="22"/>
          <w:szCs w:val="22"/>
          <w:lang w:val="pl-PL"/>
        </w:rPr>
        <w:t>2013</w:t>
      </w:r>
      <w:r w:rsidR="00440BF2" w:rsidRPr="00992AA5">
        <w:rPr>
          <w:sz w:val="22"/>
          <w:szCs w:val="22"/>
          <w:lang w:val="pl-PL"/>
        </w:rPr>
        <w:t xml:space="preserve"> </w:t>
      </w:r>
      <w:r w:rsidRPr="00992AA5">
        <w:rPr>
          <w:sz w:val="22"/>
          <w:szCs w:val="22"/>
          <w:lang w:val="pl-PL"/>
        </w:rPr>
        <w:t>roku,</w:t>
      </w:r>
      <w:r w:rsidR="00C22ACB" w:rsidRPr="00992AA5">
        <w:rPr>
          <w:sz w:val="22"/>
          <w:szCs w:val="22"/>
          <w:lang w:val="pl-PL"/>
        </w:rPr>
        <w:t xml:space="preserve"> jest </w:t>
      </w:r>
      <w:r w:rsidRPr="00992AA5">
        <w:rPr>
          <w:sz w:val="22"/>
          <w:szCs w:val="22"/>
          <w:lang w:val="pl-PL"/>
        </w:rPr>
        <w:t>równa jej wartości bilansowej netto wykazy</w:t>
      </w:r>
      <w:r w:rsidR="00C22ACB" w:rsidRPr="00992AA5">
        <w:rPr>
          <w:sz w:val="22"/>
          <w:szCs w:val="22"/>
          <w:lang w:val="pl-PL"/>
        </w:rPr>
        <w:t xml:space="preserve">wanej w Sprawozdaniu Finansowym </w:t>
      </w:r>
      <w:r w:rsidR="00C05DE1" w:rsidRPr="00992AA5">
        <w:rPr>
          <w:sz w:val="22"/>
          <w:szCs w:val="22"/>
          <w:lang w:val="pl-PL"/>
        </w:rPr>
        <w:t>Orange Polska</w:t>
      </w:r>
      <w:r w:rsidRPr="00992AA5">
        <w:rPr>
          <w:sz w:val="22"/>
          <w:szCs w:val="22"/>
          <w:lang w:val="pl-PL"/>
        </w:rPr>
        <w:t xml:space="preserve"> S.A.za rok zakończony dnia 31 grudnia </w:t>
      </w:r>
      <w:r w:rsidR="005B24B6" w:rsidRPr="00992AA5">
        <w:rPr>
          <w:sz w:val="22"/>
          <w:szCs w:val="22"/>
          <w:lang w:val="pl-PL"/>
        </w:rPr>
        <w:t>2013</w:t>
      </w:r>
      <w:r w:rsidR="00440BF2" w:rsidRPr="00992AA5">
        <w:rPr>
          <w:sz w:val="22"/>
          <w:szCs w:val="22"/>
          <w:lang w:val="pl-PL"/>
        </w:rPr>
        <w:t xml:space="preserve"> </w:t>
      </w:r>
      <w:r w:rsidRPr="00992AA5">
        <w:rPr>
          <w:sz w:val="22"/>
          <w:szCs w:val="22"/>
          <w:lang w:val="pl-PL"/>
        </w:rPr>
        <w:t>roku,</w:t>
      </w:r>
      <w:r w:rsidR="00C22ACB" w:rsidRPr="00992AA5">
        <w:rPr>
          <w:sz w:val="22"/>
          <w:szCs w:val="22"/>
          <w:lang w:val="pl-PL"/>
        </w:rPr>
        <w:t xml:space="preserve"> sporządzonym </w:t>
      </w:r>
      <w:r w:rsidRPr="00992AA5">
        <w:rPr>
          <w:sz w:val="22"/>
          <w:szCs w:val="22"/>
          <w:lang w:val="pl-PL"/>
        </w:rPr>
        <w:t>według Międzynarodowych Standardów Sprawozdawczości Finansowej (MSSF).</w:t>
      </w:r>
    </w:p>
    <w:p w:rsidR="006F6B9A" w:rsidRPr="003E431B" w:rsidRDefault="006F6B9A" w:rsidP="003E431B">
      <w:pPr>
        <w:pStyle w:val="MIKNagwek1"/>
        <w:tabs>
          <w:tab w:val="clear" w:pos="1134"/>
          <w:tab w:val="num" w:pos="426"/>
        </w:tabs>
        <w:spacing w:before="120" w:after="0" w:line="240" w:lineRule="auto"/>
        <w:rPr>
          <w:sz w:val="22"/>
          <w:szCs w:val="22"/>
          <w:lang w:val="pl-PL"/>
        </w:rPr>
      </w:pPr>
      <w:bookmarkStart w:id="722" w:name="_Toc383521292"/>
      <w:r w:rsidRPr="006F6B9A">
        <w:rPr>
          <w:color w:val="0070C0"/>
          <w:sz w:val="22"/>
          <w:szCs w:val="22"/>
          <w:lang w:val="pl-PL"/>
        </w:rPr>
        <w:t>(</w:t>
      </w:r>
      <w:r>
        <w:rPr>
          <w:color w:val="0070C0"/>
          <w:sz w:val="22"/>
          <w:szCs w:val="22"/>
        </w:rPr>
        <w:sym w:font="Wingdings 2" w:char="0026"/>
      </w:r>
      <w:r w:rsidRPr="006F6B9A">
        <w:rPr>
          <w:color w:val="0070C0"/>
          <w:sz w:val="22"/>
          <w:szCs w:val="22"/>
          <w:lang w:val="pl-PL"/>
        </w:rPr>
        <w:t xml:space="preserve">Tajemnica przedsiębiorstwa </w:t>
      </w:r>
      <w:r>
        <w:rPr>
          <w:color w:val="0070C0"/>
          <w:sz w:val="22"/>
          <w:szCs w:val="22"/>
        </w:rPr>
        <w:sym w:font="Wingdings 2" w:char="0026"/>
      </w:r>
      <w:r w:rsidRPr="006F6B9A">
        <w:rPr>
          <w:color w:val="0070C0"/>
          <w:sz w:val="22"/>
          <w:szCs w:val="22"/>
          <w:lang w:val="pl-PL"/>
        </w:rPr>
        <w:t>)</w:t>
      </w:r>
      <w:bookmarkEnd w:id="722"/>
    </w:p>
    <w:p w:rsidR="00B92BFC" w:rsidRPr="006F6B9A" w:rsidRDefault="00B92BFC" w:rsidP="006F6B9A">
      <w:pPr>
        <w:pStyle w:val="MIKNagwek1"/>
        <w:numPr>
          <w:ilvl w:val="0"/>
          <w:numId w:val="0"/>
        </w:numPr>
        <w:spacing w:before="120" w:after="0" w:line="240" w:lineRule="auto"/>
        <w:rPr>
          <w:sz w:val="22"/>
          <w:szCs w:val="22"/>
          <w:lang w:val="pl-PL"/>
        </w:rPr>
      </w:pPr>
      <w:bookmarkStart w:id="723" w:name="_Toc314727753"/>
      <w:bookmarkStart w:id="724" w:name="_Toc383521293"/>
      <w:r w:rsidRPr="006F6B9A">
        <w:rPr>
          <w:lang w:val="pl-PL"/>
        </w:rPr>
        <w:t>Część II –</w:t>
      </w:r>
      <w:r w:rsidR="007A44F7" w:rsidRPr="006F6B9A">
        <w:rPr>
          <w:lang w:val="pl-PL"/>
        </w:rPr>
        <w:t xml:space="preserve"> </w:t>
      </w:r>
      <w:r w:rsidRPr="006F6B9A">
        <w:rPr>
          <w:lang w:val="pl-PL"/>
        </w:rPr>
        <w:t xml:space="preserve">Przeszacowanie środków trwałych i wartości niematerialnych i prawnych dla potrzeb </w:t>
      </w:r>
      <w:r w:rsidR="00852886" w:rsidRPr="006F6B9A">
        <w:rPr>
          <w:lang w:val="pl-PL"/>
        </w:rPr>
        <w:t xml:space="preserve">Sprawozdania </w:t>
      </w:r>
      <w:r w:rsidR="003E431B">
        <w:rPr>
          <w:lang w:val="pl-PL"/>
        </w:rPr>
        <w:br/>
      </w:r>
      <w:r w:rsidR="00852886" w:rsidRPr="006F6B9A">
        <w:rPr>
          <w:lang w:val="pl-PL"/>
        </w:rPr>
        <w:t xml:space="preserve">z prowadzenia rachunkowości regulacyjnej za rok </w:t>
      </w:r>
      <w:r w:rsidR="005B24B6" w:rsidRPr="006F6B9A">
        <w:rPr>
          <w:lang w:val="pl-PL"/>
        </w:rPr>
        <w:t>2013</w:t>
      </w:r>
      <w:r w:rsidR="00852886" w:rsidRPr="006F6B9A">
        <w:rPr>
          <w:lang w:val="pl-PL"/>
        </w:rPr>
        <w:t xml:space="preserve"> </w:t>
      </w:r>
      <w:bookmarkEnd w:id="720"/>
      <w:r w:rsidR="007A44F7" w:rsidRPr="006F6B9A">
        <w:rPr>
          <w:lang w:val="pl-PL"/>
        </w:rPr>
        <w:t xml:space="preserve">oraz wyznaczanie wartości kosztów od wartości bieżących składników kapitału zaangażowanego </w:t>
      </w:r>
      <w:r w:rsidR="00852886" w:rsidRPr="006F6B9A">
        <w:rPr>
          <w:lang w:val="pl-PL"/>
        </w:rPr>
        <w:t xml:space="preserve">za rok </w:t>
      </w:r>
      <w:bookmarkEnd w:id="723"/>
      <w:r w:rsidR="005B24B6" w:rsidRPr="006F6B9A">
        <w:rPr>
          <w:lang w:val="pl-PL"/>
        </w:rPr>
        <w:t>2013</w:t>
      </w:r>
      <w:bookmarkEnd w:id="724"/>
      <w:r w:rsidR="00852886" w:rsidRPr="006F6B9A">
        <w:rPr>
          <w:lang w:val="pl-PL"/>
        </w:rPr>
        <w:t xml:space="preserve"> </w:t>
      </w:r>
      <w:bookmarkEnd w:id="721"/>
    </w:p>
    <w:p w:rsidR="00625D06" w:rsidRPr="00F50D4C" w:rsidRDefault="00625D06" w:rsidP="00EB6C89">
      <w:pPr>
        <w:tabs>
          <w:tab w:val="num" w:pos="1680"/>
        </w:tabs>
        <w:spacing w:before="120" w:line="240" w:lineRule="auto"/>
        <w:rPr>
          <w:lang w:val="pl-PL"/>
        </w:rPr>
      </w:pPr>
      <w:r w:rsidRPr="00F50D4C">
        <w:rPr>
          <w:lang w:val="pl-PL"/>
        </w:rPr>
        <w:t xml:space="preserve">Poniżej zaprezentowane </w:t>
      </w:r>
      <w:r w:rsidR="009F0F6C" w:rsidRPr="00F50D4C">
        <w:rPr>
          <w:lang w:val="pl-PL"/>
        </w:rPr>
        <w:t>zostały</w:t>
      </w:r>
      <w:r w:rsidRPr="00F50D4C">
        <w:rPr>
          <w:lang w:val="pl-PL"/>
        </w:rPr>
        <w:t xml:space="preserve"> sposoby kalkulacji dostos</w:t>
      </w:r>
      <w:r w:rsidR="00D94518" w:rsidRPr="00F50D4C">
        <w:rPr>
          <w:lang w:val="pl-PL"/>
        </w:rPr>
        <w:t xml:space="preserve">owujące wycenę wartości środków </w:t>
      </w:r>
      <w:r w:rsidRPr="00F50D4C">
        <w:rPr>
          <w:lang w:val="pl-PL"/>
        </w:rPr>
        <w:t>trwałych i wartości niematerialnych i prawnych dla pot</w:t>
      </w:r>
      <w:r w:rsidR="00D94518" w:rsidRPr="00F50D4C">
        <w:rPr>
          <w:lang w:val="pl-PL"/>
        </w:rPr>
        <w:t xml:space="preserve">rzeb Sprawozdania z prowadzenia </w:t>
      </w:r>
      <w:r w:rsidRPr="00F50D4C">
        <w:rPr>
          <w:lang w:val="pl-PL"/>
        </w:rPr>
        <w:t xml:space="preserve">rachunkowości regulacyjnej za rok </w:t>
      </w:r>
      <w:r w:rsidR="005B24B6" w:rsidRPr="00F50D4C">
        <w:rPr>
          <w:lang w:val="pl-PL"/>
        </w:rPr>
        <w:t>2013</w:t>
      </w:r>
      <w:r w:rsidRPr="00F50D4C">
        <w:rPr>
          <w:lang w:val="pl-PL"/>
        </w:rPr>
        <w:t xml:space="preserve"> oraz sposoby</w:t>
      </w:r>
      <w:r w:rsidR="00D94518" w:rsidRPr="00F50D4C">
        <w:rPr>
          <w:lang w:val="pl-PL"/>
        </w:rPr>
        <w:t xml:space="preserve"> określenia wartości kosztów </w:t>
      </w:r>
      <w:r w:rsidR="00073C78" w:rsidRPr="00F50D4C">
        <w:rPr>
          <w:lang w:val="pl-PL"/>
        </w:rPr>
        <w:br/>
      </w:r>
      <w:r w:rsidR="00D94518" w:rsidRPr="00F50D4C">
        <w:rPr>
          <w:lang w:val="pl-PL"/>
        </w:rPr>
        <w:t xml:space="preserve">od </w:t>
      </w:r>
      <w:r w:rsidRPr="00F50D4C">
        <w:rPr>
          <w:lang w:val="pl-PL"/>
        </w:rPr>
        <w:t>wartości bieżącej środków trwałych i wartości niematerialnych i prawnych.</w:t>
      </w:r>
    </w:p>
    <w:p w:rsidR="00625D06" w:rsidRPr="00F50D4C" w:rsidRDefault="00625D06" w:rsidP="00EB6C89">
      <w:pPr>
        <w:tabs>
          <w:tab w:val="num" w:pos="1680"/>
        </w:tabs>
        <w:spacing w:before="120" w:line="240" w:lineRule="auto"/>
        <w:rPr>
          <w:lang w:val="pl-PL"/>
        </w:rPr>
      </w:pPr>
      <w:r w:rsidRPr="00F50D4C">
        <w:rPr>
          <w:lang w:val="pl-PL"/>
        </w:rPr>
        <w:t>Akty prawne Unii Europejskiej obowiązujące w zakresie rach</w:t>
      </w:r>
      <w:r w:rsidR="00D94518" w:rsidRPr="00F50D4C">
        <w:rPr>
          <w:lang w:val="pl-PL"/>
        </w:rPr>
        <w:t xml:space="preserve">unkowości regulacyjnej zalecają </w:t>
      </w:r>
      <w:r w:rsidRPr="00F50D4C">
        <w:rPr>
          <w:lang w:val="pl-PL"/>
        </w:rPr>
        <w:t>przeprowadzanie kalkulacji w koszcie bieżącym wg tzw</w:t>
      </w:r>
      <w:r w:rsidR="00D94518" w:rsidRPr="00F50D4C">
        <w:rPr>
          <w:lang w:val="pl-PL"/>
        </w:rPr>
        <w:t xml:space="preserve">. koncepcji zachowania kapitału </w:t>
      </w:r>
      <w:r w:rsidRPr="00F50D4C">
        <w:rPr>
          <w:lang w:val="pl-PL"/>
        </w:rPr>
        <w:t xml:space="preserve">finansowego (FCM od ang. Financial Capital </w:t>
      </w:r>
      <w:proofErr w:type="spellStart"/>
      <w:r w:rsidRPr="00F50D4C">
        <w:rPr>
          <w:lang w:val="pl-PL"/>
        </w:rPr>
        <w:t>Maintenance</w:t>
      </w:r>
      <w:proofErr w:type="spellEnd"/>
      <w:r w:rsidRPr="00F50D4C">
        <w:rPr>
          <w:lang w:val="pl-PL"/>
        </w:rPr>
        <w:t xml:space="preserve">) i </w:t>
      </w:r>
      <w:r w:rsidR="00D94518" w:rsidRPr="00F50D4C">
        <w:rPr>
          <w:lang w:val="pl-PL"/>
        </w:rPr>
        <w:t xml:space="preserve">na tej konwencji została oparta </w:t>
      </w:r>
      <w:r w:rsidRPr="00F50D4C">
        <w:rPr>
          <w:lang w:val="pl-PL"/>
        </w:rPr>
        <w:t xml:space="preserve">rachunkowość regulacyjna w </w:t>
      </w:r>
      <w:r w:rsidR="00436F44" w:rsidRPr="00F50D4C">
        <w:rPr>
          <w:lang w:val="pl-PL"/>
        </w:rPr>
        <w:t>OPL</w:t>
      </w:r>
      <w:r w:rsidRPr="00F50D4C">
        <w:rPr>
          <w:lang w:val="pl-PL"/>
        </w:rPr>
        <w:t>.</w:t>
      </w:r>
    </w:p>
    <w:p w:rsidR="00625D06" w:rsidRPr="00F50D4C" w:rsidRDefault="00625D06" w:rsidP="00EB6C89">
      <w:pPr>
        <w:tabs>
          <w:tab w:val="num" w:pos="1680"/>
        </w:tabs>
        <w:spacing w:before="120" w:line="240" w:lineRule="auto"/>
        <w:rPr>
          <w:lang w:val="pl-PL"/>
        </w:rPr>
      </w:pPr>
      <w:r w:rsidRPr="00F50D4C">
        <w:rPr>
          <w:lang w:val="pl-PL"/>
        </w:rPr>
        <w:t>Wg koncepcji FCM wynik bieżący jest osiągany poprzez</w:t>
      </w:r>
      <w:r w:rsidR="00D94518" w:rsidRPr="00F50D4C">
        <w:rPr>
          <w:lang w:val="pl-PL"/>
        </w:rPr>
        <w:t xml:space="preserve"> korektę wyniku historycznego </w:t>
      </w:r>
      <w:r w:rsidR="00073C78" w:rsidRPr="00F50D4C">
        <w:rPr>
          <w:lang w:val="pl-PL"/>
        </w:rPr>
        <w:br/>
      </w:r>
      <w:r w:rsidR="00D94518" w:rsidRPr="00F50D4C">
        <w:rPr>
          <w:lang w:val="pl-PL"/>
        </w:rPr>
        <w:t xml:space="preserve">o </w:t>
      </w:r>
      <w:r w:rsidRPr="00F50D4C">
        <w:rPr>
          <w:lang w:val="pl-PL"/>
        </w:rPr>
        <w:t>efekt zmian wartości aktywów i pasywów oraz o efekt</w:t>
      </w:r>
      <w:r w:rsidR="00D94518" w:rsidRPr="00F50D4C">
        <w:rPr>
          <w:lang w:val="pl-PL"/>
        </w:rPr>
        <w:t xml:space="preserve"> zmiany (spadku) siły nabywczej </w:t>
      </w:r>
      <w:r w:rsidRPr="00F50D4C">
        <w:rPr>
          <w:lang w:val="pl-PL"/>
        </w:rPr>
        <w:t>kapitału zaangażowanego Spółki wynikający z inflacji.</w:t>
      </w:r>
    </w:p>
    <w:p w:rsidR="005716CF" w:rsidRPr="00F50D4C" w:rsidRDefault="00625D06" w:rsidP="00EB6C89">
      <w:pPr>
        <w:tabs>
          <w:tab w:val="num" w:pos="1680"/>
        </w:tabs>
        <w:spacing w:before="120" w:line="240" w:lineRule="auto"/>
        <w:rPr>
          <w:lang w:val="pl-PL"/>
        </w:rPr>
      </w:pPr>
      <w:r w:rsidRPr="00F50D4C">
        <w:rPr>
          <w:lang w:val="pl-PL"/>
        </w:rPr>
        <w:lastRenderedPageBreak/>
        <w:t>Zmiany w wartościach aktywów zostaną odzwierciedlone w w</w:t>
      </w:r>
      <w:r w:rsidR="00D94518" w:rsidRPr="00F50D4C">
        <w:rPr>
          <w:lang w:val="pl-PL"/>
        </w:rPr>
        <w:t xml:space="preserve">yniku działalności poprzez tzw. </w:t>
      </w:r>
      <w:r w:rsidRPr="00F50D4C">
        <w:rPr>
          <w:lang w:val="pl-PL"/>
        </w:rPr>
        <w:t xml:space="preserve">korekty kosztu bieżącego, natomiast wpływ </w:t>
      </w:r>
      <w:r w:rsidR="00D94518" w:rsidRPr="00F50D4C">
        <w:rPr>
          <w:lang w:val="pl-PL"/>
        </w:rPr>
        <w:t xml:space="preserve">zmian w sile nabywczej kapitału </w:t>
      </w:r>
      <w:r w:rsidRPr="00F50D4C">
        <w:rPr>
          <w:lang w:val="pl-PL"/>
        </w:rPr>
        <w:t>zaangażowanego wynikający z ogólnego wskaźnika inflacji nie</w:t>
      </w:r>
      <w:r w:rsidR="00D94518" w:rsidRPr="00F50D4C">
        <w:rPr>
          <w:lang w:val="pl-PL"/>
        </w:rPr>
        <w:t xml:space="preserve"> jest istotny z punktu widzenia </w:t>
      </w:r>
      <w:r w:rsidRPr="00F50D4C">
        <w:rPr>
          <w:lang w:val="pl-PL"/>
        </w:rPr>
        <w:t>sprawozdań poszczególnych działalności.</w:t>
      </w:r>
      <w:r w:rsidR="00D94518" w:rsidRPr="00F50D4C">
        <w:rPr>
          <w:lang w:val="pl-PL"/>
        </w:rPr>
        <w:t xml:space="preserve"> </w:t>
      </w:r>
    </w:p>
    <w:p w:rsidR="005716CF" w:rsidRPr="00F50D4C" w:rsidRDefault="005716CF" w:rsidP="00EB6C89">
      <w:pPr>
        <w:spacing w:before="120" w:line="240" w:lineRule="auto"/>
        <w:rPr>
          <w:lang w:val="pl-PL"/>
        </w:rPr>
      </w:pPr>
      <w:r w:rsidRPr="00F50D4C">
        <w:rPr>
          <w:lang w:val="pl-PL"/>
        </w:rPr>
        <w:t xml:space="preserve">Metody kalkulacji wartości brutto i wartości netto środków trwałych i wartości niematerialnych i prawnych: </w:t>
      </w:r>
    </w:p>
    <w:p w:rsidR="005716CF" w:rsidRPr="00F50D4C" w:rsidRDefault="005716CF" w:rsidP="00EB6C89">
      <w:pPr>
        <w:spacing w:before="120" w:line="240" w:lineRule="auto"/>
        <w:rPr>
          <w:lang w:val="pl-PL"/>
        </w:rPr>
      </w:pPr>
      <w:r w:rsidRPr="00F50D4C">
        <w:rPr>
          <w:lang w:val="pl-PL"/>
        </w:rPr>
        <w:t>Obliczanie wartości bieżącej brutto środków trwałych i wartości niematerialnych i prawnych:</w:t>
      </w:r>
    </w:p>
    <w:p w:rsidR="005716CF" w:rsidRPr="00F50D4C" w:rsidRDefault="005716CF" w:rsidP="00EB6C89">
      <w:pPr>
        <w:spacing w:before="120" w:line="240" w:lineRule="auto"/>
        <w:jc w:val="center"/>
        <w:rPr>
          <w:lang w:val="pl-PL"/>
        </w:rPr>
      </w:pPr>
    </w:p>
    <w:p w:rsidR="005716CF" w:rsidRPr="00F50D4C" w:rsidRDefault="0049492E" w:rsidP="00EB6C89">
      <w:pPr>
        <w:spacing w:before="120" w:line="240" w:lineRule="auto"/>
        <w:jc w:val="center"/>
      </w:pPr>
      <w:r w:rsidRPr="00F50D4C">
        <w:rPr>
          <w:position w:val="-12"/>
        </w:rPr>
        <w:object w:dxaOrig="24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5pt;height:24pt" o:ole="">
            <v:imagedata r:id="rId9" o:title=""/>
          </v:shape>
          <o:OLEObject Type="Embed" ProgID="Equation.3" ShapeID="_x0000_i1025" DrawAspect="Content" ObjectID="_1457949404" r:id="rId10"/>
        </w:object>
      </w:r>
    </w:p>
    <w:p w:rsidR="005716CF" w:rsidRPr="00F50D4C" w:rsidRDefault="00BD62C6" w:rsidP="00EB6C89">
      <w:pPr>
        <w:spacing w:before="120" w:line="240" w:lineRule="auto"/>
        <w:jc w:val="center"/>
      </w:pPr>
      <w:r w:rsidRPr="00F50D4C">
        <w:rPr>
          <w:position w:val="-10"/>
        </w:rPr>
        <w:object w:dxaOrig="2420" w:dyaOrig="340">
          <v:shape id="_x0000_i1026" type="#_x0000_t75" style="width:168pt;height:23.25pt" o:ole="">
            <v:imagedata r:id="rId11" o:title=""/>
          </v:shape>
          <o:OLEObject Type="Embed" ProgID="Equation.3" ShapeID="_x0000_i1026" DrawAspect="Content" ObjectID="_1457949405" r:id="rId12"/>
        </w:object>
      </w:r>
    </w:p>
    <w:p w:rsidR="005716CF" w:rsidRPr="00F50D4C" w:rsidRDefault="005716CF" w:rsidP="00EB6C89">
      <w:pPr>
        <w:spacing w:before="120" w:line="240" w:lineRule="auto"/>
        <w:rPr>
          <w:lang w:val="pl-PL"/>
        </w:rPr>
      </w:pPr>
      <w:r w:rsidRPr="00F50D4C">
        <w:rPr>
          <w:lang w:val="pl-PL"/>
        </w:rPr>
        <w:t>gdzie:</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WBB</w:t>
      </w:r>
      <w:r w:rsidRPr="00F50D4C">
        <w:rPr>
          <w:vertAlign w:val="subscript"/>
          <w:lang w:val="pl-PL"/>
        </w:rPr>
        <w:t>1</w:t>
      </w:r>
      <w:r w:rsidR="00BD62C6" w:rsidRPr="00F50D4C">
        <w:rPr>
          <w:vertAlign w:val="subscript"/>
          <w:lang w:val="pl-PL"/>
        </w:rPr>
        <w:t>3</w:t>
      </w:r>
      <w:r w:rsidRPr="00F50D4C">
        <w:rPr>
          <w:lang w:val="pl-PL"/>
        </w:rPr>
        <w:t xml:space="preserve"> </w:t>
      </w:r>
      <w:r w:rsidRPr="00F50D4C">
        <w:rPr>
          <w:lang w:val="pl-PL"/>
        </w:rPr>
        <w:tab/>
        <w:t xml:space="preserve">- wartość bieżąca brutto danej grupy środków trwałych i wartości niematerialnych i prawnych na dzień 31 grudnia </w:t>
      </w:r>
      <w:r w:rsidR="005B24B6" w:rsidRPr="00F50D4C">
        <w:rPr>
          <w:lang w:val="pl-PL"/>
        </w:rPr>
        <w:t>2013</w:t>
      </w:r>
      <w:r w:rsidRPr="00F50D4C">
        <w:rPr>
          <w:lang w:val="pl-PL"/>
        </w:rPr>
        <w:t xml:space="preserve"> roku,</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WBB</w:t>
      </w:r>
      <w:r w:rsidR="005A68C3" w:rsidRPr="00F50D4C">
        <w:rPr>
          <w:vertAlign w:val="subscript"/>
          <w:lang w:val="pl-PL"/>
        </w:rPr>
        <w:t>1</w:t>
      </w:r>
      <w:r w:rsidR="00BD62C6" w:rsidRPr="00F50D4C">
        <w:rPr>
          <w:vertAlign w:val="subscript"/>
          <w:lang w:val="pl-PL"/>
        </w:rPr>
        <w:t>2</w:t>
      </w:r>
      <w:r w:rsidRPr="00F50D4C">
        <w:rPr>
          <w:lang w:val="pl-PL"/>
        </w:rPr>
        <w:t xml:space="preserve"> </w:t>
      </w:r>
      <w:r w:rsidRPr="00F50D4C">
        <w:rPr>
          <w:lang w:val="pl-PL"/>
        </w:rPr>
        <w:tab/>
        <w:t xml:space="preserve">- wartość bieżąca brutto danej grupy środków trwałych i wartości niematerialnych i prawnych na dzień 31 grudnia </w:t>
      </w:r>
      <w:r w:rsidR="005B24B6" w:rsidRPr="00F50D4C">
        <w:rPr>
          <w:lang w:val="pl-PL"/>
        </w:rPr>
        <w:t>2012</w:t>
      </w:r>
      <w:r w:rsidRPr="00F50D4C">
        <w:rPr>
          <w:lang w:val="pl-PL"/>
        </w:rPr>
        <w:t xml:space="preserve"> roku,</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W</w:t>
      </w:r>
      <w:r w:rsidRPr="00F50D4C">
        <w:rPr>
          <w:vertAlign w:val="subscript"/>
          <w:lang w:val="pl-PL"/>
        </w:rPr>
        <w:t>1</w:t>
      </w:r>
      <w:r w:rsidR="00BD62C6" w:rsidRPr="00F50D4C">
        <w:rPr>
          <w:vertAlign w:val="subscript"/>
          <w:lang w:val="pl-PL"/>
        </w:rPr>
        <w:t>3</w:t>
      </w:r>
      <w:r w:rsidRPr="00F50D4C">
        <w:rPr>
          <w:lang w:val="pl-PL"/>
        </w:rPr>
        <w:t xml:space="preserve"> </w:t>
      </w:r>
      <w:r w:rsidRPr="00F50D4C">
        <w:rPr>
          <w:lang w:val="pl-PL"/>
        </w:rPr>
        <w:tab/>
        <w:t xml:space="preserve">- wolumen danej grupy środków trwałych i wartości niematerialnych i prawnych użytkowanych na dzień 31 grudnia </w:t>
      </w:r>
      <w:r w:rsidR="005B24B6" w:rsidRPr="00F50D4C">
        <w:rPr>
          <w:lang w:val="pl-PL"/>
        </w:rPr>
        <w:t>2013</w:t>
      </w:r>
      <w:r w:rsidRPr="00F50D4C">
        <w:rPr>
          <w:lang w:val="pl-PL"/>
        </w:rPr>
        <w:t xml:space="preserve"> roku,</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W</w:t>
      </w:r>
      <w:r w:rsidR="005A68C3" w:rsidRPr="00F50D4C">
        <w:rPr>
          <w:vertAlign w:val="subscript"/>
          <w:lang w:val="pl-PL"/>
        </w:rPr>
        <w:t>1</w:t>
      </w:r>
      <w:r w:rsidR="00BD62C6" w:rsidRPr="00F50D4C">
        <w:rPr>
          <w:vertAlign w:val="subscript"/>
          <w:lang w:val="pl-PL"/>
        </w:rPr>
        <w:t>2</w:t>
      </w:r>
      <w:r w:rsidRPr="00F50D4C">
        <w:rPr>
          <w:lang w:val="pl-PL"/>
        </w:rPr>
        <w:t xml:space="preserve"> </w:t>
      </w:r>
      <w:r w:rsidRPr="00F50D4C">
        <w:rPr>
          <w:lang w:val="pl-PL"/>
        </w:rPr>
        <w:tab/>
        <w:t xml:space="preserve">- wolumen danej grupy środków trwałych i wartości niematerialnych i prawnych użytkowanych na dzień 31 grudnia </w:t>
      </w:r>
      <w:r w:rsidR="005B24B6" w:rsidRPr="00F50D4C">
        <w:rPr>
          <w:lang w:val="pl-PL"/>
        </w:rPr>
        <w:t>2012</w:t>
      </w:r>
      <w:r w:rsidRPr="00F50D4C">
        <w:rPr>
          <w:lang w:val="pl-PL"/>
        </w:rPr>
        <w:t xml:space="preserve"> roku,</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C</w:t>
      </w:r>
      <w:r w:rsidRPr="00F50D4C">
        <w:rPr>
          <w:vertAlign w:val="subscript"/>
          <w:lang w:val="pl-PL"/>
        </w:rPr>
        <w:t>1</w:t>
      </w:r>
      <w:r w:rsidR="00BD62C6" w:rsidRPr="00F50D4C">
        <w:rPr>
          <w:vertAlign w:val="subscript"/>
          <w:lang w:val="pl-PL"/>
        </w:rPr>
        <w:t>3</w:t>
      </w:r>
      <w:r w:rsidRPr="00F50D4C">
        <w:rPr>
          <w:lang w:val="pl-PL"/>
        </w:rPr>
        <w:t xml:space="preserve"> </w:t>
      </w:r>
      <w:r w:rsidRPr="00F50D4C">
        <w:rPr>
          <w:lang w:val="pl-PL"/>
        </w:rPr>
        <w:tab/>
        <w:t xml:space="preserve">- ceny obowiązujące na koniec roku </w:t>
      </w:r>
      <w:r w:rsidR="005B24B6" w:rsidRPr="00F50D4C">
        <w:rPr>
          <w:lang w:val="pl-PL"/>
        </w:rPr>
        <w:t>2013</w:t>
      </w:r>
      <w:r w:rsidRPr="00F50D4C">
        <w:rPr>
          <w:lang w:val="pl-PL"/>
        </w:rPr>
        <w:t xml:space="preserve"> dostępne na dzień kalkulacji (wprowadzania danych do modelu) w roku 201</w:t>
      </w:r>
      <w:r w:rsidR="00CF072B" w:rsidRPr="00F50D4C">
        <w:rPr>
          <w:lang w:val="pl-PL"/>
        </w:rPr>
        <w:t>3</w:t>
      </w:r>
      <w:r w:rsidRPr="00F50D4C">
        <w:rPr>
          <w:lang w:val="pl-PL"/>
        </w:rPr>
        <w:t>,</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C</w:t>
      </w:r>
      <w:r w:rsidR="005A68C3" w:rsidRPr="00F50D4C">
        <w:rPr>
          <w:vertAlign w:val="subscript"/>
          <w:lang w:val="pl-PL"/>
        </w:rPr>
        <w:t>1</w:t>
      </w:r>
      <w:r w:rsidR="00BD62C6" w:rsidRPr="00F50D4C">
        <w:rPr>
          <w:vertAlign w:val="subscript"/>
          <w:lang w:val="pl-PL"/>
        </w:rPr>
        <w:t>2</w:t>
      </w:r>
      <w:r w:rsidRPr="00F50D4C">
        <w:rPr>
          <w:lang w:val="pl-PL"/>
        </w:rPr>
        <w:t xml:space="preserve"> </w:t>
      </w:r>
      <w:r w:rsidRPr="00F50D4C">
        <w:rPr>
          <w:lang w:val="pl-PL"/>
        </w:rPr>
        <w:tab/>
        <w:t xml:space="preserve">- ceny obowiązujące na koniec roku </w:t>
      </w:r>
      <w:r w:rsidR="005B24B6" w:rsidRPr="00F50D4C">
        <w:rPr>
          <w:lang w:val="pl-PL"/>
        </w:rPr>
        <w:t>2012</w:t>
      </w:r>
      <w:r w:rsidRPr="00F50D4C">
        <w:rPr>
          <w:lang w:val="pl-PL"/>
        </w:rPr>
        <w:t xml:space="preserve"> dostępne na dzień kalkulacji (wprowadzania danych do modelu) w roku </w:t>
      </w:r>
      <w:r w:rsidR="005B24B6" w:rsidRPr="00F50D4C">
        <w:rPr>
          <w:lang w:val="pl-PL"/>
        </w:rPr>
        <w:t>2013</w:t>
      </w:r>
      <w:r w:rsidRPr="00F50D4C">
        <w:rPr>
          <w:lang w:val="pl-PL"/>
        </w:rPr>
        <w:t>,</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K</w:t>
      </w:r>
      <w:r w:rsidRPr="00F50D4C">
        <w:rPr>
          <w:vertAlign w:val="subscript"/>
          <w:lang w:val="pl-PL"/>
        </w:rPr>
        <w:t>1</w:t>
      </w:r>
      <w:r w:rsidR="00B8295B" w:rsidRPr="00F50D4C">
        <w:rPr>
          <w:vertAlign w:val="subscript"/>
          <w:lang w:val="pl-PL"/>
        </w:rPr>
        <w:t>3</w:t>
      </w:r>
      <w:r w:rsidRPr="00F50D4C">
        <w:rPr>
          <w:lang w:val="pl-PL"/>
        </w:rPr>
        <w:t xml:space="preserve"> </w:t>
      </w:r>
      <w:r w:rsidRPr="00F50D4C">
        <w:rPr>
          <w:lang w:val="pl-PL"/>
        </w:rPr>
        <w:tab/>
        <w:t>- </w:t>
      </w:r>
      <w:r w:rsidR="00D17BBA" w:rsidRPr="00F50D4C">
        <w:rPr>
          <w:lang w:val="pl-PL"/>
        </w:rPr>
        <w:t>kursy walut obcych z tabel NBP obowiązujące na dzień 31.12.</w:t>
      </w:r>
      <w:r w:rsidR="005B24B6" w:rsidRPr="00F50D4C">
        <w:rPr>
          <w:lang w:val="pl-PL"/>
        </w:rPr>
        <w:t>2013</w:t>
      </w:r>
      <w:r w:rsidRPr="00F50D4C">
        <w:rPr>
          <w:lang w:val="pl-PL"/>
        </w:rPr>
        <w:t>,</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K</w:t>
      </w:r>
      <w:r w:rsidR="005A68C3" w:rsidRPr="00F50D4C">
        <w:rPr>
          <w:vertAlign w:val="subscript"/>
          <w:lang w:val="pl-PL"/>
        </w:rPr>
        <w:t>1</w:t>
      </w:r>
      <w:r w:rsidR="00B8295B" w:rsidRPr="00F50D4C">
        <w:rPr>
          <w:vertAlign w:val="subscript"/>
          <w:lang w:val="pl-PL"/>
        </w:rPr>
        <w:t>2</w:t>
      </w:r>
      <w:r w:rsidRPr="00F50D4C">
        <w:rPr>
          <w:lang w:val="pl-PL"/>
        </w:rPr>
        <w:t xml:space="preserve"> </w:t>
      </w:r>
      <w:r w:rsidRPr="00F50D4C">
        <w:rPr>
          <w:lang w:val="pl-PL"/>
        </w:rPr>
        <w:tab/>
        <w:t>- </w:t>
      </w:r>
      <w:r w:rsidR="00D17BBA" w:rsidRPr="00F50D4C">
        <w:rPr>
          <w:lang w:val="pl-PL"/>
        </w:rPr>
        <w:t>kursy walut obcych z tabel NBP obowiązujące na dzień 31.12.</w:t>
      </w:r>
      <w:r w:rsidR="005B24B6" w:rsidRPr="00F50D4C">
        <w:rPr>
          <w:lang w:val="pl-PL"/>
        </w:rPr>
        <w:t>2012</w:t>
      </w:r>
      <w:r w:rsidRPr="00F50D4C">
        <w:rPr>
          <w:lang w:val="pl-PL"/>
        </w:rPr>
        <w:t>.</w:t>
      </w:r>
    </w:p>
    <w:p w:rsidR="005716CF" w:rsidRPr="00F50D4C" w:rsidRDefault="005716CF" w:rsidP="00EB6C89">
      <w:pPr>
        <w:tabs>
          <w:tab w:val="clear" w:pos="567"/>
          <w:tab w:val="left" w:pos="900"/>
        </w:tabs>
        <w:spacing w:before="120" w:line="240" w:lineRule="auto"/>
        <w:ind w:left="900" w:hanging="900"/>
        <w:rPr>
          <w:lang w:val="pl-PL"/>
        </w:rPr>
      </w:pPr>
    </w:p>
    <w:p w:rsidR="005716CF" w:rsidRPr="00F50D4C" w:rsidRDefault="005716CF" w:rsidP="00EB6C89">
      <w:pPr>
        <w:spacing w:before="120" w:line="240" w:lineRule="auto"/>
        <w:rPr>
          <w:lang w:val="pl-PL"/>
        </w:rPr>
      </w:pPr>
      <w:r w:rsidRPr="00F50D4C">
        <w:rPr>
          <w:lang w:val="pl-PL"/>
        </w:rPr>
        <w:t>W modelu rachunkowości regulacyjnej należy wykazać stany aktywów i pasywów w wartościach średniorocznych. Zgodnie z §12 Rozporządzenia średnioroczne stany składników kapitału zaangażowanego, w tym i środków trwałych i wartości niematerialnych i prawnych ustala się</w:t>
      </w:r>
      <w:r w:rsidR="00CF072B" w:rsidRPr="00F50D4C">
        <w:rPr>
          <w:lang w:val="pl-PL"/>
        </w:rPr>
        <w:t>,</w:t>
      </w:r>
      <w:r w:rsidRPr="00F50D4C">
        <w:rPr>
          <w:lang w:val="pl-PL"/>
        </w:rPr>
        <w:t xml:space="preserve"> jako średnią arytmetyczną ich stanów na początek i koniec roku obrotowego wyrażonych w wartościach bieżących. </w:t>
      </w:r>
    </w:p>
    <w:p w:rsidR="005716CF" w:rsidRPr="00F50D4C" w:rsidRDefault="005716CF" w:rsidP="00EB6C89">
      <w:pPr>
        <w:spacing w:before="120" w:line="240" w:lineRule="auto"/>
        <w:ind w:left="720"/>
        <w:rPr>
          <w:lang w:val="pl-PL"/>
        </w:rPr>
      </w:pPr>
    </w:p>
    <w:p w:rsidR="005716CF" w:rsidRPr="00F50D4C" w:rsidRDefault="005716CF" w:rsidP="00EB6C89">
      <w:pPr>
        <w:spacing w:before="120" w:line="240" w:lineRule="auto"/>
        <w:rPr>
          <w:lang w:val="pl-PL"/>
        </w:rPr>
      </w:pPr>
      <w:r w:rsidRPr="00F50D4C">
        <w:rPr>
          <w:lang w:val="pl-PL"/>
        </w:rPr>
        <w:t>Obliczanie wartości bieżącej netto danej grupy środków trwałych i wartości niematerialnych i prawnych ustala się w oparciu o następujący wzór:</w:t>
      </w:r>
    </w:p>
    <w:p w:rsidR="005716CF" w:rsidRPr="00F50D4C" w:rsidRDefault="005716CF" w:rsidP="00EB6C89">
      <w:pPr>
        <w:spacing w:before="120" w:line="240" w:lineRule="auto"/>
        <w:jc w:val="center"/>
        <w:rPr>
          <w:lang w:val="pl-PL"/>
        </w:rPr>
      </w:pPr>
    </w:p>
    <w:p w:rsidR="005716CF" w:rsidRPr="00F50D4C" w:rsidRDefault="005716CF" w:rsidP="00EB6C89">
      <w:pPr>
        <w:spacing w:before="120" w:line="240" w:lineRule="auto"/>
        <w:jc w:val="center"/>
      </w:pPr>
      <w:r w:rsidRPr="00F50D4C">
        <w:rPr>
          <w:position w:val="-32"/>
        </w:rPr>
        <w:object w:dxaOrig="2320" w:dyaOrig="740">
          <v:shape id="_x0000_i1027" type="#_x0000_t75" style="width:161.25pt;height:51.75pt" o:ole="">
            <v:imagedata r:id="rId13" o:title=""/>
          </v:shape>
          <o:OLEObject Type="Embed" ProgID="Equation.3" ShapeID="_x0000_i1027" DrawAspect="Content" ObjectID="_1457949406" r:id="rId14"/>
        </w:object>
      </w:r>
    </w:p>
    <w:p w:rsidR="005716CF" w:rsidRPr="00F50D4C" w:rsidRDefault="005716CF" w:rsidP="00EB6C89">
      <w:pPr>
        <w:tabs>
          <w:tab w:val="clear" w:pos="567"/>
          <w:tab w:val="left" w:pos="1620"/>
        </w:tabs>
        <w:spacing w:before="120" w:line="240" w:lineRule="auto"/>
        <w:ind w:left="1800" w:hanging="1800"/>
        <w:rPr>
          <w:lang w:val="pl-PL"/>
        </w:rPr>
      </w:pPr>
      <w:r w:rsidRPr="00F50D4C">
        <w:rPr>
          <w:lang w:val="pl-PL"/>
        </w:rPr>
        <w:t>gdzie:</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 xml:space="preserve">WBN </w:t>
      </w:r>
      <w:r w:rsidRPr="00F50D4C">
        <w:rPr>
          <w:lang w:val="pl-PL"/>
        </w:rPr>
        <w:tab/>
        <w:t>- wartość bieżąca netto danej grupy środków trwałych i wartości niematerialnych i prawnych na koniec roku,</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lastRenderedPageBreak/>
        <w:t xml:space="preserve">WBB </w:t>
      </w:r>
      <w:r w:rsidRPr="00F50D4C">
        <w:rPr>
          <w:lang w:val="pl-PL"/>
        </w:rPr>
        <w:tab/>
        <w:t>- wartość bieżąca brutto danej grupy środków trwałych i wartości niematerialnych i prawnych na koniec</w:t>
      </w:r>
      <w:r w:rsidRPr="00F50D4C" w:rsidDel="005E49DE">
        <w:rPr>
          <w:lang w:val="pl-PL"/>
        </w:rPr>
        <w:t xml:space="preserve"> </w:t>
      </w:r>
      <w:r w:rsidRPr="00F50D4C">
        <w:rPr>
          <w:lang w:val="pl-PL"/>
        </w:rPr>
        <w:t>roku,</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WKN</w:t>
      </w:r>
      <w:r w:rsidRPr="00F50D4C">
        <w:rPr>
          <w:lang w:val="pl-PL"/>
        </w:rPr>
        <w:tab/>
        <w:t>- wartość księgowa netto danej grupy środków trwałych i wartości niematerialnych i prawnych na koniec</w:t>
      </w:r>
      <w:r w:rsidRPr="00F50D4C" w:rsidDel="005E49DE">
        <w:rPr>
          <w:lang w:val="pl-PL"/>
        </w:rPr>
        <w:t xml:space="preserve"> </w:t>
      </w:r>
      <w:r w:rsidRPr="00F50D4C">
        <w:rPr>
          <w:lang w:val="pl-PL"/>
        </w:rPr>
        <w:t>roku,</w:t>
      </w:r>
    </w:p>
    <w:p w:rsidR="005716CF" w:rsidRPr="00F50D4C" w:rsidRDefault="005716CF" w:rsidP="00EB6C89">
      <w:pPr>
        <w:tabs>
          <w:tab w:val="clear" w:pos="567"/>
          <w:tab w:val="left" w:pos="1440"/>
        </w:tabs>
        <w:spacing w:before="120" w:line="240" w:lineRule="auto"/>
        <w:ind w:left="1620" w:hanging="1620"/>
        <w:rPr>
          <w:lang w:val="pl-PL"/>
        </w:rPr>
      </w:pPr>
      <w:r w:rsidRPr="00F50D4C">
        <w:rPr>
          <w:lang w:val="pl-PL"/>
        </w:rPr>
        <w:t>WKB</w:t>
      </w:r>
      <w:r w:rsidRPr="00F50D4C">
        <w:rPr>
          <w:lang w:val="pl-PL"/>
        </w:rPr>
        <w:tab/>
        <w:t>- wartość księgowa brutto danej grupy środków trwałych i wartości niematerialnych i prawnych na koniec</w:t>
      </w:r>
      <w:r w:rsidRPr="00F50D4C" w:rsidDel="005E49DE">
        <w:rPr>
          <w:lang w:val="pl-PL"/>
        </w:rPr>
        <w:t xml:space="preserve"> </w:t>
      </w:r>
      <w:r w:rsidRPr="00F50D4C">
        <w:rPr>
          <w:lang w:val="pl-PL"/>
        </w:rPr>
        <w:t>roku.</w:t>
      </w:r>
    </w:p>
    <w:p w:rsidR="005716CF" w:rsidRPr="00F50D4C" w:rsidRDefault="005716CF" w:rsidP="00EB6C89">
      <w:pPr>
        <w:spacing w:before="120" w:line="240" w:lineRule="auto"/>
        <w:ind w:firstLine="708"/>
        <w:rPr>
          <w:lang w:val="pl-PL"/>
        </w:rPr>
      </w:pPr>
    </w:p>
    <w:p w:rsidR="001460A7" w:rsidRPr="00F50D4C" w:rsidRDefault="001460A7" w:rsidP="00EB6C89">
      <w:pPr>
        <w:spacing w:before="120" w:line="240" w:lineRule="auto"/>
        <w:ind w:firstLine="708"/>
        <w:rPr>
          <w:lang w:val="pl-PL"/>
        </w:rPr>
      </w:pPr>
      <w:r w:rsidRPr="00F50D4C">
        <w:rPr>
          <w:lang w:val="pl-PL"/>
        </w:rPr>
        <w:t>Wynik finansowy poszczególnych działalności jest korygowany o następujące korekty wynikające z zastosowania wyceny w koszcie bieżącym:</w:t>
      </w:r>
    </w:p>
    <w:p w:rsidR="001460A7" w:rsidRPr="00F50D4C" w:rsidRDefault="001460A7" w:rsidP="00EB6C89">
      <w:pPr>
        <w:spacing w:before="120" w:line="240" w:lineRule="auto"/>
        <w:rPr>
          <w:i/>
          <w:iCs/>
          <w:lang w:val="pl-PL"/>
        </w:rPr>
      </w:pPr>
      <w:r w:rsidRPr="00F50D4C">
        <w:rPr>
          <w:b/>
          <w:bCs/>
          <w:lang w:val="pl-PL"/>
        </w:rPr>
        <w:t xml:space="preserve">Amortyzacja dodatkowa - </w:t>
      </w:r>
      <w:r w:rsidRPr="00F50D4C">
        <w:rPr>
          <w:lang w:val="pl-PL"/>
        </w:rPr>
        <w:t xml:space="preserve">korekta ta odnoszona jest bezpośrednio w ciężar wyników </w:t>
      </w:r>
      <w:r w:rsidR="00073C78" w:rsidRPr="00F50D4C">
        <w:rPr>
          <w:lang w:val="pl-PL"/>
        </w:rPr>
        <w:br/>
      </w:r>
      <w:r w:rsidRPr="00F50D4C">
        <w:rPr>
          <w:lang w:val="pl-PL"/>
        </w:rPr>
        <w:t>z działalności i jest równa różnicy pomiędzy kwotą amortyzacji bieżącej i amortyzacji historycznej; ma ona wartość dodatnią lub ujemną, w zależności od tego, czy wartość środka w wyniku aktualizacji wzrosła czy spadła.</w:t>
      </w:r>
    </w:p>
    <w:p w:rsidR="001460A7" w:rsidRPr="00F50D4C" w:rsidRDefault="001460A7" w:rsidP="00EB6C89">
      <w:pPr>
        <w:spacing w:before="120" w:line="240" w:lineRule="auto"/>
        <w:rPr>
          <w:i/>
          <w:iCs/>
          <w:lang w:val="pl-PL"/>
        </w:rPr>
      </w:pPr>
      <w:r w:rsidRPr="00F50D4C">
        <w:rPr>
          <w:lang w:val="pl-PL"/>
        </w:rPr>
        <w:t>Kwota amortyzacji dodatkowej wynika z poniższej formuły</w:t>
      </w:r>
      <w:r w:rsidRPr="00F50D4C">
        <w:rPr>
          <w:i/>
          <w:iCs/>
          <w:lang w:val="pl-PL"/>
        </w:rPr>
        <w:t>:</w:t>
      </w:r>
    </w:p>
    <w:p w:rsidR="001460A7" w:rsidRPr="00F50D4C" w:rsidRDefault="001460A7" w:rsidP="00EB6C89">
      <w:pPr>
        <w:spacing w:before="120" w:line="240" w:lineRule="auto"/>
        <w:rPr>
          <w:lang w:val="pl-PL"/>
        </w:rPr>
      </w:pPr>
    </w:p>
    <w:p w:rsidR="001460A7" w:rsidRPr="00F50D4C" w:rsidRDefault="001460A7" w:rsidP="00EB6C89">
      <w:pPr>
        <w:spacing w:before="120" w:line="240" w:lineRule="auto"/>
        <w:jc w:val="center"/>
        <w:rPr>
          <w:lang w:val="pl-PL"/>
        </w:rPr>
      </w:pPr>
      <w:r w:rsidRPr="00F50D4C">
        <w:rPr>
          <w:lang w:val="pl-PL"/>
        </w:rPr>
        <w:t>AD</w:t>
      </w:r>
      <w:r w:rsidR="005B24B6" w:rsidRPr="00F50D4C">
        <w:rPr>
          <w:vertAlign w:val="subscript"/>
          <w:lang w:val="pl-PL"/>
        </w:rPr>
        <w:t>2013</w:t>
      </w:r>
      <w:r w:rsidRPr="00F50D4C">
        <w:rPr>
          <w:lang w:val="pl-PL"/>
        </w:rPr>
        <w:t xml:space="preserve"> = AB</w:t>
      </w:r>
      <w:r w:rsidR="005B24B6" w:rsidRPr="00F50D4C">
        <w:rPr>
          <w:vertAlign w:val="subscript"/>
          <w:lang w:val="pl-PL"/>
        </w:rPr>
        <w:t>2013</w:t>
      </w:r>
      <w:r w:rsidRPr="00F50D4C">
        <w:rPr>
          <w:lang w:val="pl-PL"/>
        </w:rPr>
        <w:t xml:space="preserve"> – AH</w:t>
      </w:r>
      <w:r w:rsidR="005B24B6" w:rsidRPr="00F50D4C">
        <w:rPr>
          <w:vertAlign w:val="subscript"/>
          <w:lang w:val="pl-PL"/>
        </w:rPr>
        <w:t>2013</w:t>
      </w:r>
    </w:p>
    <w:p w:rsidR="001460A7" w:rsidRPr="00F50D4C" w:rsidRDefault="001460A7" w:rsidP="00EB6C89">
      <w:pPr>
        <w:spacing w:before="120" w:line="240" w:lineRule="auto"/>
        <w:rPr>
          <w:lang w:val="pl-PL"/>
        </w:rPr>
      </w:pPr>
      <w:r w:rsidRPr="00F50D4C">
        <w:rPr>
          <w:lang w:val="pl-PL"/>
        </w:rPr>
        <w:t>gdzie:</w:t>
      </w:r>
    </w:p>
    <w:p w:rsidR="001460A7" w:rsidRPr="00F50D4C" w:rsidRDefault="001460A7" w:rsidP="00EB6C89">
      <w:pPr>
        <w:spacing w:before="120" w:line="240" w:lineRule="auto"/>
        <w:rPr>
          <w:lang w:val="pl-PL"/>
        </w:rPr>
      </w:pPr>
      <w:r w:rsidRPr="00F50D4C">
        <w:rPr>
          <w:lang w:val="pl-PL"/>
        </w:rPr>
        <w:t>AD</w:t>
      </w:r>
      <w:r w:rsidR="005B24B6" w:rsidRPr="00F50D4C">
        <w:rPr>
          <w:vertAlign w:val="subscript"/>
          <w:lang w:val="pl-PL"/>
        </w:rPr>
        <w:t>2013</w:t>
      </w:r>
      <w:r w:rsidRPr="00F50D4C">
        <w:rPr>
          <w:lang w:val="pl-PL"/>
        </w:rPr>
        <w:t xml:space="preserve"> – amortyzacja dodatkowa dla danej grupy środków trwałych i wartości niematerialnych i prawnych za rok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t>AB</w:t>
      </w:r>
      <w:r w:rsidR="005B24B6" w:rsidRPr="00F50D4C">
        <w:rPr>
          <w:vertAlign w:val="subscript"/>
          <w:lang w:val="pl-PL"/>
        </w:rPr>
        <w:t>2013</w:t>
      </w:r>
      <w:r w:rsidRPr="00F50D4C">
        <w:rPr>
          <w:lang w:val="pl-PL"/>
        </w:rPr>
        <w:t xml:space="preserve"> – amortyzacja bieżąca dla danej grupy środków trwałych i wartości niematerialnych </w:t>
      </w:r>
      <w:r w:rsidR="00073C78" w:rsidRPr="00F50D4C">
        <w:rPr>
          <w:lang w:val="pl-PL"/>
        </w:rPr>
        <w:br/>
      </w:r>
      <w:r w:rsidRPr="00F50D4C">
        <w:rPr>
          <w:lang w:val="pl-PL"/>
        </w:rPr>
        <w:t xml:space="preserve">i prawnych za rok </w:t>
      </w:r>
      <w:r w:rsidR="005B24B6" w:rsidRPr="00F50D4C">
        <w:rPr>
          <w:lang w:val="pl-PL"/>
        </w:rPr>
        <w:t>2013</w:t>
      </w:r>
      <w:r w:rsidRPr="00F50D4C">
        <w:rPr>
          <w:lang w:val="pl-PL"/>
        </w:rPr>
        <w:t>,</w:t>
      </w:r>
    </w:p>
    <w:p w:rsidR="001460A7" w:rsidRPr="00F50D4C" w:rsidRDefault="001460A7" w:rsidP="00EB6C89">
      <w:pPr>
        <w:spacing w:before="120" w:line="240" w:lineRule="auto"/>
        <w:rPr>
          <w:i/>
          <w:iCs/>
          <w:lang w:val="pl-PL"/>
        </w:rPr>
      </w:pPr>
      <w:r w:rsidRPr="00F50D4C">
        <w:rPr>
          <w:lang w:val="pl-PL"/>
        </w:rPr>
        <w:t>AH</w:t>
      </w:r>
      <w:r w:rsidR="005B24B6" w:rsidRPr="00F50D4C">
        <w:rPr>
          <w:vertAlign w:val="subscript"/>
          <w:lang w:val="pl-PL"/>
        </w:rPr>
        <w:t>2013</w:t>
      </w:r>
      <w:r w:rsidRPr="00F50D4C">
        <w:rPr>
          <w:lang w:val="pl-PL"/>
        </w:rPr>
        <w:t xml:space="preserve"> – amortyzacja historyczna dla danej grupy środków trwałych i wartości niematerialnych i prawnych za rok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p>
    <w:p w:rsidR="001460A7" w:rsidRPr="00F50D4C" w:rsidRDefault="001460A7" w:rsidP="00EB6C89">
      <w:pPr>
        <w:spacing w:before="120" w:line="240" w:lineRule="auto"/>
        <w:rPr>
          <w:lang w:val="pl-PL"/>
        </w:rPr>
      </w:pPr>
      <w:r w:rsidRPr="00F50D4C">
        <w:rPr>
          <w:b/>
          <w:bCs/>
          <w:lang w:val="pl-PL"/>
        </w:rPr>
        <w:t>Amortyzacja bieżąca</w:t>
      </w:r>
      <w:r w:rsidRPr="00F50D4C">
        <w:rPr>
          <w:lang w:val="pl-PL"/>
        </w:rPr>
        <w:t xml:space="preserve"> wyliczona jest na podstawie nowej wyceny danego aktywa. Dla danej grupy środków trwałych i wartości niematerialnych i prawnych wartość amortyzacji bieżącej jest ustalona jako wynik formuły:</w:t>
      </w:r>
    </w:p>
    <w:p w:rsidR="001460A7" w:rsidRPr="00F50D4C" w:rsidRDefault="001460A7" w:rsidP="00EB6C89">
      <w:pPr>
        <w:spacing w:before="120" w:line="240" w:lineRule="auto"/>
        <w:rPr>
          <w:lang w:val="pl-PL"/>
        </w:rPr>
      </w:pPr>
    </w:p>
    <w:p w:rsidR="001460A7" w:rsidRPr="00F50D4C" w:rsidRDefault="001608F1" w:rsidP="00EB6C89">
      <w:pPr>
        <w:spacing w:before="120" w:line="240" w:lineRule="auto"/>
        <w:jc w:val="center"/>
      </w:pPr>
      <w:r w:rsidRPr="00F50D4C">
        <w:rPr>
          <w:position w:val="-30"/>
        </w:rPr>
        <w:object w:dxaOrig="2580" w:dyaOrig="700">
          <v:shape id="_x0000_i1028" type="#_x0000_t75" style="width:179.25pt;height:48pt" o:ole="">
            <v:imagedata r:id="rId15" o:title=""/>
          </v:shape>
          <o:OLEObject Type="Embed" ProgID="Equation.3" ShapeID="_x0000_i1028" DrawAspect="Content" ObjectID="_1457949407" r:id="rId16"/>
        </w:object>
      </w:r>
    </w:p>
    <w:p w:rsidR="001460A7" w:rsidRPr="00F50D4C" w:rsidRDefault="001460A7" w:rsidP="00EB6C89">
      <w:pPr>
        <w:spacing w:before="120" w:line="240" w:lineRule="auto"/>
        <w:rPr>
          <w:lang w:val="pl-PL"/>
        </w:rPr>
      </w:pPr>
      <w:r w:rsidRPr="00F50D4C">
        <w:rPr>
          <w:lang w:val="pl-PL"/>
        </w:rPr>
        <w:t>gdzie:</w:t>
      </w:r>
    </w:p>
    <w:p w:rsidR="001460A7" w:rsidRPr="00F50D4C" w:rsidRDefault="001460A7" w:rsidP="00EB6C89">
      <w:pPr>
        <w:spacing w:before="120" w:line="240" w:lineRule="auto"/>
        <w:rPr>
          <w:lang w:val="pl-PL"/>
        </w:rPr>
      </w:pPr>
      <w:r w:rsidRPr="00F50D4C">
        <w:rPr>
          <w:lang w:val="pl-PL"/>
        </w:rPr>
        <w:t>AB</w:t>
      </w:r>
      <w:r w:rsidR="005B24B6" w:rsidRPr="00F50D4C">
        <w:rPr>
          <w:vertAlign w:val="subscript"/>
          <w:lang w:val="pl-PL"/>
        </w:rPr>
        <w:t>2013</w:t>
      </w:r>
      <w:r w:rsidRPr="00F50D4C">
        <w:rPr>
          <w:lang w:val="pl-PL"/>
        </w:rPr>
        <w:t xml:space="preserve"> – amortyzacja bieżąca dla danej grupy środków trwałych i wartości niematerialnych </w:t>
      </w:r>
      <w:r w:rsidR="00073C78" w:rsidRPr="00F50D4C">
        <w:rPr>
          <w:lang w:val="pl-PL"/>
        </w:rPr>
        <w:br/>
      </w:r>
      <w:r w:rsidRPr="00F50D4C">
        <w:rPr>
          <w:lang w:val="pl-PL"/>
        </w:rPr>
        <w:t xml:space="preserve">i prawnych za rok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t>AH</w:t>
      </w:r>
      <w:r w:rsidR="005B24B6" w:rsidRPr="00F50D4C">
        <w:rPr>
          <w:vertAlign w:val="subscript"/>
          <w:lang w:val="pl-PL"/>
        </w:rPr>
        <w:t>2013</w:t>
      </w:r>
      <w:r w:rsidRPr="00F50D4C">
        <w:rPr>
          <w:lang w:val="pl-PL"/>
        </w:rPr>
        <w:t xml:space="preserve"> – amortyzacja historyczna dla danej grupy środków trwałych i wartości niematerialnych i prawnych za rok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t>WBB</w:t>
      </w:r>
      <w:r w:rsidR="005B24B6" w:rsidRPr="00F50D4C">
        <w:rPr>
          <w:vertAlign w:val="subscript"/>
          <w:lang w:val="pl-PL"/>
        </w:rPr>
        <w:t>2013</w:t>
      </w:r>
      <w:r w:rsidRPr="00F50D4C">
        <w:rPr>
          <w:lang w:val="pl-PL"/>
        </w:rPr>
        <w:t xml:space="preserve"> – wartość bieżąca brutto danej grupy środków trwałych i wartości niematerialnych 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WKB</w:t>
      </w:r>
      <w:r w:rsidR="005B24B6" w:rsidRPr="00F50D4C">
        <w:rPr>
          <w:vertAlign w:val="subscript"/>
          <w:lang w:val="pl-PL"/>
        </w:rPr>
        <w:t>2013</w:t>
      </w:r>
      <w:r w:rsidRPr="00F50D4C">
        <w:rPr>
          <w:lang w:val="pl-PL"/>
        </w:rPr>
        <w:t xml:space="preserve"> – wartość księgowa brutto danej grupy środków trwałych i wartości niematerialnych 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b/>
          <w:bCs/>
          <w:lang w:val="pl-PL"/>
        </w:rPr>
      </w:pPr>
    </w:p>
    <w:p w:rsidR="001460A7" w:rsidRPr="00F50D4C" w:rsidRDefault="001460A7" w:rsidP="00EB6C89">
      <w:pPr>
        <w:spacing w:before="120" w:line="240" w:lineRule="auto"/>
        <w:rPr>
          <w:lang w:val="pl-PL"/>
        </w:rPr>
      </w:pPr>
      <w:r w:rsidRPr="00F50D4C">
        <w:rPr>
          <w:b/>
          <w:bCs/>
          <w:lang w:val="pl-PL"/>
        </w:rPr>
        <w:lastRenderedPageBreak/>
        <w:t>Umorzenie bieżące</w:t>
      </w:r>
      <w:r w:rsidRPr="00F50D4C">
        <w:rPr>
          <w:lang w:val="pl-PL"/>
        </w:rPr>
        <w:t xml:space="preserve"> skalkulowane jest na podstawie nowej wyceny danego aktywa. </w:t>
      </w:r>
      <w:r w:rsidR="00073C78" w:rsidRPr="00F50D4C">
        <w:rPr>
          <w:lang w:val="pl-PL"/>
        </w:rPr>
        <w:br/>
      </w:r>
      <w:r w:rsidRPr="00F50D4C">
        <w:rPr>
          <w:lang w:val="pl-PL"/>
        </w:rPr>
        <w:t>Dla danej grupy środków trwałych i wartości niematerialnych i prawnych wartość umorzenia bieżącego wyliczana jest według wzoru:</w:t>
      </w:r>
    </w:p>
    <w:p w:rsidR="001460A7" w:rsidRPr="00F50D4C" w:rsidRDefault="001460A7" w:rsidP="00EB6C89">
      <w:pPr>
        <w:spacing w:before="120" w:line="240" w:lineRule="auto"/>
        <w:rPr>
          <w:lang w:val="pl-PL"/>
        </w:rPr>
      </w:pPr>
    </w:p>
    <w:p w:rsidR="001460A7" w:rsidRPr="00F50D4C" w:rsidRDefault="001608F1" w:rsidP="00EB6C89">
      <w:pPr>
        <w:spacing w:before="120" w:line="240" w:lineRule="auto"/>
        <w:jc w:val="center"/>
      </w:pPr>
      <w:r w:rsidRPr="00F50D4C">
        <w:rPr>
          <w:position w:val="-30"/>
        </w:rPr>
        <w:object w:dxaOrig="2540" w:dyaOrig="700">
          <v:shape id="_x0000_i1029" type="#_x0000_t75" style="width:177pt;height:48pt" o:ole="">
            <v:imagedata r:id="rId17" o:title=""/>
          </v:shape>
          <o:OLEObject Type="Embed" ProgID="Equation.3" ShapeID="_x0000_i1029" DrawAspect="Content" ObjectID="_1457949408" r:id="rId18"/>
        </w:object>
      </w:r>
    </w:p>
    <w:p w:rsidR="001460A7" w:rsidRPr="00F50D4C" w:rsidRDefault="001460A7" w:rsidP="00EB6C89">
      <w:pPr>
        <w:spacing w:before="120" w:line="240" w:lineRule="auto"/>
        <w:rPr>
          <w:lang w:val="pl-PL"/>
        </w:rPr>
      </w:pPr>
      <w:r w:rsidRPr="00F50D4C">
        <w:rPr>
          <w:lang w:val="pl-PL"/>
        </w:rPr>
        <w:t xml:space="preserve"> gdzie:</w:t>
      </w:r>
    </w:p>
    <w:p w:rsidR="001460A7" w:rsidRPr="00F50D4C" w:rsidRDefault="001460A7" w:rsidP="00EB6C89">
      <w:pPr>
        <w:spacing w:before="120" w:line="240" w:lineRule="auto"/>
        <w:rPr>
          <w:lang w:val="pl-PL"/>
        </w:rPr>
      </w:pPr>
      <w:r w:rsidRPr="00F50D4C">
        <w:rPr>
          <w:lang w:val="pl-PL"/>
        </w:rPr>
        <w:t>UB</w:t>
      </w:r>
      <w:r w:rsidR="005B24B6" w:rsidRPr="00F50D4C">
        <w:rPr>
          <w:vertAlign w:val="subscript"/>
          <w:lang w:val="pl-PL"/>
        </w:rPr>
        <w:t>2013</w:t>
      </w:r>
      <w:r w:rsidRPr="00F50D4C">
        <w:rPr>
          <w:lang w:val="pl-PL"/>
        </w:rPr>
        <w:t xml:space="preserve"> – umorzenie bieżące dla danej grupy środków trwałych i wartości niematerialnych </w:t>
      </w:r>
      <w:r w:rsidR="00073C78" w:rsidRPr="00F50D4C">
        <w:rPr>
          <w:lang w:val="pl-PL"/>
        </w:rPr>
        <w:br/>
      </w:r>
      <w:r w:rsidRPr="00F50D4C">
        <w:rPr>
          <w:lang w:val="pl-PL"/>
        </w:rPr>
        <w:t xml:space="preserve">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UH</w:t>
      </w:r>
      <w:r w:rsidR="005B24B6" w:rsidRPr="00F50D4C">
        <w:rPr>
          <w:vertAlign w:val="subscript"/>
          <w:lang w:val="pl-PL"/>
        </w:rPr>
        <w:t>2013</w:t>
      </w:r>
      <w:r w:rsidRPr="00F50D4C">
        <w:rPr>
          <w:lang w:val="pl-PL"/>
        </w:rPr>
        <w:t xml:space="preserve"> – umorzenie historyczne dla danej grupy środków trwałych i wartości niematerialnych 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WBB</w:t>
      </w:r>
      <w:r w:rsidR="005B24B6" w:rsidRPr="00F50D4C">
        <w:rPr>
          <w:vertAlign w:val="subscript"/>
          <w:lang w:val="pl-PL"/>
        </w:rPr>
        <w:t>2013</w:t>
      </w:r>
      <w:r w:rsidRPr="00F50D4C">
        <w:rPr>
          <w:lang w:val="pl-PL"/>
        </w:rPr>
        <w:t xml:space="preserve"> – wartość bieżąca brutto danej grupy środków trwałych i wartości niematerialnych 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WKB</w:t>
      </w:r>
      <w:r w:rsidR="005B24B6" w:rsidRPr="00F50D4C">
        <w:rPr>
          <w:vertAlign w:val="subscript"/>
          <w:lang w:val="pl-PL"/>
        </w:rPr>
        <w:t>2013</w:t>
      </w:r>
      <w:r w:rsidRPr="00F50D4C">
        <w:rPr>
          <w:lang w:val="pl-PL"/>
        </w:rPr>
        <w:t xml:space="preserve"> – wartość księgowa brutto danej grupy środków trwałych i wartości niematerialnych 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p>
    <w:p w:rsidR="001460A7" w:rsidRPr="00F50D4C" w:rsidRDefault="001460A7" w:rsidP="00EB6C89">
      <w:pPr>
        <w:spacing w:before="120" w:line="240" w:lineRule="auto"/>
        <w:rPr>
          <w:lang w:val="pl-PL"/>
        </w:rPr>
      </w:pPr>
      <w:r w:rsidRPr="00F50D4C">
        <w:rPr>
          <w:lang w:val="pl-PL"/>
        </w:rPr>
        <w:t xml:space="preserve">Różnice z aktualizacji wyceny środków trwałych i wartości niematerialnych </w:t>
      </w:r>
      <w:r w:rsidRPr="00F50D4C">
        <w:rPr>
          <w:bCs/>
          <w:lang w:val="pl-PL"/>
        </w:rPr>
        <w:t>i prawnych</w:t>
      </w:r>
      <w:r w:rsidRPr="00F50D4C">
        <w:rPr>
          <w:b/>
          <w:bCs/>
          <w:lang w:val="pl-PL"/>
        </w:rPr>
        <w:t xml:space="preserve"> </w:t>
      </w:r>
      <w:r w:rsidRPr="00F50D4C">
        <w:rPr>
          <w:lang w:val="pl-PL"/>
        </w:rPr>
        <w:t xml:space="preserve">- korekta ta odnoszona jest w ciężar rezerw z tytułu przeszacowania do kosztu bieżącego </w:t>
      </w:r>
      <w:r w:rsidR="00073C78" w:rsidRPr="00F50D4C">
        <w:rPr>
          <w:lang w:val="pl-PL"/>
        </w:rPr>
        <w:br/>
      </w:r>
      <w:r w:rsidRPr="00F50D4C">
        <w:rPr>
          <w:lang w:val="pl-PL"/>
        </w:rPr>
        <w:t xml:space="preserve">i odzwierciedla różnice między bieżącą wartością brutto danej grupy środków trwałych </w:t>
      </w:r>
      <w:r w:rsidR="00073C78" w:rsidRPr="00F50D4C">
        <w:rPr>
          <w:lang w:val="pl-PL"/>
        </w:rPr>
        <w:br/>
      </w:r>
      <w:r w:rsidRPr="00F50D4C">
        <w:rPr>
          <w:lang w:val="pl-PL"/>
        </w:rPr>
        <w:t>i wartości niematerialnych i prawnych a historyczną wartością brutto tej grupy.</w:t>
      </w:r>
    </w:p>
    <w:p w:rsidR="001460A7" w:rsidRPr="00F50D4C" w:rsidRDefault="001460A7" w:rsidP="00EB6C89">
      <w:pPr>
        <w:spacing w:before="120" w:line="240" w:lineRule="auto"/>
        <w:rPr>
          <w:i/>
          <w:iCs/>
          <w:lang w:val="pl-PL"/>
        </w:rPr>
      </w:pPr>
    </w:p>
    <w:p w:rsidR="001460A7" w:rsidRPr="00F50D4C" w:rsidRDefault="001460A7" w:rsidP="00EB6C89">
      <w:pPr>
        <w:spacing w:before="120" w:line="240" w:lineRule="auto"/>
        <w:jc w:val="center"/>
        <w:rPr>
          <w:i/>
          <w:iCs/>
          <w:vertAlign w:val="subscript"/>
          <w:lang w:val="pl-PL"/>
        </w:rPr>
      </w:pPr>
      <w:r w:rsidRPr="00F50D4C">
        <w:rPr>
          <w:i/>
          <w:iCs/>
          <w:lang w:val="pl-PL"/>
        </w:rPr>
        <w:t>R</w:t>
      </w:r>
      <w:r w:rsidR="005B24B6" w:rsidRPr="00F50D4C">
        <w:rPr>
          <w:i/>
          <w:iCs/>
          <w:vertAlign w:val="subscript"/>
          <w:lang w:val="pl-PL"/>
        </w:rPr>
        <w:t>2013</w:t>
      </w:r>
      <w:r w:rsidRPr="00F50D4C">
        <w:rPr>
          <w:i/>
          <w:iCs/>
          <w:lang w:val="pl-PL"/>
        </w:rPr>
        <w:t xml:space="preserve"> = WBB</w:t>
      </w:r>
      <w:r w:rsidR="005B24B6" w:rsidRPr="00F50D4C">
        <w:rPr>
          <w:i/>
          <w:iCs/>
          <w:vertAlign w:val="subscript"/>
          <w:lang w:val="pl-PL"/>
        </w:rPr>
        <w:t>2013</w:t>
      </w:r>
      <w:r w:rsidRPr="00F50D4C">
        <w:rPr>
          <w:i/>
          <w:iCs/>
          <w:lang w:val="pl-PL"/>
        </w:rPr>
        <w:t xml:space="preserve"> – WKB</w:t>
      </w:r>
      <w:r w:rsidR="005B24B6" w:rsidRPr="00F50D4C">
        <w:rPr>
          <w:i/>
          <w:iCs/>
          <w:vertAlign w:val="subscript"/>
          <w:lang w:val="pl-PL"/>
        </w:rPr>
        <w:t>2013</w:t>
      </w:r>
    </w:p>
    <w:p w:rsidR="001460A7" w:rsidRPr="00F50D4C" w:rsidRDefault="001460A7" w:rsidP="00EB6C89">
      <w:pPr>
        <w:spacing w:before="120" w:line="240" w:lineRule="auto"/>
        <w:rPr>
          <w:lang w:val="pl-PL"/>
        </w:rPr>
      </w:pPr>
      <w:r w:rsidRPr="00F50D4C">
        <w:rPr>
          <w:lang w:val="pl-PL"/>
        </w:rPr>
        <w:t>gdzie:</w:t>
      </w:r>
    </w:p>
    <w:p w:rsidR="001460A7" w:rsidRPr="00F50D4C" w:rsidRDefault="001460A7" w:rsidP="00EB6C89">
      <w:pPr>
        <w:spacing w:before="120" w:line="240" w:lineRule="auto"/>
        <w:rPr>
          <w:lang w:val="pl-PL"/>
        </w:rPr>
      </w:pPr>
      <w:r w:rsidRPr="00F50D4C">
        <w:rPr>
          <w:lang w:val="pl-PL"/>
        </w:rPr>
        <w:t>R</w:t>
      </w:r>
      <w:r w:rsidR="005B24B6" w:rsidRPr="00F50D4C">
        <w:rPr>
          <w:vertAlign w:val="subscript"/>
          <w:lang w:val="pl-PL"/>
        </w:rPr>
        <w:t>2013</w:t>
      </w:r>
      <w:r w:rsidRPr="00F50D4C">
        <w:rPr>
          <w:lang w:val="pl-PL"/>
        </w:rPr>
        <w:t xml:space="preserve"> – różnica z przeszacowania danej grupy środków trwałych i wartości niematerialnych </w:t>
      </w:r>
      <w:r w:rsidR="00073C78" w:rsidRPr="00F50D4C">
        <w:rPr>
          <w:lang w:val="pl-PL"/>
        </w:rPr>
        <w:br/>
      </w:r>
      <w:r w:rsidRPr="00F50D4C">
        <w:rPr>
          <w:lang w:val="pl-PL"/>
        </w:rPr>
        <w:t xml:space="preserve">i prawnych za rok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t>WBB</w:t>
      </w:r>
      <w:r w:rsidR="005B24B6" w:rsidRPr="00F50D4C">
        <w:rPr>
          <w:vertAlign w:val="subscript"/>
          <w:lang w:val="pl-PL"/>
        </w:rPr>
        <w:t>2013</w:t>
      </w:r>
      <w:r w:rsidRPr="00F50D4C">
        <w:rPr>
          <w:lang w:val="pl-PL"/>
        </w:rPr>
        <w:t xml:space="preserve"> – wartość bieżąca brutto danej grupy środków trwałych i wartości niematerialnych </w:t>
      </w:r>
      <w:r w:rsidR="00073C78" w:rsidRPr="00F50D4C">
        <w:rPr>
          <w:lang w:val="pl-PL"/>
        </w:rPr>
        <w:br/>
      </w:r>
      <w:r w:rsidRPr="00F50D4C">
        <w:rPr>
          <w:lang w:val="pl-PL"/>
        </w:rPr>
        <w:t xml:space="preserve">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WKB</w:t>
      </w:r>
      <w:r w:rsidR="005B24B6" w:rsidRPr="00F50D4C">
        <w:rPr>
          <w:vertAlign w:val="subscript"/>
          <w:lang w:val="pl-PL"/>
        </w:rPr>
        <w:t>2013</w:t>
      </w:r>
      <w:r w:rsidRPr="00F50D4C">
        <w:rPr>
          <w:lang w:val="pl-PL"/>
        </w:rPr>
        <w:t xml:space="preserve"> – wartość księgowa brutto danej grupy środków trwałych i wartości niematerialnych </w:t>
      </w:r>
      <w:r w:rsidR="00073C78" w:rsidRPr="00F50D4C">
        <w:rPr>
          <w:lang w:val="pl-PL"/>
        </w:rPr>
        <w:br/>
      </w:r>
      <w:r w:rsidRPr="00F50D4C">
        <w:rPr>
          <w:lang w:val="pl-PL"/>
        </w:rPr>
        <w:t xml:space="preserve">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b/>
          <w:bCs/>
          <w:lang w:val="pl-PL"/>
        </w:rPr>
        <w:t>Amortyzacja zaległa</w:t>
      </w:r>
      <w:r w:rsidRPr="00F50D4C">
        <w:rPr>
          <w:lang w:val="pl-PL"/>
        </w:rPr>
        <w:t xml:space="preserve"> - korekta ta podobnie jak różnica z aktualizacji wyceny środków trwałych i wartości niematerialnych i prawnych odnoszona jest w ciężar rezerw z tytułu przeszacowania do kosztu bieżącego i ma za zadanie uaktualnienie odpisów umorzeniowych dokonanych w latach ubiegłych w celu uwzględnienia zmienionej, ostatniej aktualnej wartości bieżącej brutto aktywa. Korekta ta jest niezbędna, ponieważ wartość bieżąca przeszacowywanych każdego roku aktywów rośnie/spada w czasie, a zatem powinien rosnąć/spadać również związany z nimi odpis umorzeniowy, który w roku ubiegłym obliczony był od niższych/wyższych wartości brutto aktywów.</w:t>
      </w:r>
    </w:p>
    <w:p w:rsidR="001460A7" w:rsidRPr="00F50D4C" w:rsidRDefault="001460A7" w:rsidP="00EB6C89">
      <w:pPr>
        <w:spacing w:before="120" w:line="240" w:lineRule="auto"/>
        <w:rPr>
          <w:lang w:val="pl-PL"/>
        </w:rPr>
      </w:pPr>
    </w:p>
    <w:p w:rsidR="001460A7" w:rsidRPr="00F50D4C" w:rsidRDefault="001460A7" w:rsidP="00EB6C89">
      <w:pPr>
        <w:spacing w:before="120" w:line="240" w:lineRule="auto"/>
        <w:rPr>
          <w:lang w:val="pl-PL"/>
        </w:rPr>
      </w:pPr>
      <w:r w:rsidRPr="00F50D4C">
        <w:rPr>
          <w:lang w:val="pl-PL"/>
        </w:rPr>
        <w:t>Kwota amortyzacji zaległej</w:t>
      </w:r>
      <w:r w:rsidRPr="00F50D4C">
        <w:rPr>
          <w:i/>
          <w:iCs/>
          <w:lang w:val="pl-PL"/>
        </w:rPr>
        <w:t xml:space="preserve"> </w:t>
      </w:r>
      <w:r w:rsidRPr="00F50D4C">
        <w:rPr>
          <w:lang w:val="pl-PL"/>
        </w:rPr>
        <w:t>wynika</w:t>
      </w:r>
      <w:r w:rsidRPr="00F50D4C">
        <w:rPr>
          <w:i/>
          <w:iCs/>
          <w:lang w:val="pl-PL"/>
        </w:rPr>
        <w:t xml:space="preserve"> </w:t>
      </w:r>
      <w:r w:rsidRPr="00F50D4C">
        <w:rPr>
          <w:lang w:val="pl-PL"/>
        </w:rPr>
        <w:t>z</w:t>
      </w:r>
      <w:r w:rsidRPr="00F50D4C">
        <w:rPr>
          <w:i/>
          <w:iCs/>
          <w:lang w:val="pl-PL"/>
        </w:rPr>
        <w:t xml:space="preserve"> </w:t>
      </w:r>
      <w:r w:rsidRPr="00F50D4C">
        <w:rPr>
          <w:lang w:val="pl-PL"/>
        </w:rPr>
        <w:t>poniższej</w:t>
      </w:r>
      <w:r w:rsidRPr="00F50D4C">
        <w:rPr>
          <w:i/>
          <w:iCs/>
          <w:lang w:val="pl-PL"/>
        </w:rPr>
        <w:t xml:space="preserve"> </w:t>
      </w:r>
      <w:r w:rsidRPr="00F50D4C">
        <w:rPr>
          <w:lang w:val="pl-PL"/>
        </w:rPr>
        <w:t>formuły:</w:t>
      </w:r>
    </w:p>
    <w:p w:rsidR="001460A7" w:rsidRPr="00F50D4C" w:rsidRDefault="001460A7" w:rsidP="00EB6C89">
      <w:pPr>
        <w:spacing w:before="120" w:line="240" w:lineRule="auto"/>
        <w:rPr>
          <w:lang w:val="pl-PL"/>
        </w:rPr>
      </w:pPr>
    </w:p>
    <w:p w:rsidR="001460A7" w:rsidRPr="00F50D4C" w:rsidRDefault="001460A7" w:rsidP="00EB6C89">
      <w:pPr>
        <w:spacing w:before="120" w:line="240" w:lineRule="auto"/>
        <w:jc w:val="center"/>
        <w:rPr>
          <w:i/>
          <w:lang w:val="pl-PL"/>
        </w:rPr>
      </w:pPr>
      <w:r w:rsidRPr="00F50D4C">
        <w:rPr>
          <w:i/>
          <w:lang w:val="pl-PL"/>
        </w:rPr>
        <w:t>AZ</w:t>
      </w:r>
      <w:r w:rsidR="005B24B6" w:rsidRPr="00F50D4C">
        <w:rPr>
          <w:i/>
          <w:vertAlign w:val="subscript"/>
          <w:lang w:val="pl-PL"/>
        </w:rPr>
        <w:t>2013</w:t>
      </w:r>
      <w:r w:rsidRPr="00F50D4C">
        <w:rPr>
          <w:i/>
          <w:lang w:val="pl-PL"/>
        </w:rPr>
        <w:t xml:space="preserve"> = UB</w:t>
      </w:r>
      <w:r w:rsidR="005B24B6" w:rsidRPr="00F50D4C">
        <w:rPr>
          <w:i/>
          <w:vertAlign w:val="subscript"/>
          <w:lang w:val="pl-PL"/>
        </w:rPr>
        <w:t>2013</w:t>
      </w:r>
      <w:r w:rsidRPr="00F50D4C">
        <w:rPr>
          <w:i/>
          <w:lang w:val="pl-PL"/>
        </w:rPr>
        <w:t xml:space="preserve"> – UH</w:t>
      </w:r>
      <w:r w:rsidR="005B24B6" w:rsidRPr="00F50D4C">
        <w:rPr>
          <w:i/>
          <w:vertAlign w:val="subscript"/>
          <w:lang w:val="pl-PL"/>
        </w:rPr>
        <w:t>2013</w:t>
      </w:r>
      <w:r w:rsidRPr="00F50D4C">
        <w:rPr>
          <w:i/>
          <w:lang w:val="pl-PL"/>
        </w:rPr>
        <w:t xml:space="preserve"> – AD</w:t>
      </w:r>
      <w:r w:rsidR="005B24B6" w:rsidRPr="00F50D4C">
        <w:rPr>
          <w:i/>
          <w:vertAlign w:val="subscript"/>
          <w:lang w:val="pl-PL"/>
        </w:rPr>
        <w:t>2013</w:t>
      </w:r>
    </w:p>
    <w:p w:rsidR="001460A7" w:rsidRPr="00F50D4C" w:rsidRDefault="001460A7" w:rsidP="00EB6C89">
      <w:pPr>
        <w:spacing w:before="120" w:line="240" w:lineRule="auto"/>
        <w:jc w:val="center"/>
        <w:rPr>
          <w:lang w:val="pl-PL"/>
        </w:rPr>
      </w:pPr>
    </w:p>
    <w:p w:rsidR="001460A7" w:rsidRPr="00F50D4C" w:rsidRDefault="001460A7" w:rsidP="00EB6C89">
      <w:pPr>
        <w:spacing w:before="120" w:line="240" w:lineRule="auto"/>
        <w:rPr>
          <w:lang w:val="pl-PL"/>
        </w:rPr>
      </w:pPr>
      <w:r w:rsidRPr="00F50D4C">
        <w:rPr>
          <w:lang w:val="pl-PL"/>
        </w:rPr>
        <w:t>gdzie:</w:t>
      </w:r>
    </w:p>
    <w:p w:rsidR="001460A7" w:rsidRPr="00F50D4C" w:rsidRDefault="001460A7" w:rsidP="00EB6C89">
      <w:pPr>
        <w:spacing w:before="120" w:line="240" w:lineRule="auto"/>
        <w:rPr>
          <w:lang w:val="pl-PL"/>
        </w:rPr>
      </w:pPr>
      <w:r w:rsidRPr="00F50D4C">
        <w:rPr>
          <w:lang w:val="pl-PL"/>
        </w:rPr>
        <w:lastRenderedPageBreak/>
        <w:t>AZ</w:t>
      </w:r>
      <w:r w:rsidR="005B24B6" w:rsidRPr="00F50D4C">
        <w:rPr>
          <w:vertAlign w:val="subscript"/>
          <w:lang w:val="pl-PL"/>
        </w:rPr>
        <w:t>2013</w:t>
      </w:r>
      <w:r w:rsidRPr="00F50D4C">
        <w:rPr>
          <w:lang w:val="pl-PL"/>
        </w:rPr>
        <w:t xml:space="preserve"> – amortyzacja zaległa dla danej grupy środków trwałych i wartości niematerialnych </w:t>
      </w:r>
      <w:r w:rsidR="00073C78" w:rsidRPr="00F50D4C">
        <w:rPr>
          <w:lang w:val="pl-PL"/>
        </w:rPr>
        <w:br/>
      </w:r>
      <w:r w:rsidRPr="00F50D4C">
        <w:rPr>
          <w:lang w:val="pl-PL"/>
        </w:rPr>
        <w:t xml:space="preserve">i prawnych za rok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t>UB</w:t>
      </w:r>
      <w:r w:rsidR="005B24B6" w:rsidRPr="00F50D4C">
        <w:rPr>
          <w:vertAlign w:val="subscript"/>
          <w:lang w:val="pl-PL"/>
        </w:rPr>
        <w:t>2013</w:t>
      </w:r>
      <w:r w:rsidRPr="00F50D4C">
        <w:rPr>
          <w:lang w:val="pl-PL"/>
        </w:rPr>
        <w:t xml:space="preserve"> – umorzenie bieżące dla danej grupy środków trwałych i wartości niematerialnych </w:t>
      </w:r>
      <w:r w:rsidR="00073C78" w:rsidRPr="00F50D4C">
        <w:rPr>
          <w:lang w:val="pl-PL"/>
        </w:rPr>
        <w:br/>
      </w:r>
      <w:r w:rsidRPr="00F50D4C">
        <w:rPr>
          <w:lang w:val="pl-PL"/>
        </w:rPr>
        <w:t xml:space="preserve">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UH</w:t>
      </w:r>
      <w:r w:rsidR="005B24B6" w:rsidRPr="00F50D4C">
        <w:rPr>
          <w:vertAlign w:val="subscript"/>
          <w:lang w:val="pl-PL"/>
        </w:rPr>
        <w:t>2013</w:t>
      </w:r>
      <w:r w:rsidRPr="00F50D4C">
        <w:rPr>
          <w:lang w:val="pl-PL"/>
        </w:rPr>
        <w:t xml:space="preserve"> – umorzenie historyczne dla danej grupy środków trwałych i wartości niematerialnych 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AD</w:t>
      </w:r>
      <w:r w:rsidR="005B24B6" w:rsidRPr="00F50D4C">
        <w:rPr>
          <w:vertAlign w:val="subscript"/>
          <w:lang w:val="pl-PL"/>
        </w:rPr>
        <w:t>2013</w:t>
      </w:r>
      <w:r w:rsidRPr="00F50D4C">
        <w:rPr>
          <w:lang w:val="pl-PL"/>
        </w:rPr>
        <w:t xml:space="preserve"> – amortyzacja dodatkowa dla danej grupy środków trwałych i wartości niematerialnych i prawnych za rok </w:t>
      </w:r>
      <w:r w:rsidR="005B24B6" w:rsidRPr="00F50D4C">
        <w:rPr>
          <w:lang w:val="pl-PL"/>
        </w:rPr>
        <w:t>2013</w:t>
      </w:r>
      <w:r w:rsidRPr="00F50D4C">
        <w:rPr>
          <w:lang w:val="pl-PL"/>
        </w:rPr>
        <w:t>.</w:t>
      </w:r>
    </w:p>
    <w:p w:rsidR="001460A7" w:rsidRPr="00F50D4C" w:rsidRDefault="001460A7" w:rsidP="00EB6C89">
      <w:pPr>
        <w:spacing w:before="120" w:line="240" w:lineRule="auto"/>
        <w:rPr>
          <w:b/>
          <w:bCs/>
          <w:lang w:val="pl-PL"/>
        </w:rPr>
      </w:pPr>
      <w:r w:rsidRPr="00F50D4C">
        <w:rPr>
          <w:b/>
          <w:bCs/>
          <w:lang w:val="pl-PL"/>
        </w:rPr>
        <w:t>Korekty do wartości bieżącej</w:t>
      </w:r>
    </w:p>
    <w:p w:rsidR="001460A7" w:rsidRPr="00F50D4C" w:rsidRDefault="001608F1" w:rsidP="00EB6C89">
      <w:pPr>
        <w:spacing w:before="120" w:line="240" w:lineRule="auto"/>
        <w:jc w:val="center"/>
      </w:pPr>
      <w:r w:rsidRPr="00F50D4C">
        <w:rPr>
          <w:position w:val="-12"/>
        </w:rPr>
        <w:object w:dxaOrig="2360" w:dyaOrig="360">
          <v:shape id="_x0000_i1030" type="#_x0000_t75" style="width:164.25pt;height:24pt" o:ole="">
            <v:imagedata r:id="rId19" o:title=""/>
          </v:shape>
          <o:OLEObject Type="Embed" ProgID="Equation.3" ShapeID="_x0000_i1030" DrawAspect="Content" ObjectID="_1457949409" r:id="rId20"/>
        </w:object>
      </w:r>
    </w:p>
    <w:p w:rsidR="001460A7" w:rsidRPr="00F50D4C" w:rsidRDefault="001460A7" w:rsidP="00EB6C89">
      <w:pPr>
        <w:spacing w:before="120" w:line="240" w:lineRule="auto"/>
        <w:rPr>
          <w:lang w:val="pl-PL"/>
        </w:rPr>
      </w:pPr>
      <w:r w:rsidRPr="00F50D4C">
        <w:rPr>
          <w:lang w:val="pl-PL"/>
        </w:rPr>
        <w:t>gdzie:</w:t>
      </w:r>
    </w:p>
    <w:p w:rsidR="001460A7" w:rsidRPr="00F50D4C" w:rsidRDefault="001460A7" w:rsidP="00EB6C89">
      <w:pPr>
        <w:spacing w:before="120" w:line="240" w:lineRule="auto"/>
        <w:rPr>
          <w:lang w:val="pl-PL"/>
        </w:rPr>
      </w:pPr>
      <w:r w:rsidRPr="00F50D4C">
        <w:rPr>
          <w:lang w:val="pl-PL"/>
        </w:rPr>
        <w:t>KKB</w:t>
      </w:r>
      <w:r w:rsidR="005B24B6" w:rsidRPr="00F50D4C">
        <w:rPr>
          <w:vertAlign w:val="subscript"/>
          <w:lang w:val="pl-PL"/>
        </w:rPr>
        <w:t>2013</w:t>
      </w:r>
      <w:r w:rsidRPr="00F50D4C">
        <w:rPr>
          <w:lang w:val="pl-PL"/>
        </w:rPr>
        <w:t xml:space="preserve"> – korekty kosztu bieżącego w roku </w:t>
      </w:r>
      <w:r w:rsidR="005B24B6" w:rsidRPr="00F50D4C">
        <w:rPr>
          <w:lang w:val="pl-PL"/>
        </w:rPr>
        <w:t>2013</w:t>
      </w:r>
      <w:r w:rsidRPr="00F50D4C">
        <w:rPr>
          <w:lang w:val="pl-PL"/>
        </w:rPr>
        <w:t xml:space="preserve"> (wartość ujemna oznacza zmniejszenie kosztu, wartość dodatnia oznacza zwiększenie kosztu);</w:t>
      </w:r>
    </w:p>
    <w:p w:rsidR="001460A7" w:rsidRPr="00F50D4C" w:rsidRDefault="001460A7" w:rsidP="00EB6C89">
      <w:pPr>
        <w:spacing w:before="120" w:line="240" w:lineRule="auto"/>
        <w:rPr>
          <w:lang w:val="pl-PL"/>
        </w:rPr>
      </w:pPr>
      <w:r w:rsidRPr="00F50D4C">
        <w:t>Δ</w:t>
      </w:r>
      <w:r w:rsidRPr="00F50D4C">
        <w:rPr>
          <w:lang w:val="pl-PL"/>
        </w:rPr>
        <w:t xml:space="preserve">R </w:t>
      </w:r>
      <w:r w:rsidRPr="00F50D4C">
        <w:rPr>
          <w:lang w:val="pl-PL"/>
        </w:rPr>
        <w:tab/>
        <w:t xml:space="preserve">– zmiana stanu różnic z przeszacowania pomiędzy rokiem bieżącym </w:t>
      </w:r>
      <w:r w:rsidR="005B24B6" w:rsidRPr="00F50D4C">
        <w:rPr>
          <w:lang w:val="pl-PL"/>
        </w:rPr>
        <w:t>2013</w:t>
      </w:r>
      <w:r w:rsidRPr="00F50D4C">
        <w:rPr>
          <w:lang w:val="pl-PL"/>
        </w:rPr>
        <w:t xml:space="preserve"> a rokiem poprzednim </w:t>
      </w:r>
      <w:r w:rsidR="005B24B6" w:rsidRPr="00F50D4C">
        <w:rPr>
          <w:lang w:val="pl-PL"/>
        </w:rPr>
        <w:t>2012</w:t>
      </w:r>
      <w:r w:rsidRPr="00F50D4C">
        <w:rPr>
          <w:lang w:val="pl-PL"/>
        </w:rPr>
        <w:t>;</w:t>
      </w:r>
    </w:p>
    <w:p w:rsidR="001460A7" w:rsidRPr="00F50D4C" w:rsidRDefault="001460A7" w:rsidP="00EB6C89">
      <w:pPr>
        <w:spacing w:before="120" w:line="240" w:lineRule="auto"/>
        <w:rPr>
          <w:lang w:val="pl-PL"/>
        </w:rPr>
      </w:pPr>
      <w:r w:rsidRPr="00F50D4C">
        <w:t>Δ</w:t>
      </w:r>
      <w:r w:rsidRPr="00F50D4C">
        <w:rPr>
          <w:lang w:val="pl-PL"/>
        </w:rPr>
        <w:t>AZ –</w:t>
      </w:r>
      <w:r w:rsidRPr="00F50D4C">
        <w:rPr>
          <w:lang w:val="pl-PL"/>
        </w:rPr>
        <w:tab/>
        <w:t xml:space="preserve">zmiana stanu amortyzacji zaległej pomiędzy rokiem bieżącym </w:t>
      </w:r>
      <w:r w:rsidR="005B24B6" w:rsidRPr="00F50D4C">
        <w:rPr>
          <w:lang w:val="pl-PL"/>
        </w:rPr>
        <w:t>2013</w:t>
      </w:r>
      <w:r w:rsidR="00F8190F" w:rsidRPr="00F50D4C">
        <w:rPr>
          <w:lang w:val="pl-PL"/>
        </w:rPr>
        <w:t xml:space="preserve"> </w:t>
      </w:r>
      <w:r w:rsidR="0027033D" w:rsidRPr="00F50D4C">
        <w:rPr>
          <w:lang w:val="pl-PL"/>
        </w:rPr>
        <w:t>a</w:t>
      </w:r>
      <w:r w:rsidR="00F8190F" w:rsidRPr="00F50D4C">
        <w:rPr>
          <w:lang w:val="pl-PL"/>
        </w:rPr>
        <w:t xml:space="preserve"> </w:t>
      </w:r>
      <w:r w:rsidR="0027033D" w:rsidRPr="00F50D4C">
        <w:rPr>
          <w:lang w:val="pl-PL"/>
        </w:rPr>
        <w:t xml:space="preserve">rokiem poprzednim </w:t>
      </w:r>
      <w:r w:rsidR="005B24B6" w:rsidRPr="00F50D4C">
        <w:rPr>
          <w:lang w:val="pl-PL"/>
        </w:rPr>
        <w:t>2012</w:t>
      </w:r>
      <w:r w:rsidRPr="00F50D4C">
        <w:rPr>
          <w:lang w:val="pl-PL"/>
        </w:rPr>
        <w:t xml:space="preserve">. </w:t>
      </w:r>
    </w:p>
    <w:p w:rsidR="001460A7" w:rsidRPr="00F50D4C" w:rsidRDefault="001608F1" w:rsidP="00EB6C89">
      <w:pPr>
        <w:spacing w:before="120" w:line="240" w:lineRule="auto"/>
        <w:jc w:val="center"/>
      </w:pPr>
      <w:r w:rsidRPr="00F50D4C">
        <w:rPr>
          <w:position w:val="-12"/>
        </w:rPr>
        <w:object w:dxaOrig="4720" w:dyaOrig="360">
          <v:shape id="_x0000_i1031" type="#_x0000_t75" style="width:328.5pt;height:24pt" o:ole="">
            <v:imagedata r:id="rId21" o:title=""/>
          </v:shape>
          <o:OLEObject Type="Embed" ProgID="Equation.3" ShapeID="_x0000_i1031" DrawAspect="Content" ObjectID="_1457949410" r:id="rId22"/>
        </w:object>
      </w:r>
    </w:p>
    <w:p w:rsidR="001460A7" w:rsidRPr="00F50D4C" w:rsidRDefault="001460A7" w:rsidP="00EB6C89">
      <w:pPr>
        <w:spacing w:before="120" w:line="240" w:lineRule="auto"/>
        <w:rPr>
          <w:lang w:val="pl-PL"/>
        </w:rPr>
      </w:pPr>
      <w:r w:rsidRPr="00F50D4C">
        <w:rPr>
          <w:lang w:val="pl-PL"/>
        </w:rPr>
        <w:t>gdzie:</w:t>
      </w:r>
    </w:p>
    <w:p w:rsidR="001460A7" w:rsidRPr="00F50D4C" w:rsidRDefault="001460A7" w:rsidP="00EB6C89">
      <w:pPr>
        <w:spacing w:before="120" w:line="240" w:lineRule="auto"/>
        <w:rPr>
          <w:lang w:val="pl-PL"/>
        </w:rPr>
      </w:pPr>
      <w:r w:rsidRPr="00F50D4C">
        <w:t>Δ</w:t>
      </w:r>
      <w:r w:rsidRPr="00F50D4C">
        <w:rPr>
          <w:lang w:val="pl-PL"/>
        </w:rPr>
        <w:t xml:space="preserve">R – </w:t>
      </w:r>
      <w:r w:rsidRPr="00F50D4C">
        <w:rPr>
          <w:lang w:val="pl-PL"/>
        </w:rPr>
        <w:tab/>
        <w:t xml:space="preserve">zmiana stanu różnic z przeszacowania pomiędzy rokiem bieżącym </w:t>
      </w:r>
      <w:r w:rsidR="005B24B6" w:rsidRPr="00F50D4C">
        <w:rPr>
          <w:lang w:val="pl-PL"/>
        </w:rPr>
        <w:t>2013</w:t>
      </w:r>
      <w:r w:rsidRPr="00F50D4C">
        <w:rPr>
          <w:lang w:val="pl-PL"/>
        </w:rPr>
        <w:t xml:space="preserve"> a rokiem poprzednim </w:t>
      </w:r>
      <w:r w:rsidR="005B24B6" w:rsidRPr="00F50D4C">
        <w:rPr>
          <w:lang w:val="pl-PL"/>
        </w:rPr>
        <w:t>2012</w:t>
      </w:r>
      <w:r w:rsidRPr="00F50D4C">
        <w:rPr>
          <w:lang w:val="pl-PL"/>
        </w:rPr>
        <w:t>;</w:t>
      </w:r>
    </w:p>
    <w:p w:rsidR="001460A7" w:rsidRPr="00F50D4C" w:rsidRDefault="001460A7" w:rsidP="00EB6C89">
      <w:pPr>
        <w:spacing w:before="120" w:line="240" w:lineRule="auto"/>
        <w:rPr>
          <w:lang w:val="pl-PL"/>
        </w:rPr>
      </w:pPr>
      <w:r w:rsidRPr="00F50D4C">
        <w:rPr>
          <w:lang w:val="pl-PL"/>
        </w:rPr>
        <w:t>WBB</w:t>
      </w:r>
      <w:r w:rsidR="005B24B6" w:rsidRPr="00F50D4C">
        <w:rPr>
          <w:vertAlign w:val="subscript"/>
          <w:lang w:val="pl-PL"/>
        </w:rPr>
        <w:t>2013</w:t>
      </w:r>
      <w:r w:rsidRPr="00F50D4C">
        <w:rPr>
          <w:lang w:val="pl-PL"/>
        </w:rPr>
        <w:t xml:space="preserve"> – wartość bieżąca brutto środków trwałych i wartości niematerialnych i prawnych </w:t>
      </w:r>
      <w:r w:rsidR="00073C78" w:rsidRPr="00F50D4C">
        <w:rPr>
          <w:lang w:val="pl-PL"/>
        </w:rPr>
        <w:br/>
      </w:r>
      <w:r w:rsidRPr="00F50D4C">
        <w:rPr>
          <w:lang w:val="pl-PL"/>
        </w:rPr>
        <w:t xml:space="preserve">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WBB</w:t>
      </w:r>
      <w:r w:rsidR="005B24B6" w:rsidRPr="00F50D4C">
        <w:rPr>
          <w:vertAlign w:val="subscript"/>
          <w:lang w:val="pl-PL"/>
        </w:rPr>
        <w:t>2012</w:t>
      </w:r>
      <w:r w:rsidRPr="00F50D4C">
        <w:rPr>
          <w:lang w:val="pl-PL"/>
        </w:rPr>
        <w:t xml:space="preserve"> – wartość bieżąca brutto środków trwałych i wartości niematerialnych i prawnych </w:t>
      </w:r>
      <w:r w:rsidR="00073C78" w:rsidRPr="00F50D4C">
        <w:rPr>
          <w:lang w:val="pl-PL"/>
        </w:rPr>
        <w:br/>
      </w:r>
      <w:r w:rsidRPr="00F50D4C">
        <w:rPr>
          <w:lang w:val="pl-PL"/>
        </w:rPr>
        <w:t xml:space="preserve">na dzień 31 grudnia </w:t>
      </w:r>
      <w:r w:rsidR="005B24B6" w:rsidRPr="00F50D4C">
        <w:rPr>
          <w:lang w:val="pl-PL"/>
        </w:rPr>
        <w:t>2012</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WKB</w:t>
      </w:r>
      <w:r w:rsidR="005B24B6" w:rsidRPr="00F50D4C">
        <w:rPr>
          <w:vertAlign w:val="subscript"/>
          <w:lang w:val="pl-PL"/>
        </w:rPr>
        <w:t>2013</w:t>
      </w:r>
      <w:r w:rsidRPr="00F50D4C">
        <w:rPr>
          <w:lang w:val="pl-PL"/>
        </w:rPr>
        <w:t xml:space="preserve"> – wartość księgowa brutto środków trwałych i wartości niematerialnych i prawnych na dzień 31 grudnia </w:t>
      </w:r>
      <w:r w:rsidR="005B24B6" w:rsidRPr="00F50D4C">
        <w:rPr>
          <w:lang w:val="pl-PL"/>
        </w:rPr>
        <w:t>2013</w:t>
      </w:r>
      <w:r w:rsidRPr="00F50D4C">
        <w:rPr>
          <w:lang w:val="pl-PL"/>
        </w:rPr>
        <w:t xml:space="preserve"> roku;</w:t>
      </w:r>
    </w:p>
    <w:p w:rsidR="001460A7" w:rsidRPr="00F50D4C" w:rsidRDefault="001460A7" w:rsidP="00EB6C89">
      <w:pPr>
        <w:spacing w:before="120" w:line="240" w:lineRule="auto"/>
        <w:rPr>
          <w:lang w:val="pl-PL"/>
        </w:rPr>
      </w:pPr>
      <w:r w:rsidRPr="00F50D4C">
        <w:rPr>
          <w:lang w:val="pl-PL"/>
        </w:rPr>
        <w:t>WKB</w:t>
      </w:r>
      <w:r w:rsidR="005B24B6" w:rsidRPr="00F50D4C">
        <w:rPr>
          <w:vertAlign w:val="subscript"/>
          <w:lang w:val="pl-PL"/>
        </w:rPr>
        <w:t>2012</w:t>
      </w:r>
      <w:r w:rsidRPr="00F50D4C">
        <w:rPr>
          <w:lang w:val="pl-PL"/>
        </w:rPr>
        <w:t xml:space="preserve"> – wartość księgowa brutto środków trwałych i wartości niematerialnych i p</w:t>
      </w:r>
      <w:r w:rsidR="008602D1" w:rsidRPr="00F50D4C">
        <w:rPr>
          <w:lang w:val="pl-PL"/>
        </w:rPr>
        <w:t xml:space="preserve">rawnych na dzień 31 grudnia </w:t>
      </w:r>
      <w:r w:rsidR="005B24B6" w:rsidRPr="00F50D4C">
        <w:rPr>
          <w:lang w:val="pl-PL"/>
        </w:rPr>
        <w:t>2012</w:t>
      </w:r>
      <w:r w:rsidRPr="00F50D4C">
        <w:rPr>
          <w:lang w:val="pl-PL"/>
        </w:rPr>
        <w:t xml:space="preserve"> roku.</w:t>
      </w:r>
    </w:p>
    <w:p w:rsidR="001460A7" w:rsidRPr="00F50D4C" w:rsidRDefault="001460A7" w:rsidP="00EB6C89">
      <w:pPr>
        <w:spacing w:before="120" w:line="240" w:lineRule="auto"/>
        <w:jc w:val="center"/>
        <w:rPr>
          <w:lang w:val="pl-PL"/>
        </w:rPr>
      </w:pPr>
    </w:p>
    <w:p w:rsidR="001460A7" w:rsidRPr="00F50D4C" w:rsidRDefault="001608F1" w:rsidP="00EB6C89">
      <w:pPr>
        <w:spacing w:before="120" w:line="240" w:lineRule="auto"/>
        <w:jc w:val="center"/>
      </w:pPr>
      <w:r w:rsidRPr="00F50D4C">
        <w:rPr>
          <w:position w:val="-12"/>
        </w:rPr>
        <w:object w:dxaOrig="6800" w:dyaOrig="360">
          <v:shape id="_x0000_i1032" type="#_x0000_t75" style="width:472.5pt;height:24pt" o:ole="">
            <v:imagedata r:id="rId23" o:title=""/>
          </v:shape>
          <o:OLEObject Type="Embed" ProgID="Equation.3" ShapeID="_x0000_i1032" DrawAspect="Content" ObjectID="_1457949411" r:id="rId24"/>
        </w:object>
      </w:r>
    </w:p>
    <w:p w:rsidR="001460A7" w:rsidRPr="00F50D4C" w:rsidRDefault="001460A7" w:rsidP="00EB6C89">
      <w:pPr>
        <w:spacing w:before="120" w:line="240" w:lineRule="auto"/>
        <w:rPr>
          <w:lang w:val="pl-PL"/>
        </w:rPr>
      </w:pPr>
      <w:r w:rsidRPr="00F50D4C">
        <w:rPr>
          <w:lang w:val="pl-PL"/>
        </w:rPr>
        <w:t>gdzie:</w:t>
      </w:r>
    </w:p>
    <w:p w:rsidR="001460A7" w:rsidRPr="00F50D4C" w:rsidRDefault="001460A7" w:rsidP="00EB6C89">
      <w:pPr>
        <w:spacing w:before="120" w:line="240" w:lineRule="auto"/>
        <w:rPr>
          <w:lang w:val="pl-PL"/>
        </w:rPr>
      </w:pPr>
      <w:r w:rsidRPr="00F50D4C">
        <w:t>Δ</w:t>
      </w:r>
      <w:r w:rsidRPr="00F50D4C">
        <w:rPr>
          <w:lang w:val="pl-PL"/>
        </w:rPr>
        <w:t>AZ –</w:t>
      </w:r>
      <w:r w:rsidRPr="00F50D4C">
        <w:rPr>
          <w:lang w:val="pl-PL"/>
        </w:rPr>
        <w:tab/>
        <w:t xml:space="preserve">zmiana stanu amortyzacji zaległej pomiędzy rokiem bieżącym </w:t>
      </w:r>
      <w:r w:rsidR="005B24B6" w:rsidRPr="00F50D4C">
        <w:rPr>
          <w:lang w:val="pl-PL"/>
        </w:rPr>
        <w:t>2013</w:t>
      </w:r>
      <w:r w:rsidRPr="00F50D4C">
        <w:rPr>
          <w:lang w:val="pl-PL"/>
        </w:rPr>
        <w:t xml:space="preserve"> a rokiem poprzednim </w:t>
      </w:r>
      <w:r w:rsidR="005B24B6" w:rsidRPr="00F50D4C">
        <w:rPr>
          <w:lang w:val="pl-PL"/>
        </w:rPr>
        <w:t>2012</w:t>
      </w:r>
      <w:r w:rsidRPr="00F50D4C">
        <w:rPr>
          <w:lang w:val="pl-PL"/>
        </w:rPr>
        <w:t xml:space="preserve">; </w:t>
      </w:r>
    </w:p>
    <w:p w:rsidR="001460A7" w:rsidRPr="00F50D4C" w:rsidRDefault="001460A7" w:rsidP="00EB6C89">
      <w:pPr>
        <w:spacing w:before="120" w:line="240" w:lineRule="auto"/>
        <w:rPr>
          <w:lang w:val="pl-PL"/>
        </w:rPr>
      </w:pPr>
      <w:r w:rsidRPr="00F50D4C">
        <w:rPr>
          <w:lang w:val="pl-PL"/>
        </w:rPr>
        <w:t>UB</w:t>
      </w:r>
      <w:r w:rsidR="005B24B6" w:rsidRPr="00F50D4C">
        <w:rPr>
          <w:vertAlign w:val="subscript"/>
          <w:lang w:val="pl-PL"/>
        </w:rPr>
        <w:t>2013</w:t>
      </w:r>
      <w:r w:rsidRPr="00F50D4C">
        <w:rPr>
          <w:lang w:val="pl-PL"/>
        </w:rPr>
        <w:t xml:space="preserve"> – umorzenie bieżące dla danej grupy środków trwałych i wartości niematerialnych </w:t>
      </w:r>
      <w:r w:rsidR="00073C78" w:rsidRPr="00F50D4C">
        <w:rPr>
          <w:lang w:val="pl-PL"/>
        </w:rPr>
        <w:br/>
      </w:r>
      <w:r w:rsidRPr="00F50D4C">
        <w:rPr>
          <w:lang w:val="pl-PL"/>
        </w:rPr>
        <w:t xml:space="preserve">i prawnych w roku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t>UB</w:t>
      </w:r>
      <w:r w:rsidR="005B24B6" w:rsidRPr="00F50D4C">
        <w:rPr>
          <w:vertAlign w:val="subscript"/>
          <w:lang w:val="pl-PL"/>
        </w:rPr>
        <w:t>2012</w:t>
      </w:r>
      <w:r w:rsidRPr="00F50D4C">
        <w:rPr>
          <w:lang w:val="pl-PL"/>
        </w:rPr>
        <w:t xml:space="preserve"> – umorzenie bieżące dla danej grupy środków trwałych i wartości niematerialnych </w:t>
      </w:r>
      <w:r w:rsidR="00073C78" w:rsidRPr="00F50D4C">
        <w:rPr>
          <w:lang w:val="pl-PL"/>
        </w:rPr>
        <w:br/>
      </w:r>
      <w:r w:rsidRPr="00F50D4C">
        <w:rPr>
          <w:lang w:val="pl-PL"/>
        </w:rPr>
        <w:t xml:space="preserve">i prawnych w roku </w:t>
      </w:r>
      <w:r w:rsidR="005B24B6" w:rsidRPr="00F50D4C">
        <w:rPr>
          <w:lang w:val="pl-PL"/>
        </w:rPr>
        <w:t>2012</w:t>
      </w:r>
      <w:r w:rsidRPr="00F50D4C">
        <w:rPr>
          <w:lang w:val="pl-PL"/>
        </w:rPr>
        <w:t>;</w:t>
      </w:r>
    </w:p>
    <w:p w:rsidR="001460A7" w:rsidRPr="00F50D4C" w:rsidRDefault="001460A7" w:rsidP="00EB6C89">
      <w:pPr>
        <w:spacing w:before="120" w:line="240" w:lineRule="auto"/>
        <w:rPr>
          <w:lang w:val="pl-PL"/>
        </w:rPr>
      </w:pPr>
      <w:r w:rsidRPr="00F50D4C">
        <w:rPr>
          <w:lang w:val="pl-PL"/>
        </w:rPr>
        <w:t>UH</w:t>
      </w:r>
      <w:r w:rsidR="005B24B6" w:rsidRPr="00F50D4C">
        <w:rPr>
          <w:vertAlign w:val="subscript"/>
          <w:lang w:val="pl-PL"/>
        </w:rPr>
        <w:t>2013</w:t>
      </w:r>
      <w:r w:rsidRPr="00F50D4C">
        <w:rPr>
          <w:lang w:val="pl-PL"/>
        </w:rPr>
        <w:t xml:space="preserve"> – umorzenie historyczne dla danej grupy środków trwałych i wartości niematerialnych i prawnych w roku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lastRenderedPageBreak/>
        <w:t>UH</w:t>
      </w:r>
      <w:r w:rsidR="005B24B6" w:rsidRPr="00F50D4C">
        <w:rPr>
          <w:vertAlign w:val="subscript"/>
          <w:lang w:val="pl-PL"/>
        </w:rPr>
        <w:t>2012</w:t>
      </w:r>
      <w:r w:rsidRPr="00F50D4C">
        <w:rPr>
          <w:lang w:val="pl-PL"/>
        </w:rPr>
        <w:t xml:space="preserve"> – umorzenie historyczne dla danej grupy środków trwałych i wartości niematerialnych i prawnych w roku </w:t>
      </w:r>
      <w:r w:rsidR="005B24B6" w:rsidRPr="00F50D4C">
        <w:rPr>
          <w:lang w:val="pl-PL"/>
        </w:rPr>
        <w:t>2012</w:t>
      </w:r>
      <w:r w:rsidRPr="00F50D4C">
        <w:rPr>
          <w:lang w:val="pl-PL"/>
        </w:rPr>
        <w:t>;</w:t>
      </w:r>
    </w:p>
    <w:p w:rsidR="001460A7" w:rsidRPr="00F50D4C" w:rsidRDefault="001460A7" w:rsidP="00EB6C89">
      <w:pPr>
        <w:spacing w:before="120" w:line="240" w:lineRule="auto"/>
        <w:rPr>
          <w:lang w:val="pl-PL"/>
        </w:rPr>
      </w:pPr>
      <w:r w:rsidRPr="00F50D4C">
        <w:rPr>
          <w:lang w:val="pl-PL"/>
        </w:rPr>
        <w:t>AD</w:t>
      </w:r>
      <w:r w:rsidR="005B24B6" w:rsidRPr="00F50D4C">
        <w:rPr>
          <w:vertAlign w:val="subscript"/>
          <w:lang w:val="pl-PL"/>
        </w:rPr>
        <w:t>2013</w:t>
      </w:r>
      <w:r w:rsidRPr="00F50D4C">
        <w:rPr>
          <w:lang w:val="pl-PL"/>
        </w:rPr>
        <w:t xml:space="preserve"> – amortyzacja dodatkowa dla danej grupy środków trwałych i wartości niematerialnych i prawnych za rok </w:t>
      </w:r>
      <w:r w:rsidR="005B24B6" w:rsidRPr="00F50D4C">
        <w:rPr>
          <w:lang w:val="pl-PL"/>
        </w:rPr>
        <w:t>2013</w:t>
      </w:r>
      <w:r w:rsidRPr="00F50D4C">
        <w:rPr>
          <w:lang w:val="pl-PL"/>
        </w:rPr>
        <w:t>;</w:t>
      </w:r>
    </w:p>
    <w:p w:rsidR="001460A7" w:rsidRPr="00F50D4C" w:rsidRDefault="001460A7" w:rsidP="00EB6C89">
      <w:pPr>
        <w:spacing w:before="120" w:line="240" w:lineRule="auto"/>
        <w:rPr>
          <w:lang w:val="pl-PL"/>
        </w:rPr>
      </w:pPr>
      <w:r w:rsidRPr="00F50D4C">
        <w:rPr>
          <w:lang w:val="pl-PL"/>
        </w:rPr>
        <w:t>AD</w:t>
      </w:r>
      <w:r w:rsidR="005B24B6" w:rsidRPr="00F50D4C">
        <w:rPr>
          <w:vertAlign w:val="subscript"/>
          <w:lang w:val="pl-PL"/>
        </w:rPr>
        <w:t>2012</w:t>
      </w:r>
      <w:r w:rsidRPr="00F50D4C">
        <w:rPr>
          <w:lang w:val="pl-PL"/>
        </w:rPr>
        <w:t xml:space="preserve"> – amortyzacja dodatkowa dla danej grupy środków trwałych i wartości niematerialnych i prawnych za rok </w:t>
      </w:r>
      <w:r w:rsidR="005B24B6" w:rsidRPr="00F50D4C">
        <w:rPr>
          <w:lang w:val="pl-PL"/>
        </w:rPr>
        <w:t>2012</w:t>
      </w:r>
      <w:r w:rsidRPr="00F50D4C">
        <w:rPr>
          <w:lang w:val="pl-PL"/>
        </w:rPr>
        <w:t xml:space="preserve">. </w:t>
      </w:r>
    </w:p>
    <w:p w:rsidR="009D7DE7" w:rsidRPr="00F50D4C" w:rsidRDefault="009D7DE7" w:rsidP="00EB6C89">
      <w:pPr>
        <w:pStyle w:val="MIKNagwek0"/>
        <w:spacing w:before="120" w:after="0" w:line="240" w:lineRule="auto"/>
      </w:pPr>
      <w:bookmarkStart w:id="725" w:name="_Toc314727754"/>
      <w:bookmarkStart w:id="726" w:name="_Toc383521294"/>
      <w:r w:rsidRPr="00F50D4C">
        <w:rPr>
          <w:b/>
        </w:rPr>
        <w:t xml:space="preserve">Część III – Przeszacowanie środków trwałych i wartości niematerialnych i prawnych dla potrzeb kalkulacji kosztów usług na rok </w:t>
      </w:r>
      <w:r w:rsidR="005B24B6" w:rsidRPr="00F50D4C">
        <w:rPr>
          <w:b/>
        </w:rPr>
        <w:t>2015</w:t>
      </w:r>
      <w:r w:rsidRPr="00F50D4C">
        <w:rPr>
          <w:b/>
        </w:rPr>
        <w:t xml:space="preserve"> oraz wyznaczanie wartości kosztów </w:t>
      </w:r>
      <w:r w:rsidR="00073C78" w:rsidRPr="00F50D4C">
        <w:rPr>
          <w:b/>
        </w:rPr>
        <w:br/>
      </w:r>
      <w:r w:rsidRPr="00F50D4C">
        <w:rPr>
          <w:b/>
        </w:rPr>
        <w:t xml:space="preserve">od wartości bieżących składników kapitału zaangażowanego na rok </w:t>
      </w:r>
      <w:bookmarkEnd w:id="725"/>
      <w:r w:rsidR="005B24B6" w:rsidRPr="00F50D4C">
        <w:rPr>
          <w:b/>
        </w:rPr>
        <w:t>2015</w:t>
      </w:r>
      <w:r w:rsidR="00CB1CD6" w:rsidRPr="00F50D4C">
        <w:rPr>
          <w:b/>
        </w:rPr>
        <w:t>.</w:t>
      </w:r>
      <w:bookmarkEnd w:id="726"/>
    </w:p>
    <w:p w:rsidR="0014356E" w:rsidRPr="00F50D4C" w:rsidRDefault="0014356E" w:rsidP="00EB6C89">
      <w:pPr>
        <w:tabs>
          <w:tab w:val="clear" w:pos="567"/>
          <w:tab w:val="left" w:pos="720"/>
          <w:tab w:val="num" w:pos="1680"/>
        </w:tabs>
        <w:spacing w:before="120" w:line="240" w:lineRule="auto"/>
        <w:rPr>
          <w:lang w:val="pl-PL"/>
        </w:rPr>
      </w:pPr>
      <w:r w:rsidRPr="00F50D4C">
        <w:rPr>
          <w:lang w:val="pl-PL"/>
        </w:rPr>
        <w:t xml:space="preserve">Metody </w:t>
      </w:r>
      <w:r w:rsidR="005716CF" w:rsidRPr="00F50D4C">
        <w:rPr>
          <w:lang w:val="pl-PL"/>
        </w:rPr>
        <w:t>wyznaczania</w:t>
      </w:r>
      <w:r w:rsidRPr="00F50D4C">
        <w:rPr>
          <w:lang w:val="pl-PL"/>
        </w:rPr>
        <w:t xml:space="preserve"> wartości brutto i wartości netto środków trwałych</w:t>
      </w:r>
      <w:r w:rsidRPr="00F50D4C">
        <w:rPr>
          <w:lang w:val="pl-PL"/>
        </w:rPr>
        <w:br/>
        <w:t xml:space="preserve">i wartości niematerialnych i prawnych przedstawione zostały w </w:t>
      </w:r>
      <w:proofErr w:type="spellStart"/>
      <w:r w:rsidRPr="00F50D4C">
        <w:rPr>
          <w:lang w:val="pl-PL"/>
        </w:rPr>
        <w:t>pkt</w:t>
      </w:r>
      <w:proofErr w:type="spellEnd"/>
      <w:r w:rsidRPr="00F50D4C">
        <w:rPr>
          <w:lang w:val="pl-PL"/>
        </w:rPr>
        <w:t xml:space="preserve"> 2.8 Części I niniejszego dokumentu. Metody kalkulacji wyznaczające wartości netto pozostałych składników kapitału zaangażowanego przedstawione zostały w </w:t>
      </w:r>
      <w:proofErr w:type="spellStart"/>
      <w:r w:rsidRPr="00F50D4C">
        <w:rPr>
          <w:lang w:val="pl-PL"/>
        </w:rPr>
        <w:t>pkt</w:t>
      </w:r>
      <w:proofErr w:type="spellEnd"/>
      <w:r w:rsidRPr="00F50D4C">
        <w:rPr>
          <w:lang w:val="pl-PL"/>
        </w:rPr>
        <w:t xml:space="preserve"> 4 Części I niniejszego dokumentu.</w:t>
      </w:r>
    </w:p>
    <w:p w:rsidR="0014356E" w:rsidRPr="00F50D4C" w:rsidRDefault="0014356E" w:rsidP="00EB6C89">
      <w:pPr>
        <w:tabs>
          <w:tab w:val="clear" w:pos="567"/>
          <w:tab w:val="left" w:pos="720"/>
          <w:tab w:val="num" w:pos="1680"/>
        </w:tabs>
        <w:spacing w:before="120" w:line="240" w:lineRule="auto"/>
        <w:rPr>
          <w:lang w:val="pl-PL"/>
        </w:rPr>
      </w:pPr>
      <w:r w:rsidRPr="00F50D4C">
        <w:rPr>
          <w:lang w:val="pl-PL"/>
        </w:rPr>
        <w:t xml:space="preserve">Poniżej zaprezentowane są sposoby kalkulacji dostosowujące wyceny wartości środków trwałych i wartości niematerialnych i prawnych oraz pozostałych składników kapitału zaangażowanego dla potrzeb kalkulacji kosztów usług na rok </w:t>
      </w:r>
      <w:r w:rsidR="005B24B6" w:rsidRPr="00F50D4C">
        <w:rPr>
          <w:lang w:val="pl-PL"/>
        </w:rPr>
        <w:t>2015</w:t>
      </w:r>
      <w:r w:rsidRPr="00F50D4C">
        <w:rPr>
          <w:lang w:val="pl-PL"/>
        </w:rPr>
        <w:t xml:space="preserve"> oraz sposoby określenia wartości kosztów od wartości bieżącej składników kapitału zaangażowanego.</w:t>
      </w:r>
    </w:p>
    <w:p w:rsidR="00F815C6" w:rsidRPr="00F50D4C" w:rsidRDefault="00F815C6" w:rsidP="00EB6C89">
      <w:pPr>
        <w:tabs>
          <w:tab w:val="clear" w:pos="567"/>
          <w:tab w:val="num" w:pos="720"/>
        </w:tabs>
        <w:spacing w:before="120" w:line="240" w:lineRule="auto"/>
        <w:rPr>
          <w:lang w:val="pl-PL"/>
        </w:rPr>
      </w:pPr>
    </w:p>
    <w:p w:rsidR="0014356E" w:rsidRPr="00F50D4C" w:rsidRDefault="0014356E" w:rsidP="00EB6C89">
      <w:pPr>
        <w:keepNext/>
        <w:numPr>
          <w:ilvl w:val="0"/>
          <w:numId w:val="45"/>
        </w:numPr>
        <w:tabs>
          <w:tab w:val="clear" w:pos="567"/>
        </w:tabs>
        <w:spacing w:before="120" w:line="240" w:lineRule="auto"/>
        <w:outlineLvl w:val="1"/>
        <w:rPr>
          <w:b/>
          <w:bCs/>
          <w:lang w:val="pl-PL"/>
        </w:rPr>
      </w:pPr>
      <w:r w:rsidRPr="00F50D4C">
        <w:rPr>
          <w:b/>
          <w:bCs/>
          <w:lang w:val="pl-PL"/>
        </w:rPr>
        <w:t xml:space="preserve">Obliczanie kosztu amortyzacji danej grupy środków trwałych i wartości niematerialnych i prawnych na rok </w:t>
      </w:r>
      <w:r w:rsidR="005B24B6" w:rsidRPr="00F50D4C">
        <w:rPr>
          <w:b/>
          <w:bCs/>
          <w:lang w:val="pl-PL"/>
        </w:rPr>
        <w:t>2015</w:t>
      </w:r>
    </w:p>
    <w:p w:rsidR="006E3C6F" w:rsidRPr="00F50D4C" w:rsidRDefault="006E3C6F" w:rsidP="00EB6C89">
      <w:pPr>
        <w:keepNext/>
        <w:tabs>
          <w:tab w:val="clear" w:pos="567"/>
        </w:tabs>
        <w:spacing w:before="120" w:line="240" w:lineRule="auto"/>
        <w:ind w:left="720"/>
        <w:jc w:val="center"/>
        <w:outlineLvl w:val="1"/>
        <w:rPr>
          <w:lang w:val="pl-PL"/>
        </w:rPr>
      </w:pPr>
    </w:p>
    <w:p w:rsidR="0014356E" w:rsidRPr="00F50D4C" w:rsidRDefault="001608F1" w:rsidP="00EB6C89">
      <w:pPr>
        <w:keepNext/>
        <w:tabs>
          <w:tab w:val="clear" w:pos="567"/>
        </w:tabs>
        <w:spacing w:before="120" w:line="240" w:lineRule="auto"/>
        <w:ind w:left="720"/>
        <w:jc w:val="center"/>
        <w:outlineLvl w:val="1"/>
        <w:rPr>
          <w:b/>
          <w:bCs/>
          <w:lang w:val="pl-PL"/>
        </w:rPr>
      </w:pPr>
      <w:r w:rsidRPr="00F50D4C">
        <w:rPr>
          <w:position w:val="-12"/>
        </w:rPr>
        <w:object w:dxaOrig="2840" w:dyaOrig="360">
          <v:shape id="_x0000_i1033" type="#_x0000_t75" style="width:197.25pt;height:24pt" o:ole="">
            <v:imagedata r:id="rId25" o:title=""/>
          </v:shape>
          <o:OLEObject Type="Embed" ProgID="Equation.3" ShapeID="_x0000_i1033" DrawAspect="Content" ObjectID="_1457949412" r:id="rId26"/>
        </w:object>
      </w:r>
    </w:p>
    <w:p w:rsidR="0014356E" w:rsidRPr="00F50D4C" w:rsidRDefault="0014356E" w:rsidP="00EB6C89">
      <w:pPr>
        <w:tabs>
          <w:tab w:val="clear" w:pos="567"/>
          <w:tab w:val="left" w:pos="1080"/>
        </w:tabs>
        <w:spacing w:before="120" w:line="240" w:lineRule="auto"/>
        <w:rPr>
          <w:lang w:val="pl-PL"/>
        </w:rPr>
      </w:pPr>
      <w:r w:rsidRPr="00F50D4C">
        <w:rPr>
          <w:lang w:val="pl-PL"/>
        </w:rPr>
        <w:t>gdzie:</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SWBB’</w:t>
      </w:r>
      <w:r w:rsidR="00646783" w:rsidRPr="00F50D4C">
        <w:rPr>
          <w:b/>
          <w:vertAlign w:val="subscript"/>
          <w:lang w:val="pl-PL"/>
        </w:rPr>
        <w:t>1</w:t>
      </w:r>
      <w:r w:rsidR="001608F1" w:rsidRPr="00F50D4C">
        <w:rPr>
          <w:b/>
          <w:vertAlign w:val="subscript"/>
          <w:lang w:val="pl-PL"/>
        </w:rPr>
        <w:t>5</w:t>
      </w:r>
      <w:r w:rsidRPr="00F50D4C">
        <w:rPr>
          <w:vertAlign w:val="subscript"/>
          <w:lang w:val="pl-PL"/>
        </w:rPr>
        <w:tab/>
      </w:r>
      <w:r w:rsidRPr="00F50D4C">
        <w:rPr>
          <w:lang w:val="pl-PL"/>
        </w:rPr>
        <w:t>– średnioroczna wartość bieżąca brutto danej grupy środków trwałych</w:t>
      </w:r>
      <w:r w:rsidRPr="00F50D4C">
        <w:rPr>
          <w:lang w:val="pl-PL"/>
        </w:rPr>
        <w:br/>
        <w:t xml:space="preserve">i wartości niematerialnych i prawnych w </w:t>
      </w:r>
      <w:r w:rsidR="005B24B6" w:rsidRPr="00F50D4C">
        <w:rPr>
          <w:lang w:val="pl-PL"/>
        </w:rPr>
        <w:t>2015</w:t>
      </w:r>
      <w:r w:rsidRPr="00F50D4C">
        <w:rPr>
          <w:lang w:val="pl-PL"/>
        </w:rPr>
        <w:t xml:space="preserve"> roku,</w:t>
      </w:r>
      <w:r w:rsidR="00646783" w:rsidRPr="00F50D4C">
        <w:rPr>
          <w:lang w:val="pl-PL"/>
        </w:rPr>
        <w:t xml:space="preserve"> </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W</w:t>
      </w:r>
      <w:r w:rsidR="00A21ABB" w:rsidRPr="00F50D4C">
        <w:rPr>
          <w:b/>
          <w:vertAlign w:val="subscript"/>
          <w:lang w:val="pl-PL"/>
        </w:rPr>
        <w:t>1</w:t>
      </w:r>
      <w:r w:rsidR="001608F1" w:rsidRPr="00F50D4C">
        <w:rPr>
          <w:b/>
          <w:vertAlign w:val="subscript"/>
          <w:lang w:val="pl-PL"/>
        </w:rPr>
        <w:t>3</w:t>
      </w:r>
      <w:r w:rsidRPr="00F50D4C">
        <w:rPr>
          <w:lang w:val="pl-PL"/>
        </w:rPr>
        <w:tab/>
        <w:t>– wolumen danej grupy środków trwałych i wartości niematerialnych</w:t>
      </w:r>
      <w:r w:rsidRPr="00F50D4C">
        <w:rPr>
          <w:lang w:val="pl-PL"/>
        </w:rPr>
        <w:br/>
        <w:t xml:space="preserve">i prawnych użytkowanych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C</w:t>
      </w:r>
      <w:r w:rsidR="00646783" w:rsidRPr="00F50D4C">
        <w:rPr>
          <w:b/>
          <w:vertAlign w:val="subscript"/>
          <w:lang w:val="pl-PL"/>
        </w:rPr>
        <w:t>1</w:t>
      </w:r>
      <w:r w:rsidR="001608F1" w:rsidRPr="00F50D4C">
        <w:rPr>
          <w:b/>
          <w:vertAlign w:val="subscript"/>
          <w:lang w:val="pl-PL"/>
        </w:rPr>
        <w:t>3</w:t>
      </w:r>
      <w:r w:rsidR="00A21ABB" w:rsidRPr="00F50D4C">
        <w:rPr>
          <w:b/>
          <w:vertAlign w:val="subscript"/>
          <w:lang w:val="pl-PL"/>
        </w:rPr>
        <w:t xml:space="preserve"> </w:t>
      </w:r>
      <w:r w:rsidRPr="00F50D4C">
        <w:rPr>
          <w:b/>
          <w:lang w:val="pl-PL"/>
        </w:rPr>
        <w:tab/>
      </w:r>
      <w:r w:rsidRPr="00F50D4C">
        <w:rPr>
          <w:lang w:val="pl-PL"/>
        </w:rPr>
        <w:t xml:space="preserve">– ceny </w:t>
      </w:r>
      <w:r w:rsidR="00FF37BB" w:rsidRPr="00F50D4C">
        <w:rPr>
          <w:lang w:val="pl-PL"/>
        </w:rPr>
        <w:t xml:space="preserve">obowiązujące </w:t>
      </w:r>
      <w:r w:rsidR="00F22F33" w:rsidRPr="00F50D4C">
        <w:rPr>
          <w:lang w:val="pl-PL"/>
        </w:rPr>
        <w:t xml:space="preserve">na </w:t>
      </w:r>
      <w:r w:rsidR="00FF37BB" w:rsidRPr="00F50D4C">
        <w:rPr>
          <w:lang w:val="pl-PL"/>
        </w:rPr>
        <w:t xml:space="preserve">koniec roku </w:t>
      </w:r>
      <w:r w:rsidR="005B24B6" w:rsidRPr="00F50D4C">
        <w:rPr>
          <w:lang w:val="pl-PL"/>
        </w:rPr>
        <w:t>2013</w:t>
      </w:r>
      <w:r w:rsidR="00FF37BB" w:rsidRPr="00F50D4C">
        <w:rPr>
          <w:lang w:val="pl-PL"/>
        </w:rPr>
        <w:t xml:space="preserve"> </w:t>
      </w:r>
      <w:r w:rsidRPr="00F50D4C">
        <w:rPr>
          <w:lang w:val="pl-PL"/>
        </w:rPr>
        <w:t xml:space="preserve">dostępne na dzień kalkulacji (wprowadzania danych do modelu) w roku </w:t>
      </w:r>
      <w:r w:rsidR="0035377F" w:rsidRPr="00F50D4C">
        <w:rPr>
          <w:lang w:val="pl-PL"/>
        </w:rPr>
        <w:t>201</w:t>
      </w:r>
      <w:r w:rsidR="001608F1" w:rsidRPr="00F50D4C">
        <w:rPr>
          <w:lang w:val="pl-PL"/>
        </w:rPr>
        <w:t>4</w:t>
      </w:r>
      <w:r w:rsidR="002D67C9" w:rsidRPr="00F50D4C">
        <w:rPr>
          <w:lang w:val="pl-PL"/>
        </w:rPr>
        <w:t>;</w:t>
      </w:r>
      <w:r w:rsidR="00646783"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2013</w:t>
      </w:r>
      <w:r w:rsidR="00C22512" w:rsidRPr="00F50D4C">
        <w:rPr>
          <w:lang w:val="pl-PL"/>
        </w:rPr>
        <w:t>,</w:t>
      </w:r>
      <w:r w:rsidR="005A0C55" w:rsidRPr="00F50D4C">
        <w:rPr>
          <w:lang w:val="pl-PL"/>
        </w:rPr>
        <w:t xml:space="preserve"> obliczone zgodnie z metodologią opisaną w pkt. 3 poniżej,</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K</w:t>
      </w:r>
      <w:r w:rsidR="00307BC2" w:rsidRPr="00F50D4C">
        <w:rPr>
          <w:b/>
          <w:vertAlign w:val="subscript"/>
          <w:lang w:val="pl-PL"/>
        </w:rPr>
        <w:t>0</w:t>
      </w:r>
      <w:r w:rsidR="001608F1" w:rsidRPr="00F50D4C">
        <w:rPr>
          <w:b/>
          <w:vertAlign w:val="subscript"/>
          <w:lang w:val="pl-PL"/>
        </w:rPr>
        <w:t>9</w:t>
      </w:r>
      <w:r w:rsidR="00307BC2" w:rsidRPr="00F50D4C">
        <w:rPr>
          <w:b/>
          <w:vertAlign w:val="subscript"/>
          <w:lang w:val="pl-PL"/>
        </w:rPr>
        <w:t>-1</w:t>
      </w:r>
      <w:r w:rsidR="001608F1" w:rsidRPr="00F50D4C">
        <w:rPr>
          <w:b/>
          <w:vertAlign w:val="subscript"/>
          <w:lang w:val="pl-PL"/>
        </w:rPr>
        <w:t>3</w:t>
      </w:r>
      <w:r w:rsidRPr="00F50D4C">
        <w:rPr>
          <w:lang w:val="pl-PL"/>
        </w:rPr>
        <w:tab/>
        <w:t xml:space="preserve">– średnia arytmetyczna dziennych kursów walut obcych z tabel NBP obowiązujących w </w:t>
      </w:r>
      <w:r w:rsidR="00903FBF" w:rsidRPr="00F50D4C">
        <w:rPr>
          <w:lang w:val="pl-PL"/>
        </w:rPr>
        <w:t>okresie od 1 stycznia 200</w:t>
      </w:r>
      <w:r w:rsidR="001608F1" w:rsidRPr="00F50D4C">
        <w:rPr>
          <w:lang w:val="pl-PL"/>
        </w:rPr>
        <w:t>9</w:t>
      </w:r>
      <w:r w:rsidR="00903FBF" w:rsidRPr="00F50D4C">
        <w:rPr>
          <w:lang w:val="pl-PL"/>
        </w:rPr>
        <w:t xml:space="preserve"> roku do 31 grudnia </w:t>
      </w:r>
      <w:r w:rsidR="005B24B6" w:rsidRPr="00F50D4C">
        <w:rPr>
          <w:lang w:val="pl-PL"/>
        </w:rPr>
        <w:t>2013</w:t>
      </w:r>
      <w:r w:rsidR="00903FBF" w:rsidRPr="00F50D4C">
        <w:rPr>
          <w:lang w:val="pl-PL"/>
        </w:rPr>
        <w:t xml:space="preserve"> roku</w:t>
      </w:r>
      <w:r w:rsidRPr="00F50D4C">
        <w:rPr>
          <w:lang w:val="pl-PL"/>
        </w:rPr>
        <w:t>.</w:t>
      </w:r>
    </w:p>
    <w:p w:rsidR="0014356E" w:rsidRPr="00F50D4C" w:rsidRDefault="0014356E" w:rsidP="00EB6C89">
      <w:pPr>
        <w:tabs>
          <w:tab w:val="clear" w:pos="567"/>
          <w:tab w:val="left" w:pos="1080"/>
        </w:tabs>
        <w:spacing w:before="120" w:line="240" w:lineRule="auto"/>
        <w:rPr>
          <w:lang w:val="pl-PL"/>
        </w:rPr>
      </w:pPr>
    </w:p>
    <w:p w:rsidR="0014356E" w:rsidRPr="00F50D4C" w:rsidRDefault="0014356E" w:rsidP="00EB6C89">
      <w:pPr>
        <w:tabs>
          <w:tab w:val="clear" w:pos="567"/>
          <w:tab w:val="left" w:pos="180"/>
        </w:tabs>
        <w:spacing w:before="120" w:line="240" w:lineRule="auto"/>
        <w:rPr>
          <w:lang w:val="pl-PL"/>
        </w:rPr>
      </w:pPr>
      <w:r w:rsidRPr="00F50D4C">
        <w:rPr>
          <w:lang w:val="pl-PL"/>
        </w:rPr>
        <w:t>Kalkulacja rocznego odpisu amortyzacyjnego w cenach bieżących (AB</w:t>
      </w:r>
      <w:r w:rsidRPr="00F50D4C">
        <w:rPr>
          <w:vertAlign w:val="subscript"/>
          <w:lang w:val="pl-PL"/>
        </w:rPr>
        <w:t>1</w:t>
      </w:r>
      <w:r w:rsidR="001608F1" w:rsidRPr="00F50D4C">
        <w:rPr>
          <w:vertAlign w:val="subscript"/>
          <w:lang w:val="pl-PL"/>
        </w:rPr>
        <w:t>5</w:t>
      </w:r>
      <w:r w:rsidR="000944A9" w:rsidRPr="00F50D4C">
        <w:rPr>
          <w:lang w:val="pl-PL"/>
        </w:rPr>
        <w:t xml:space="preserve">) dla danej grupy </w:t>
      </w:r>
      <w:r w:rsidRPr="00F50D4C">
        <w:rPr>
          <w:lang w:val="pl-PL"/>
        </w:rPr>
        <w:t>środków trwałych i wartości niemate</w:t>
      </w:r>
      <w:r w:rsidR="000944A9" w:rsidRPr="00F50D4C">
        <w:rPr>
          <w:lang w:val="pl-PL"/>
        </w:rPr>
        <w:t xml:space="preserve">rialnych i prawnych oparta jest o skalkulowaną podczas </w:t>
      </w:r>
      <w:r w:rsidRPr="00F50D4C">
        <w:rPr>
          <w:lang w:val="pl-PL"/>
        </w:rPr>
        <w:t>przeszacowania średnioroczną wartość bieżącą brutto (SWBB’</w:t>
      </w:r>
      <w:r w:rsidRPr="00F50D4C">
        <w:rPr>
          <w:vertAlign w:val="subscript"/>
          <w:lang w:val="pl-PL"/>
        </w:rPr>
        <w:t>1</w:t>
      </w:r>
      <w:r w:rsidR="001608F1" w:rsidRPr="00F50D4C">
        <w:rPr>
          <w:vertAlign w:val="subscript"/>
          <w:lang w:val="pl-PL"/>
        </w:rPr>
        <w:t>5</w:t>
      </w:r>
      <w:r w:rsidR="000944A9" w:rsidRPr="00F50D4C">
        <w:rPr>
          <w:lang w:val="pl-PL"/>
        </w:rPr>
        <w:t xml:space="preserve">) oraz efektywną stawkę </w:t>
      </w:r>
      <w:r w:rsidRPr="00F50D4C">
        <w:rPr>
          <w:lang w:val="pl-PL"/>
        </w:rPr>
        <w:t xml:space="preserve">amortyzacji </w:t>
      </w:r>
      <w:r w:rsidR="000944A9" w:rsidRPr="00F50D4C">
        <w:rPr>
          <w:lang w:val="pl-PL"/>
        </w:rPr>
        <w:t xml:space="preserve">w danej grupie środków trwałych </w:t>
      </w:r>
      <w:r w:rsidRPr="00F50D4C">
        <w:rPr>
          <w:lang w:val="pl-PL"/>
        </w:rPr>
        <w:t>i wartości niem</w:t>
      </w:r>
      <w:r w:rsidR="000944A9" w:rsidRPr="00F50D4C">
        <w:rPr>
          <w:lang w:val="pl-PL"/>
        </w:rPr>
        <w:t xml:space="preserve">aterialnych i prawnych ustaloną </w:t>
      </w:r>
      <w:r w:rsidRPr="00F50D4C">
        <w:rPr>
          <w:lang w:val="pl-PL"/>
        </w:rPr>
        <w:t xml:space="preserve">na podstawie ksiąg rachunkowych </w:t>
      </w:r>
      <w:r w:rsidR="00436F44" w:rsidRPr="00F50D4C">
        <w:rPr>
          <w:lang w:val="pl-PL"/>
        </w:rPr>
        <w:t>OPL</w:t>
      </w:r>
      <w:r w:rsidRPr="00F50D4C">
        <w:rPr>
          <w:lang w:val="pl-PL"/>
        </w:rPr>
        <w:t>, prowadzo</w:t>
      </w:r>
      <w:r w:rsidR="000944A9" w:rsidRPr="00F50D4C">
        <w:rPr>
          <w:lang w:val="pl-PL"/>
        </w:rPr>
        <w:t xml:space="preserve">nych zgodnie z Międzynarodowymi </w:t>
      </w:r>
      <w:r w:rsidRPr="00F50D4C">
        <w:rPr>
          <w:lang w:val="pl-PL"/>
        </w:rPr>
        <w:t>Standardami Sprawozdawczości Finansowej.</w:t>
      </w:r>
    </w:p>
    <w:p w:rsidR="0014356E" w:rsidRPr="00F50D4C" w:rsidRDefault="0014356E" w:rsidP="00EB6C89">
      <w:pPr>
        <w:tabs>
          <w:tab w:val="clear" w:pos="567"/>
          <w:tab w:val="left" w:pos="180"/>
        </w:tabs>
        <w:spacing w:before="120" w:line="240" w:lineRule="auto"/>
        <w:rPr>
          <w:lang w:val="pl-PL"/>
        </w:rPr>
      </w:pPr>
    </w:p>
    <w:p w:rsidR="0014356E" w:rsidRPr="00F50D4C" w:rsidRDefault="0014356E" w:rsidP="00EB6C89">
      <w:pPr>
        <w:tabs>
          <w:tab w:val="clear" w:pos="567"/>
          <w:tab w:val="left" w:pos="1080"/>
        </w:tabs>
        <w:spacing w:before="120" w:line="240" w:lineRule="auto"/>
        <w:rPr>
          <w:lang w:val="pl-PL"/>
        </w:rPr>
      </w:pPr>
      <w:r w:rsidRPr="00F50D4C">
        <w:rPr>
          <w:b/>
          <w:lang w:val="pl-PL"/>
        </w:rPr>
        <w:t>Amortyzacja bieżąca</w:t>
      </w:r>
      <w:r w:rsidRPr="00F50D4C">
        <w:rPr>
          <w:lang w:val="pl-PL"/>
        </w:rPr>
        <w:t xml:space="preserve"> wyznaczana jest następującymi wzorami:</w:t>
      </w:r>
    </w:p>
    <w:p w:rsidR="00134ACB" w:rsidRPr="00F50D4C" w:rsidRDefault="008C2316" w:rsidP="00EB6C89">
      <w:pPr>
        <w:tabs>
          <w:tab w:val="clear" w:pos="567"/>
          <w:tab w:val="left" w:pos="1080"/>
        </w:tabs>
        <w:spacing w:before="120" w:line="240" w:lineRule="auto"/>
        <w:jc w:val="center"/>
        <w:rPr>
          <w:lang w:val="pl-PL"/>
        </w:rPr>
      </w:pPr>
      <w:r w:rsidRPr="00F50D4C">
        <w:rPr>
          <w:position w:val="-12"/>
        </w:rPr>
        <w:object w:dxaOrig="2320" w:dyaOrig="360">
          <v:shape id="_x0000_i1034" type="#_x0000_t75" style="width:161.25pt;height:24pt" o:ole="">
            <v:imagedata r:id="rId27" o:title=""/>
          </v:shape>
          <o:OLEObject Type="Embed" ProgID="Equation.3" ShapeID="_x0000_i1034" DrawAspect="Content" ObjectID="_1457949413" r:id="rId28"/>
        </w:object>
      </w:r>
    </w:p>
    <w:p w:rsidR="0014356E" w:rsidRPr="00F50D4C" w:rsidRDefault="0014356E" w:rsidP="00EB6C89">
      <w:pPr>
        <w:tabs>
          <w:tab w:val="clear" w:pos="567"/>
          <w:tab w:val="left" w:pos="1080"/>
        </w:tabs>
        <w:spacing w:before="120" w:line="240" w:lineRule="auto"/>
        <w:rPr>
          <w:lang w:val="pl-PL"/>
        </w:rPr>
      </w:pPr>
      <w:r w:rsidRPr="00F50D4C">
        <w:rPr>
          <w:lang w:val="pl-PL"/>
        </w:rPr>
        <w:lastRenderedPageBreak/>
        <w:t>gdzie:</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AB</w:t>
      </w:r>
      <w:r w:rsidR="00F767AF" w:rsidRPr="00F50D4C">
        <w:rPr>
          <w:b/>
          <w:vertAlign w:val="subscript"/>
          <w:lang w:val="pl-PL"/>
        </w:rPr>
        <w:t>1</w:t>
      </w:r>
      <w:r w:rsidR="008C2316" w:rsidRPr="00F50D4C">
        <w:rPr>
          <w:b/>
          <w:vertAlign w:val="subscript"/>
          <w:lang w:val="pl-PL"/>
        </w:rPr>
        <w:t>5</w:t>
      </w:r>
      <w:r w:rsidRPr="00F50D4C">
        <w:rPr>
          <w:lang w:val="pl-PL"/>
        </w:rPr>
        <w:tab/>
        <w:t xml:space="preserve">– bieżący odpis amortyzacyjny danej grupy środków trwałych i wartości niematerialnych i prawnych na rok </w:t>
      </w:r>
      <w:r w:rsidR="005B24B6" w:rsidRPr="00F50D4C">
        <w:rPr>
          <w:lang w:val="pl-PL"/>
        </w:rPr>
        <w:t>2015</w:t>
      </w:r>
      <w:r w:rsidRPr="00F50D4C">
        <w:rPr>
          <w:lang w:val="pl-PL"/>
        </w:rPr>
        <w:t>,</w:t>
      </w:r>
      <w:r w:rsidR="000B207E" w:rsidRPr="00F50D4C">
        <w:rPr>
          <w:lang w:val="pl-PL"/>
        </w:rPr>
        <w:t xml:space="preserve"> </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SWBB’</w:t>
      </w:r>
      <w:r w:rsidR="00F767AF" w:rsidRPr="00F50D4C">
        <w:rPr>
          <w:b/>
          <w:vertAlign w:val="subscript"/>
          <w:lang w:val="pl-PL"/>
        </w:rPr>
        <w:t>1</w:t>
      </w:r>
      <w:r w:rsidR="008C2316" w:rsidRPr="00F50D4C">
        <w:rPr>
          <w:b/>
          <w:vertAlign w:val="subscript"/>
          <w:lang w:val="pl-PL"/>
        </w:rPr>
        <w:t>5</w:t>
      </w:r>
      <w:r w:rsidRPr="00F50D4C">
        <w:rPr>
          <w:lang w:val="pl-PL"/>
        </w:rPr>
        <w:tab/>
        <w:t>– średnioroczna wartość bieżąca brutto danej grupy środków trwałych</w:t>
      </w:r>
      <w:r w:rsidRPr="00F50D4C">
        <w:rPr>
          <w:lang w:val="pl-PL"/>
        </w:rPr>
        <w:br/>
        <w:t xml:space="preserve">i wartości niematerialnych i prawnych na potrzeby kalkulacji odpisu amortyzacyjnego na rok </w:t>
      </w:r>
      <w:r w:rsidR="005B24B6" w:rsidRPr="00F50D4C">
        <w:rPr>
          <w:lang w:val="pl-PL"/>
        </w:rPr>
        <w:t>2015</w:t>
      </w:r>
      <w:r w:rsidRPr="00F50D4C">
        <w:rPr>
          <w:lang w:val="pl-PL"/>
        </w:rPr>
        <w:t>,</w:t>
      </w:r>
      <w:r w:rsidR="000B207E" w:rsidRPr="00F50D4C">
        <w:rPr>
          <w:lang w:val="pl-PL"/>
        </w:rPr>
        <w:t xml:space="preserve"> </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ESA</w:t>
      </w:r>
      <w:r w:rsidR="00F767AF" w:rsidRPr="00F50D4C">
        <w:rPr>
          <w:b/>
          <w:vertAlign w:val="subscript"/>
          <w:lang w:val="pl-PL"/>
        </w:rPr>
        <w:t>1</w:t>
      </w:r>
      <w:r w:rsidR="008C2316" w:rsidRPr="00F50D4C">
        <w:rPr>
          <w:b/>
          <w:vertAlign w:val="subscript"/>
          <w:lang w:val="pl-PL"/>
        </w:rPr>
        <w:t>5</w:t>
      </w:r>
      <w:r w:rsidRPr="00F50D4C">
        <w:rPr>
          <w:lang w:val="pl-PL"/>
        </w:rPr>
        <w:tab/>
        <w:t>– efektywna stawka amortyzacji danej grupy środków trwałych</w:t>
      </w:r>
      <w:r w:rsidRPr="00F50D4C">
        <w:rPr>
          <w:lang w:val="pl-PL"/>
        </w:rPr>
        <w:br/>
        <w:t>i wartości niematerialnych i prawnych do kalkul</w:t>
      </w:r>
      <w:r w:rsidR="000B207E" w:rsidRPr="00F50D4C">
        <w:rPr>
          <w:lang w:val="pl-PL"/>
        </w:rPr>
        <w:t xml:space="preserve">acji kosztów amortyzacji na rok </w:t>
      </w:r>
      <w:r w:rsidR="005B24B6" w:rsidRPr="00F50D4C">
        <w:rPr>
          <w:lang w:val="pl-PL"/>
        </w:rPr>
        <w:t>2015</w:t>
      </w:r>
      <w:r w:rsidRPr="00F50D4C">
        <w:rPr>
          <w:lang w:val="pl-PL"/>
        </w:rPr>
        <w:t>.</w:t>
      </w:r>
      <w:r w:rsidR="000B207E" w:rsidRPr="00F50D4C">
        <w:rPr>
          <w:lang w:val="pl-PL"/>
        </w:rPr>
        <w:t xml:space="preserve"> </w:t>
      </w:r>
    </w:p>
    <w:p w:rsidR="0014356E" w:rsidRPr="00F50D4C" w:rsidRDefault="0014356E" w:rsidP="00EB6C89">
      <w:pPr>
        <w:tabs>
          <w:tab w:val="clear" w:pos="567"/>
          <w:tab w:val="left" w:pos="1080"/>
        </w:tabs>
        <w:spacing w:before="120" w:line="240" w:lineRule="auto"/>
        <w:rPr>
          <w:lang w:val="pl-PL"/>
        </w:rPr>
      </w:pPr>
    </w:p>
    <w:p w:rsidR="0014356E" w:rsidRPr="00F50D4C" w:rsidRDefault="0014356E" w:rsidP="00EB6C89">
      <w:pPr>
        <w:tabs>
          <w:tab w:val="clear" w:pos="567"/>
          <w:tab w:val="left" w:pos="1080"/>
        </w:tabs>
        <w:spacing w:before="120" w:line="240" w:lineRule="auto"/>
        <w:rPr>
          <w:lang w:val="pl-PL"/>
        </w:rPr>
      </w:pPr>
      <w:r w:rsidRPr="00F50D4C">
        <w:rPr>
          <w:b/>
          <w:lang w:val="pl-PL"/>
        </w:rPr>
        <w:t>Efektywna stawka amortyzacji</w:t>
      </w:r>
      <w:r w:rsidRPr="00F50D4C">
        <w:rPr>
          <w:lang w:val="pl-PL"/>
        </w:rPr>
        <w:t xml:space="preserve"> wyraża się wzorem:</w:t>
      </w:r>
    </w:p>
    <w:p w:rsidR="00E85323" w:rsidRPr="00F50D4C" w:rsidRDefault="008C2316" w:rsidP="00EB6C89">
      <w:pPr>
        <w:tabs>
          <w:tab w:val="clear" w:pos="567"/>
          <w:tab w:val="left" w:pos="1080"/>
        </w:tabs>
        <w:spacing w:before="120" w:line="240" w:lineRule="auto"/>
        <w:jc w:val="center"/>
        <w:rPr>
          <w:lang w:val="pl-PL"/>
        </w:rPr>
      </w:pPr>
      <w:r w:rsidRPr="00F50D4C">
        <w:rPr>
          <w:position w:val="-30"/>
        </w:rPr>
        <w:object w:dxaOrig="1560" w:dyaOrig="700">
          <v:shape id="_x0000_i1035" type="#_x0000_t75" style="width:108.75pt;height:48pt" o:ole="">
            <v:imagedata r:id="rId29" o:title=""/>
          </v:shape>
          <o:OLEObject Type="Embed" ProgID="Equation.3" ShapeID="_x0000_i1035" DrawAspect="Content" ObjectID="_1457949414" r:id="rId30"/>
        </w:object>
      </w:r>
    </w:p>
    <w:p w:rsidR="0014356E" w:rsidRPr="00F50D4C" w:rsidRDefault="0014356E" w:rsidP="00EB6C89">
      <w:pPr>
        <w:tabs>
          <w:tab w:val="clear" w:pos="567"/>
          <w:tab w:val="left" w:pos="1080"/>
        </w:tabs>
        <w:spacing w:before="120" w:line="240" w:lineRule="auto"/>
        <w:rPr>
          <w:lang w:val="pl-PL"/>
        </w:rPr>
      </w:pPr>
      <w:r w:rsidRPr="00F50D4C">
        <w:rPr>
          <w:lang w:val="pl-PL"/>
        </w:rPr>
        <w:t>gdzie:</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ESA</w:t>
      </w:r>
      <w:r w:rsidR="00F767AF" w:rsidRPr="00F50D4C">
        <w:rPr>
          <w:b/>
          <w:vertAlign w:val="subscript"/>
          <w:lang w:val="pl-PL"/>
        </w:rPr>
        <w:t>1</w:t>
      </w:r>
      <w:r w:rsidR="008C2316" w:rsidRPr="00F50D4C">
        <w:rPr>
          <w:b/>
          <w:vertAlign w:val="subscript"/>
          <w:lang w:val="pl-PL"/>
        </w:rPr>
        <w:t>5</w:t>
      </w:r>
      <w:r w:rsidRPr="00F50D4C">
        <w:rPr>
          <w:b/>
          <w:lang w:val="pl-PL"/>
        </w:rPr>
        <w:tab/>
      </w:r>
      <w:r w:rsidRPr="00F50D4C">
        <w:rPr>
          <w:lang w:val="pl-PL"/>
        </w:rPr>
        <w:t xml:space="preserve">– efektywna stawka amortyzacji danej grupy środków trwałych i wartości niematerialnych i prawnych do kalkulacji kosztów amortyzacji na rok </w:t>
      </w:r>
      <w:r w:rsidR="005B24B6" w:rsidRPr="00F50D4C">
        <w:rPr>
          <w:lang w:val="pl-PL"/>
        </w:rPr>
        <w:t>2015</w:t>
      </w:r>
      <w:r w:rsidRPr="00F50D4C">
        <w:rPr>
          <w:lang w:val="pl-PL"/>
        </w:rPr>
        <w:t>,</w:t>
      </w:r>
      <w:r w:rsidR="00E85323" w:rsidRPr="00F50D4C">
        <w:rPr>
          <w:lang w:val="pl-PL"/>
        </w:rPr>
        <w:t xml:space="preserve"> </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AH</w:t>
      </w:r>
      <w:r w:rsidR="008A6023" w:rsidRPr="00F50D4C">
        <w:rPr>
          <w:b/>
          <w:vertAlign w:val="subscript"/>
          <w:lang w:val="pl-PL"/>
        </w:rPr>
        <w:t>1</w:t>
      </w:r>
      <w:r w:rsidR="008C2316" w:rsidRPr="00F50D4C">
        <w:rPr>
          <w:b/>
          <w:vertAlign w:val="subscript"/>
          <w:lang w:val="pl-PL"/>
        </w:rPr>
        <w:t>3</w:t>
      </w:r>
      <w:r w:rsidRPr="00F50D4C">
        <w:rPr>
          <w:b/>
          <w:lang w:val="pl-PL"/>
        </w:rPr>
        <w:tab/>
      </w:r>
      <w:r w:rsidRPr="00F50D4C">
        <w:rPr>
          <w:lang w:val="pl-PL"/>
        </w:rPr>
        <w:t xml:space="preserve">– amortyzacja historyczna danej grupy środków trwałych i wartości niematerialnych i prawnych za rok </w:t>
      </w:r>
      <w:r w:rsidR="005B24B6" w:rsidRPr="00F50D4C">
        <w:rPr>
          <w:lang w:val="pl-PL"/>
        </w:rPr>
        <w:t>2013</w:t>
      </w:r>
      <w:r w:rsidRPr="00F50D4C">
        <w:rPr>
          <w:lang w:val="pl-PL"/>
        </w:rPr>
        <w:t>,</w:t>
      </w:r>
      <w:r w:rsidR="00E85323" w:rsidRPr="00F50D4C">
        <w:rPr>
          <w:lang w:val="pl-PL"/>
        </w:rPr>
        <w:t xml:space="preserve"> </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WKB</w:t>
      </w:r>
      <w:r w:rsidR="008A6023" w:rsidRPr="00F50D4C">
        <w:rPr>
          <w:b/>
          <w:vertAlign w:val="subscript"/>
          <w:lang w:val="pl-PL"/>
        </w:rPr>
        <w:t>1</w:t>
      </w:r>
      <w:r w:rsidR="008C2316" w:rsidRPr="00F50D4C">
        <w:rPr>
          <w:b/>
          <w:vertAlign w:val="subscript"/>
          <w:lang w:val="pl-PL"/>
        </w:rPr>
        <w:t>3</w:t>
      </w:r>
      <w:r w:rsidRPr="00F50D4C">
        <w:rPr>
          <w:lang w:val="pl-PL"/>
        </w:rPr>
        <w:t xml:space="preserve"> </w:t>
      </w:r>
      <w:r w:rsidRPr="00F50D4C">
        <w:rPr>
          <w:lang w:val="pl-PL"/>
        </w:rPr>
        <w:tab/>
        <w:t xml:space="preserve">– wartość księgowa brutto danej grupy środków trwałych i wartości niematerialnych i prawnych na dzień 31 grudnia </w:t>
      </w:r>
      <w:r w:rsidR="005B24B6" w:rsidRPr="00F50D4C">
        <w:rPr>
          <w:lang w:val="pl-PL"/>
        </w:rPr>
        <w:t>2013</w:t>
      </w:r>
      <w:r w:rsidRPr="00F50D4C">
        <w:rPr>
          <w:lang w:val="pl-PL"/>
        </w:rPr>
        <w:t xml:space="preserve"> roku.</w:t>
      </w:r>
      <w:r w:rsidR="00E85323" w:rsidRPr="00F50D4C">
        <w:rPr>
          <w:lang w:val="pl-PL"/>
        </w:rPr>
        <w:t xml:space="preserve"> </w:t>
      </w:r>
    </w:p>
    <w:p w:rsidR="0014356E" w:rsidRPr="00F50D4C" w:rsidRDefault="0014356E" w:rsidP="00EB6C89">
      <w:pPr>
        <w:tabs>
          <w:tab w:val="clear" w:pos="567"/>
          <w:tab w:val="left" w:pos="1080"/>
        </w:tabs>
        <w:spacing w:before="120" w:line="240" w:lineRule="auto"/>
        <w:jc w:val="left"/>
        <w:rPr>
          <w:lang w:val="pl-PL"/>
        </w:rPr>
      </w:pPr>
    </w:p>
    <w:p w:rsidR="0014356E" w:rsidRPr="00F50D4C" w:rsidRDefault="0014356E" w:rsidP="00EB6C89">
      <w:pPr>
        <w:tabs>
          <w:tab w:val="clear" w:pos="567"/>
          <w:tab w:val="left" w:pos="1080"/>
        </w:tabs>
        <w:spacing w:before="120" w:line="240" w:lineRule="auto"/>
        <w:rPr>
          <w:lang w:val="pl-PL"/>
        </w:rPr>
      </w:pPr>
      <w:r w:rsidRPr="00F50D4C">
        <w:rPr>
          <w:lang w:val="pl-PL"/>
        </w:rPr>
        <w:t>W przypadku, gdy biegły rewident uzna, że zas</w:t>
      </w:r>
      <w:r w:rsidR="000944A9" w:rsidRPr="00F50D4C">
        <w:rPr>
          <w:lang w:val="pl-PL"/>
        </w:rPr>
        <w:t xml:space="preserve">tosowanie uproszczonego sposobu </w:t>
      </w:r>
      <w:r w:rsidRPr="00F50D4C">
        <w:rPr>
          <w:lang w:val="pl-PL"/>
        </w:rPr>
        <w:t>określania wartości netto aktywów (WKN/WKB)</w:t>
      </w:r>
      <w:r w:rsidR="000944A9" w:rsidRPr="00F50D4C">
        <w:rPr>
          <w:lang w:val="pl-PL"/>
        </w:rPr>
        <w:t xml:space="preserve"> może spowodować przekłamania </w:t>
      </w:r>
      <w:r w:rsidR="00073C78" w:rsidRPr="00F50D4C">
        <w:rPr>
          <w:lang w:val="pl-PL"/>
        </w:rPr>
        <w:br/>
      </w:r>
      <w:r w:rsidR="000944A9" w:rsidRPr="00F50D4C">
        <w:rPr>
          <w:lang w:val="pl-PL"/>
        </w:rPr>
        <w:t xml:space="preserve">w </w:t>
      </w:r>
      <w:r w:rsidRPr="00F50D4C">
        <w:rPr>
          <w:lang w:val="pl-PL"/>
        </w:rPr>
        <w:t>kalkulacji należy wykorzystać tzw. „metodę kroczącą”. Błędy mogą wystąpić,</w:t>
      </w:r>
      <w:r w:rsidR="000944A9" w:rsidRPr="00F50D4C">
        <w:rPr>
          <w:lang w:val="pl-PL"/>
        </w:rPr>
        <w:t xml:space="preserve"> </w:t>
      </w:r>
      <w:r w:rsidRPr="00F50D4C">
        <w:rPr>
          <w:lang w:val="pl-PL"/>
        </w:rPr>
        <w:t>w przypadku, gdy aktywa znajdujące się w danej grupie:</w:t>
      </w:r>
    </w:p>
    <w:p w:rsidR="0014356E" w:rsidRPr="00F50D4C" w:rsidRDefault="0014356E" w:rsidP="00EB6C89">
      <w:pPr>
        <w:numPr>
          <w:ilvl w:val="0"/>
          <w:numId w:val="42"/>
        </w:numPr>
        <w:tabs>
          <w:tab w:val="clear" w:pos="567"/>
          <w:tab w:val="num" w:pos="360"/>
        </w:tabs>
        <w:spacing w:before="120" w:line="240" w:lineRule="auto"/>
        <w:ind w:left="360"/>
        <w:jc w:val="left"/>
        <w:rPr>
          <w:lang w:val="pl-PL"/>
        </w:rPr>
      </w:pPr>
      <w:r w:rsidRPr="00F50D4C">
        <w:rPr>
          <w:lang w:val="pl-PL"/>
        </w:rPr>
        <w:t>charakteryzują się znaczącymi różnicami wartości księgowej brutto przy jednoczesnym długim okresie użytkowania;</w:t>
      </w:r>
    </w:p>
    <w:p w:rsidR="0014356E" w:rsidRPr="00F50D4C" w:rsidRDefault="0014356E" w:rsidP="00EB6C89">
      <w:pPr>
        <w:numPr>
          <w:ilvl w:val="0"/>
          <w:numId w:val="42"/>
        </w:numPr>
        <w:tabs>
          <w:tab w:val="clear" w:pos="567"/>
          <w:tab w:val="num" w:pos="360"/>
        </w:tabs>
        <w:spacing w:before="120" w:line="240" w:lineRule="auto"/>
        <w:ind w:left="360"/>
        <w:jc w:val="left"/>
        <w:rPr>
          <w:lang w:val="pl-PL"/>
        </w:rPr>
      </w:pPr>
      <w:r w:rsidRPr="00F50D4C">
        <w:rPr>
          <w:lang w:val="pl-PL"/>
        </w:rPr>
        <w:t xml:space="preserve">były budowane/nabywane w różnych okresach i charakteryzują się istotnymi różnicami </w:t>
      </w:r>
      <w:r w:rsidR="00073C78" w:rsidRPr="00F50D4C">
        <w:rPr>
          <w:lang w:val="pl-PL"/>
        </w:rPr>
        <w:br/>
      </w:r>
      <w:r w:rsidRPr="00F50D4C">
        <w:rPr>
          <w:lang w:val="pl-PL"/>
        </w:rPr>
        <w:t>w stopniu umorzenia;</w:t>
      </w:r>
    </w:p>
    <w:p w:rsidR="0014356E" w:rsidRPr="00F50D4C" w:rsidRDefault="0014356E" w:rsidP="00EB6C89">
      <w:pPr>
        <w:tabs>
          <w:tab w:val="clear" w:pos="567"/>
          <w:tab w:val="left" w:pos="1080"/>
        </w:tabs>
        <w:spacing w:before="120" w:line="240" w:lineRule="auto"/>
        <w:rPr>
          <w:lang w:val="pl-PL"/>
        </w:rPr>
      </w:pPr>
      <w:r w:rsidRPr="00F50D4C">
        <w:rPr>
          <w:lang w:val="pl-PL"/>
        </w:rPr>
        <w:t>albo nastąpiły stosunkowo niewielkie w stosunku do całej wartości ulepszenia środka trwałego, który w księgach wykazywany jest w wartościach historycznych, powodujące znaczący wzrost wartości tego środka trwałego.</w:t>
      </w:r>
    </w:p>
    <w:p w:rsidR="00FE74D2" w:rsidRPr="00F50D4C" w:rsidRDefault="008C2316" w:rsidP="00EB6C89">
      <w:pPr>
        <w:tabs>
          <w:tab w:val="clear" w:pos="567"/>
          <w:tab w:val="left" w:pos="1080"/>
        </w:tabs>
        <w:spacing w:before="120" w:line="240" w:lineRule="auto"/>
        <w:jc w:val="center"/>
        <w:rPr>
          <w:lang w:val="pl-PL"/>
        </w:rPr>
      </w:pPr>
      <w:r w:rsidRPr="00F50D4C">
        <w:rPr>
          <w:position w:val="-30"/>
        </w:rPr>
        <w:object w:dxaOrig="2340" w:dyaOrig="700">
          <v:shape id="_x0000_i1036" type="#_x0000_t75" style="width:162.75pt;height:48pt" o:ole="">
            <v:imagedata r:id="rId31" o:title=""/>
          </v:shape>
          <o:OLEObject Type="Embed" ProgID="Equation.3" ShapeID="_x0000_i1036" DrawAspect="Content" ObjectID="_1457949415" r:id="rId32"/>
        </w:object>
      </w:r>
    </w:p>
    <w:p w:rsidR="00FE74D2" w:rsidRPr="00F50D4C" w:rsidRDefault="008C2316" w:rsidP="00EB6C89">
      <w:pPr>
        <w:tabs>
          <w:tab w:val="clear" w:pos="567"/>
          <w:tab w:val="left" w:pos="1080"/>
        </w:tabs>
        <w:spacing w:before="120" w:line="240" w:lineRule="auto"/>
        <w:jc w:val="center"/>
        <w:rPr>
          <w:lang w:val="pl-PL"/>
        </w:rPr>
      </w:pPr>
      <w:r w:rsidRPr="00F50D4C">
        <w:rPr>
          <w:position w:val="-12"/>
        </w:rPr>
        <w:object w:dxaOrig="2840" w:dyaOrig="360">
          <v:shape id="_x0000_i1037" type="#_x0000_t75" style="width:197.25pt;height:24pt" o:ole="">
            <v:imagedata r:id="rId33" o:title=""/>
          </v:shape>
          <o:OLEObject Type="Embed" ProgID="Equation.3" ShapeID="_x0000_i1037" DrawAspect="Content" ObjectID="_1457949416" r:id="rId34"/>
        </w:object>
      </w:r>
    </w:p>
    <w:p w:rsidR="0014356E" w:rsidRPr="00F50D4C" w:rsidRDefault="0014356E" w:rsidP="00EB6C89">
      <w:pPr>
        <w:tabs>
          <w:tab w:val="clear" w:pos="567"/>
          <w:tab w:val="left" w:pos="1080"/>
        </w:tabs>
        <w:spacing w:before="120" w:line="240" w:lineRule="auto"/>
        <w:rPr>
          <w:lang w:val="pl-PL"/>
        </w:rPr>
      </w:pPr>
      <w:r w:rsidRPr="00F50D4C">
        <w:rPr>
          <w:lang w:val="pl-PL"/>
        </w:rPr>
        <w:t>gdzie:</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AB</w:t>
      </w:r>
      <w:r w:rsidR="00F767AF" w:rsidRPr="00F50D4C">
        <w:rPr>
          <w:b/>
          <w:vertAlign w:val="subscript"/>
          <w:lang w:val="pl-PL"/>
        </w:rPr>
        <w:t>1</w:t>
      </w:r>
      <w:r w:rsidR="008C2316" w:rsidRPr="00F50D4C">
        <w:rPr>
          <w:b/>
          <w:vertAlign w:val="subscript"/>
          <w:lang w:val="pl-PL"/>
        </w:rPr>
        <w:t>5</w:t>
      </w:r>
      <w:r w:rsidRPr="00F50D4C">
        <w:rPr>
          <w:lang w:val="pl-PL"/>
        </w:rPr>
        <w:tab/>
        <w:t xml:space="preserve">– bieżący odpis amortyzacyjny danej grupy środków trwałych i wartości niematerialnych i prawnych na rok </w:t>
      </w:r>
      <w:r w:rsidR="005B24B6" w:rsidRPr="00F50D4C">
        <w:rPr>
          <w:lang w:val="pl-PL"/>
        </w:rPr>
        <w:t>2015</w:t>
      </w:r>
      <w:r w:rsidRPr="00F50D4C">
        <w:rPr>
          <w:lang w:val="pl-PL"/>
        </w:rPr>
        <w:t>,</w:t>
      </w:r>
      <w:r w:rsidR="00E238C2" w:rsidRPr="00F50D4C">
        <w:rPr>
          <w:lang w:val="pl-PL"/>
        </w:rPr>
        <w:t xml:space="preserve"> </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AH</w:t>
      </w:r>
      <w:r w:rsidR="00551F46" w:rsidRPr="00F50D4C">
        <w:rPr>
          <w:b/>
          <w:vertAlign w:val="subscript"/>
          <w:lang w:val="pl-PL"/>
        </w:rPr>
        <w:t>1</w:t>
      </w:r>
      <w:r w:rsidR="008C2316" w:rsidRPr="00F50D4C">
        <w:rPr>
          <w:b/>
          <w:vertAlign w:val="subscript"/>
          <w:lang w:val="pl-PL"/>
        </w:rPr>
        <w:t>3</w:t>
      </w:r>
      <w:r w:rsidRPr="00F50D4C">
        <w:rPr>
          <w:b/>
          <w:lang w:val="pl-PL"/>
        </w:rPr>
        <w:tab/>
      </w:r>
      <w:r w:rsidRPr="00F50D4C">
        <w:rPr>
          <w:lang w:val="pl-PL"/>
        </w:rPr>
        <w:t xml:space="preserve">– amortyzacja historyczna danej grupy środków trwałych i wartości niematerialnych i prawnych za rok </w:t>
      </w:r>
      <w:r w:rsidR="005B24B6" w:rsidRPr="00F50D4C">
        <w:rPr>
          <w:lang w:val="pl-PL"/>
        </w:rPr>
        <w:t>2013</w:t>
      </w:r>
      <w:r w:rsidRPr="00F50D4C">
        <w:rPr>
          <w:lang w:val="pl-PL"/>
        </w:rPr>
        <w:t>,</w:t>
      </w:r>
      <w:r w:rsidR="00E238C2" w:rsidRPr="00F50D4C">
        <w:rPr>
          <w:lang w:val="pl-PL"/>
        </w:rPr>
        <w:t xml:space="preserve"> </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lastRenderedPageBreak/>
        <w:t>W</w:t>
      </w:r>
      <w:r w:rsidR="00551F46" w:rsidRPr="00F50D4C">
        <w:rPr>
          <w:b/>
          <w:vertAlign w:val="subscript"/>
          <w:lang w:val="pl-PL"/>
        </w:rPr>
        <w:t>1</w:t>
      </w:r>
      <w:r w:rsidR="008C2316" w:rsidRPr="00F50D4C">
        <w:rPr>
          <w:b/>
          <w:vertAlign w:val="subscript"/>
          <w:lang w:val="pl-PL"/>
        </w:rPr>
        <w:t>3</w:t>
      </w:r>
      <w:r w:rsidRPr="00F50D4C">
        <w:rPr>
          <w:lang w:val="pl-PL"/>
        </w:rPr>
        <w:tab/>
        <w:t>– wolumen danej grupy środków trwałych i wartości niematerialnych</w:t>
      </w:r>
      <w:r w:rsidRPr="00F50D4C">
        <w:rPr>
          <w:lang w:val="pl-PL"/>
        </w:rPr>
        <w:br/>
        <w:t xml:space="preserve">i prawnych użytkowanych na dzień 31 grudnia </w:t>
      </w:r>
      <w:r w:rsidR="005B24B6" w:rsidRPr="00F50D4C">
        <w:rPr>
          <w:lang w:val="pl-PL"/>
        </w:rPr>
        <w:t>2013</w:t>
      </w:r>
      <w:r w:rsidRPr="00F50D4C">
        <w:rPr>
          <w:lang w:val="pl-PL"/>
        </w:rPr>
        <w:t xml:space="preserve"> roku,</w:t>
      </w:r>
      <w:r w:rsidR="00E238C2" w:rsidRPr="00F50D4C">
        <w:rPr>
          <w:lang w:val="pl-PL"/>
        </w:rPr>
        <w:t xml:space="preserve"> </w:t>
      </w:r>
    </w:p>
    <w:p w:rsidR="0014356E" w:rsidRPr="00F50D4C" w:rsidRDefault="0014356E" w:rsidP="00EB6C89">
      <w:pPr>
        <w:tabs>
          <w:tab w:val="clear" w:pos="567"/>
          <w:tab w:val="left" w:pos="1080"/>
          <w:tab w:val="left" w:pos="2160"/>
        </w:tabs>
        <w:spacing w:before="120" w:line="240" w:lineRule="auto"/>
        <w:ind w:left="1080" w:hanging="1080"/>
        <w:rPr>
          <w:lang w:val="pl-PL"/>
        </w:rPr>
      </w:pPr>
      <w:r w:rsidRPr="00F50D4C">
        <w:rPr>
          <w:b/>
          <w:lang w:val="pl-PL"/>
        </w:rPr>
        <w:t>C</w:t>
      </w:r>
      <w:r w:rsidR="009E1B78" w:rsidRPr="00F50D4C">
        <w:rPr>
          <w:b/>
          <w:vertAlign w:val="subscript"/>
          <w:lang w:val="pl-PL"/>
        </w:rPr>
        <w:t>1</w:t>
      </w:r>
      <w:r w:rsidR="008C2316" w:rsidRPr="00F50D4C">
        <w:rPr>
          <w:b/>
          <w:vertAlign w:val="subscript"/>
          <w:lang w:val="pl-PL"/>
        </w:rPr>
        <w:t>3</w:t>
      </w:r>
      <w:r w:rsidRPr="00F50D4C">
        <w:rPr>
          <w:lang w:val="pl-PL"/>
        </w:rPr>
        <w:tab/>
        <w:t xml:space="preserve">– ceny </w:t>
      </w:r>
      <w:r w:rsidR="00515136" w:rsidRPr="00F50D4C">
        <w:rPr>
          <w:lang w:val="pl-PL"/>
        </w:rPr>
        <w:t xml:space="preserve">obowiązujące </w:t>
      </w:r>
      <w:r w:rsidR="00F22F33" w:rsidRPr="00F50D4C">
        <w:rPr>
          <w:lang w:val="pl-PL"/>
        </w:rPr>
        <w:t xml:space="preserve">na </w:t>
      </w:r>
      <w:r w:rsidR="00515136" w:rsidRPr="00F50D4C">
        <w:rPr>
          <w:lang w:val="pl-PL"/>
        </w:rPr>
        <w:t xml:space="preserve">koniec roku </w:t>
      </w:r>
      <w:r w:rsidR="005B24B6" w:rsidRPr="00F50D4C">
        <w:rPr>
          <w:lang w:val="pl-PL"/>
        </w:rPr>
        <w:t>2013</w:t>
      </w:r>
      <w:r w:rsidR="00733332" w:rsidRPr="00F50D4C">
        <w:rPr>
          <w:lang w:val="pl-PL"/>
        </w:rPr>
        <w:t xml:space="preserve"> </w:t>
      </w:r>
      <w:r w:rsidRPr="00F50D4C">
        <w:rPr>
          <w:lang w:val="pl-PL"/>
        </w:rPr>
        <w:t>dostępne na dzień kalkulacji (wprowadzania danych do modelu) w roku</w:t>
      </w:r>
      <w:r w:rsidR="008C2316" w:rsidRPr="00F50D4C">
        <w:rPr>
          <w:lang w:val="pl-PL"/>
        </w:rPr>
        <w:t>2014</w:t>
      </w:r>
      <w:r w:rsidR="000266AD" w:rsidRPr="00F50D4C">
        <w:rPr>
          <w:lang w:val="pl-PL"/>
        </w:rPr>
        <w:t>;</w:t>
      </w:r>
      <w:r w:rsidR="00E238C2"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2013</w:t>
      </w:r>
      <w:r w:rsidR="00C22512" w:rsidRPr="00F50D4C">
        <w:rPr>
          <w:lang w:val="pl-PL"/>
        </w:rPr>
        <w:t>,</w:t>
      </w:r>
      <w:r w:rsidR="005A0C55" w:rsidRPr="00F50D4C">
        <w:rPr>
          <w:lang w:val="pl-PL"/>
        </w:rPr>
        <w:t xml:space="preserve"> obliczone zgodnie z metodologią opisaną w pkt. 3 poniżej,</w:t>
      </w:r>
    </w:p>
    <w:p w:rsidR="0014356E" w:rsidRPr="00F50D4C" w:rsidRDefault="00307BC2" w:rsidP="00EB6C89">
      <w:pPr>
        <w:tabs>
          <w:tab w:val="clear" w:pos="567"/>
          <w:tab w:val="left" w:pos="1080"/>
          <w:tab w:val="left" w:pos="2160"/>
        </w:tabs>
        <w:spacing w:before="120" w:line="240" w:lineRule="auto"/>
        <w:ind w:left="1080" w:hanging="1080"/>
        <w:rPr>
          <w:lang w:val="pl-PL"/>
        </w:rPr>
      </w:pPr>
      <w:r w:rsidRPr="00F50D4C">
        <w:rPr>
          <w:b/>
          <w:lang w:val="pl-PL"/>
        </w:rPr>
        <w:t>K</w:t>
      </w:r>
      <w:r w:rsidRPr="00F50D4C">
        <w:rPr>
          <w:b/>
          <w:vertAlign w:val="subscript"/>
          <w:lang w:val="pl-PL"/>
        </w:rPr>
        <w:t>0</w:t>
      </w:r>
      <w:r w:rsidR="008C2316" w:rsidRPr="00F50D4C">
        <w:rPr>
          <w:b/>
          <w:vertAlign w:val="subscript"/>
          <w:lang w:val="pl-PL"/>
        </w:rPr>
        <w:t>9</w:t>
      </w:r>
      <w:r w:rsidRPr="00F50D4C">
        <w:rPr>
          <w:b/>
          <w:vertAlign w:val="subscript"/>
          <w:lang w:val="pl-PL"/>
        </w:rPr>
        <w:t>-1</w:t>
      </w:r>
      <w:r w:rsidR="008C2316" w:rsidRPr="00F50D4C">
        <w:rPr>
          <w:b/>
          <w:vertAlign w:val="subscript"/>
          <w:lang w:val="pl-PL"/>
        </w:rPr>
        <w:t>3</w:t>
      </w:r>
      <w:r w:rsidR="0014356E" w:rsidRPr="00F50D4C">
        <w:rPr>
          <w:lang w:val="pl-PL"/>
        </w:rPr>
        <w:tab/>
        <w:t xml:space="preserve">– średnia arytmetyczna dziennych kursów walut obcych z tabel NBP obowiązujących w </w:t>
      </w:r>
      <w:r w:rsidR="00903FBF" w:rsidRPr="00F50D4C">
        <w:rPr>
          <w:lang w:val="pl-PL"/>
        </w:rPr>
        <w:t>okresie od 1 stycznia 200</w:t>
      </w:r>
      <w:r w:rsidR="008C2316" w:rsidRPr="00F50D4C">
        <w:rPr>
          <w:lang w:val="pl-PL"/>
        </w:rPr>
        <w:t>9</w:t>
      </w:r>
      <w:r w:rsidR="00903FBF" w:rsidRPr="00F50D4C">
        <w:rPr>
          <w:lang w:val="pl-PL"/>
        </w:rPr>
        <w:t xml:space="preserve"> roku do 31 grudnia </w:t>
      </w:r>
      <w:r w:rsidR="005B24B6" w:rsidRPr="00F50D4C">
        <w:rPr>
          <w:lang w:val="pl-PL"/>
        </w:rPr>
        <w:t>2013</w:t>
      </w:r>
      <w:r w:rsidR="00903FBF" w:rsidRPr="00F50D4C">
        <w:rPr>
          <w:lang w:val="pl-PL"/>
        </w:rPr>
        <w:t xml:space="preserve"> roku</w:t>
      </w:r>
      <w:r w:rsidR="0014356E" w:rsidRPr="00F50D4C">
        <w:rPr>
          <w:lang w:val="pl-PL"/>
        </w:rPr>
        <w:t>,</w:t>
      </w:r>
      <w:r w:rsidR="00E238C2" w:rsidRPr="00F50D4C">
        <w:rPr>
          <w:lang w:val="pl-PL"/>
        </w:rPr>
        <w:t xml:space="preserve"> </w:t>
      </w:r>
    </w:p>
    <w:p w:rsidR="0014356E" w:rsidRPr="00F50D4C" w:rsidRDefault="0014356E" w:rsidP="00EB6C89">
      <w:pPr>
        <w:tabs>
          <w:tab w:val="clear" w:pos="567"/>
          <w:tab w:val="left" w:pos="-180"/>
          <w:tab w:val="left" w:pos="1080"/>
          <w:tab w:val="left" w:pos="2160"/>
        </w:tabs>
        <w:spacing w:before="120" w:line="240" w:lineRule="auto"/>
        <w:ind w:left="1080" w:hanging="1080"/>
        <w:rPr>
          <w:lang w:val="pl-PL"/>
        </w:rPr>
      </w:pPr>
      <w:r w:rsidRPr="00F50D4C">
        <w:rPr>
          <w:b/>
          <w:lang w:val="pl-PL"/>
        </w:rPr>
        <w:t>SWBB’</w:t>
      </w:r>
      <w:r w:rsidR="00F767AF" w:rsidRPr="00F50D4C">
        <w:rPr>
          <w:b/>
          <w:vertAlign w:val="subscript"/>
          <w:lang w:val="pl-PL"/>
        </w:rPr>
        <w:t>1</w:t>
      </w:r>
      <w:r w:rsidR="008C2316" w:rsidRPr="00F50D4C">
        <w:rPr>
          <w:b/>
          <w:vertAlign w:val="subscript"/>
          <w:lang w:val="pl-PL"/>
        </w:rPr>
        <w:t>5</w:t>
      </w:r>
      <w:r w:rsidRPr="00F50D4C">
        <w:rPr>
          <w:lang w:val="pl-PL"/>
        </w:rPr>
        <w:tab/>
        <w:t>– średnioroczna wartość bieżąca brutto danej grupy środków trwałych</w:t>
      </w:r>
      <w:r w:rsidRPr="00F50D4C">
        <w:rPr>
          <w:lang w:val="pl-PL"/>
        </w:rPr>
        <w:br/>
        <w:t xml:space="preserve">i wartości niematerialnych i prawnych na potrzeby kalkulacji odpisu amortyzacyjnego na rok </w:t>
      </w:r>
      <w:r w:rsidR="005B24B6" w:rsidRPr="00F50D4C">
        <w:rPr>
          <w:lang w:val="pl-PL"/>
        </w:rPr>
        <w:t>2015</w:t>
      </w:r>
      <w:r w:rsidRPr="00F50D4C">
        <w:rPr>
          <w:lang w:val="pl-PL"/>
        </w:rPr>
        <w:t>,</w:t>
      </w:r>
      <w:r w:rsidR="00E238C2" w:rsidRPr="00F50D4C">
        <w:rPr>
          <w:lang w:val="pl-PL"/>
        </w:rPr>
        <w:t xml:space="preserve"> </w:t>
      </w:r>
    </w:p>
    <w:p w:rsidR="0014356E" w:rsidRPr="00F50D4C" w:rsidRDefault="0014356E" w:rsidP="00EB6C89">
      <w:pPr>
        <w:tabs>
          <w:tab w:val="clear" w:pos="567"/>
          <w:tab w:val="left" w:pos="1080"/>
          <w:tab w:val="left" w:pos="2160"/>
        </w:tabs>
        <w:spacing w:before="120" w:line="240" w:lineRule="auto"/>
        <w:ind w:left="1080" w:hanging="1080"/>
        <w:rPr>
          <w:lang w:val="pl-PL"/>
        </w:rPr>
      </w:pPr>
      <w:r w:rsidRPr="00F50D4C">
        <w:rPr>
          <w:b/>
          <w:lang w:val="pl-PL"/>
        </w:rPr>
        <w:t>WKB</w:t>
      </w:r>
      <w:r w:rsidR="00551F46" w:rsidRPr="00F50D4C">
        <w:rPr>
          <w:b/>
          <w:vertAlign w:val="subscript"/>
          <w:lang w:val="pl-PL"/>
        </w:rPr>
        <w:t>1</w:t>
      </w:r>
      <w:r w:rsidR="008C2316" w:rsidRPr="00F50D4C">
        <w:rPr>
          <w:b/>
          <w:vertAlign w:val="subscript"/>
          <w:lang w:val="pl-PL"/>
        </w:rPr>
        <w:t>3</w:t>
      </w:r>
      <w:r w:rsidRPr="00F50D4C">
        <w:rPr>
          <w:lang w:val="pl-PL"/>
        </w:rPr>
        <w:tab/>
        <w:t xml:space="preserve">– wartość księgowa brutto danej grupy środków trwałych i wartości niematerialnych i prawnych na dzień 31 grudnia </w:t>
      </w:r>
      <w:r w:rsidR="005B24B6" w:rsidRPr="00F50D4C">
        <w:rPr>
          <w:lang w:val="pl-PL"/>
        </w:rPr>
        <w:t>2013</w:t>
      </w:r>
      <w:r w:rsidRPr="00F50D4C">
        <w:rPr>
          <w:lang w:val="pl-PL"/>
        </w:rPr>
        <w:t xml:space="preserve"> roku.</w:t>
      </w:r>
      <w:r w:rsidR="00E238C2" w:rsidRPr="00F50D4C">
        <w:rPr>
          <w:lang w:val="pl-PL"/>
        </w:rPr>
        <w:t xml:space="preserve"> </w:t>
      </w:r>
    </w:p>
    <w:p w:rsidR="0014356E" w:rsidRPr="00F50D4C" w:rsidRDefault="0014356E" w:rsidP="00EB6C89">
      <w:pPr>
        <w:tabs>
          <w:tab w:val="clear" w:pos="567"/>
          <w:tab w:val="left" w:pos="1080"/>
        </w:tabs>
        <w:spacing w:before="120" w:line="240" w:lineRule="auto"/>
        <w:rPr>
          <w:lang w:val="pl-PL"/>
        </w:rPr>
      </w:pPr>
    </w:p>
    <w:p w:rsidR="00F815C6" w:rsidRPr="00F50D4C" w:rsidRDefault="00F815C6" w:rsidP="00EB6C89">
      <w:pPr>
        <w:tabs>
          <w:tab w:val="clear" w:pos="567"/>
          <w:tab w:val="left" w:pos="1080"/>
        </w:tabs>
        <w:spacing w:before="120" w:line="240" w:lineRule="auto"/>
        <w:rPr>
          <w:lang w:val="pl-PL"/>
        </w:rPr>
      </w:pPr>
    </w:p>
    <w:p w:rsidR="00F815C6" w:rsidRPr="00F50D4C" w:rsidRDefault="00F815C6" w:rsidP="00EB6C89">
      <w:pPr>
        <w:widowControl w:val="0"/>
        <w:autoSpaceDE w:val="0"/>
        <w:autoSpaceDN w:val="0"/>
        <w:adjustRightInd w:val="0"/>
        <w:spacing w:before="120" w:line="240" w:lineRule="auto"/>
        <w:ind w:right="14"/>
        <w:rPr>
          <w:lang w:val="pl-PL"/>
        </w:rPr>
      </w:pPr>
      <w:r w:rsidRPr="00F50D4C">
        <w:rPr>
          <w:lang w:val="pl-PL"/>
        </w:rPr>
        <w:t xml:space="preserve">W zakresie aktywów trwałych, które zostały oddane do użytkowania w roku </w:t>
      </w:r>
      <w:r w:rsidR="005B24B6" w:rsidRPr="00F50D4C">
        <w:rPr>
          <w:lang w:val="pl-PL"/>
        </w:rPr>
        <w:t>2013</w:t>
      </w:r>
      <w:r w:rsidR="00D47469" w:rsidRPr="00F50D4C">
        <w:rPr>
          <w:lang w:val="pl-PL"/>
        </w:rPr>
        <w:t xml:space="preserve"> </w:t>
      </w:r>
      <w:r w:rsidRPr="00F50D4C">
        <w:rPr>
          <w:lang w:val="pl-PL"/>
        </w:rPr>
        <w:t>zostanie zastosowana metoda annuity opisana poniższą formułą:</w:t>
      </w:r>
      <w:r w:rsidR="00907175" w:rsidRPr="00F50D4C">
        <w:rPr>
          <w:lang w:val="pl-PL"/>
        </w:rPr>
        <w:t xml:space="preserve"> </w:t>
      </w:r>
    </w:p>
    <w:p w:rsidR="00907175" w:rsidRPr="00F50D4C" w:rsidRDefault="00907175" w:rsidP="00EB6C89">
      <w:pPr>
        <w:widowControl w:val="0"/>
        <w:autoSpaceDE w:val="0"/>
        <w:autoSpaceDN w:val="0"/>
        <w:adjustRightInd w:val="0"/>
        <w:spacing w:before="120" w:line="240" w:lineRule="auto"/>
        <w:ind w:right="14"/>
        <w:rPr>
          <w:lang w:val="pl-PL"/>
        </w:rPr>
      </w:pPr>
    </w:p>
    <w:p w:rsidR="00F815C6" w:rsidRPr="00F50D4C" w:rsidRDefault="004F2C38" w:rsidP="00EB6C89">
      <w:pPr>
        <w:widowControl w:val="0"/>
        <w:autoSpaceDE w:val="0"/>
        <w:autoSpaceDN w:val="0"/>
        <w:adjustRightInd w:val="0"/>
        <w:spacing w:before="120" w:line="240" w:lineRule="auto"/>
        <w:ind w:right="14"/>
        <w:jc w:val="center"/>
      </w:pPr>
      <w:r w:rsidRPr="00F50D4C">
        <w:rPr>
          <w:position w:val="-68"/>
        </w:rPr>
        <w:object w:dxaOrig="3900" w:dyaOrig="1060">
          <v:shape id="_x0000_i1038" type="#_x0000_t75" style="width:195.75pt;height:53.25pt" o:ole="">
            <v:imagedata r:id="rId35" o:title=""/>
          </v:shape>
          <o:OLEObject Type="Embed" ProgID="Equation.3" ShapeID="_x0000_i1038" DrawAspect="Content" ObjectID="_1457949417" r:id="rId36"/>
        </w:object>
      </w:r>
    </w:p>
    <w:p w:rsidR="00F815C6" w:rsidRPr="00F50D4C" w:rsidRDefault="00F815C6" w:rsidP="00EB6C89">
      <w:pPr>
        <w:widowControl w:val="0"/>
        <w:autoSpaceDE w:val="0"/>
        <w:autoSpaceDN w:val="0"/>
        <w:adjustRightInd w:val="0"/>
        <w:spacing w:before="120" w:line="240" w:lineRule="auto"/>
        <w:ind w:right="14"/>
        <w:rPr>
          <w:lang w:val="pl-PL"/>
        </w:rPr>
      </w:pPr>
      <w:r w:rsidRPr="00F50D4C">
        <w:rPr>
          <w:lang w:val="pl-PL"/>
        </w:rPr>
        <w:t>gdzie:</w:t>
      </w:r>
    </w:p>
    <w:p w:rsidR="00F815C6" w:rsidRPr="00F50D4C" w:rsidRDefault="00F815C6" w:rsidP="00EB6C89">
      <w:pPr>
        <w:widowControl w:val="0"/>
        <w:autoSpaceDE w:val="0"/>
        <w:autoSpaceDN w:val="0"/>
        <w:adjustRightInd w:val="0"/>
        <w:spacing w:before="120" w:line="240" w:lineRule="auto"/>
        <w:ind w:left="1080" w:right="14" w:hanging="1080"/>
        <w:rPr>
          <w:lang w:val="pl-PL"/>
        </w:rPr>
      </w:pPr>
      <w:r w:rsidRPr="00F50D4C">
        <w:rPr>
          <w:b/>
          <w:lang w:val="pl-PL"/>
        </w:rPr>
        <w:t>SWBB’</w:t>
      </w:r>
      <w:r w:rsidR="00F767AF" w:rsidRPr="00F50D4C">
        <w:rPr>
          <w:b/>
          <w:vertAlign w:val="subscript"/>
          <w:lang w:val="pl-PL"/>
        </w:rPr>
        <w:t>1</w:t>
      </w:r>
      <w:r w:rsidR="004F2C38" w:rsidRPr="00F50D4C">
        <w:rPr>
          <w:b/>
          <w:vertAlign w:val="subscript"/>
          <w:lang w:val="pl-PL"/>
        </w:rPr>
        <w:t>5</w:t>
      </w:r>
      <w:r w:rsidRPr="00F50D4C">
        <w:rPr>
          <w:lang w:val="pl-PL"/>
        </w:rPr>
        <w:tab/>
        <w:t xml:space="preserve">– średnioroczna wartość bieżąca brutto </w:t>
      </w:r>
      <w:r w:rsidR="000266AD" w:rsidRPr="00F50D4C">
        <w:rPr>
          <w:lang w:val="pl-PL"/>
        </w:rPr>
        <w:t xml:space="preserve">w </w:t>
      </w:r>
      <w:r w:rsidR="005B24B6" w:rsidRPr="00F50D4C">
        <w:rPr>
          <w:lang w:val="pl-PL"/>
        </w:rPr>
        <w:t>2015</w:t>
      </w:r>
      <w:r w:rsidR="000266AD" w:rsidRPr="00F50D4C">
        <w:rPr>
          <w:lang w:val="pl-PL"/>
        </w:rPr>
        <w:t xml:space="preserve"> roku </w:t>
      </w:r>
      <w:r w:rsidRPr="00F50D4C">
        <w:rPr>
          <w:lang w:val="pl-PL"/>
        </w:rPr>
        <w:t>danej grupy środków trwałych</w:t>
      </w:r>
      <w:r w:rsidR="005E5FF3" w:rsidRPr="00F50D4C">
        <w:rPr>
          <w:lang w:val="pl-PL"/>
        </w:rPr>
        <w:t xml:space="preserve"> </w:t>
      </w:r>
      <w:r w:rsidRPr="00F50D4C">
        <w:rPr>
          <w:lang w:val="pl-PL"/>
        </w:rPr>
        <w:t>i wartości niematerialnych i prawnych,</w:t>
      </w:r>
      <w:r w:rsidR="000266AD" w:rsidRPr="00F50D4C">
        <w:rPr>
          <w:lang w:val="pl-PL"/>
        </w:rPr>
        <w:t xml:space="preserve"> oddanych do użytkowania</w:t>
      </w:r>
      <w:r w:rsidRPr="00F50D4C">
        <w:rPr>
          <w:lang w:val="pl-PL"/>
        </w:rPr>
        <w:t xml:space="preserve"> w roku</w:t>
      </w:r>
      <w:r w:rsidR="000266AD" w:rsidRPr="00F50D4C">
        <w:rPr>
          <w:lang w:val="pl-PL"/>
        </w:rPr>
        <w:t xml:space="preserve"> </w:t>
      </w:r>
      <w:r w:rsidR="005B24B6" w:rsidRPr="00F50D4C">
        <w:rPr>
          <w:lang w:val="pl-PL"/>
        </w:rPr>
        <w:t>2013</w:t>
      </w:r>
      <w:r w:rsidRPr="00F50D4C">
        <w:rPr>
          <w:lang w:val="pl-PL"/>
        </w:rPr>
        <w:t>,</w:t>
      </w:r>
      <w:r w:rsidR="007B7ABB" w:rsidRPr="00F50D4C">
        <w:rPr>
          <w:lang w:val="pl-PL"/>
        </w:rPr>
        <w:t xml:space="preserve"> </w:t>
      </w:r>
      <w:r w:rsidR="00E052BB" w:rsidRPr="00F50D4C">
        <w:rPr>
          <w:lang w:val="pl-PL"/>
        </w:rPr>
        <w:t xml:space="preserve">równa zgodnie z zapisami punktu 2.6. </w:t>
      </w:r>
      <w:r w:rsidR="00B8272A" w:rsidRPr="00F50D4C">
        <w:rPr>
          <w:lang w:val="pl-PL"/>
        </w:rPr>
        <w:t xml:space="preserve">Części I </w:t>
      </w:r>
      <w:r w:rsidR="00E052BB" w:rsidRPr="00F50D4C">
        <w:rPr>
          <w:lang w:val="pl-PL"/>
        </w:rPr>
        <w:t xml:space="preserve">niniejszego dokumentu ich wartości </w:t>
      </w:r>
      <w:r w:rsidR="005E5FF3" w:rsidRPr="00F50D4C">
        <w:rPr>
          <w:lang w:val="pl-PL"/>
        </w:rPr>
        <w:t>historycznej</w:t>
      </w:r>
    </w:p>
    <w:p w:rsidR="00F815C6" w:rsidRPr="00F50D4C" w:rsidRDefault="00F815C6" w:rsidP="00EB6C89">
      <w:pPr>
        <w:widowControl w:val="0"/>
        <w:tabs>
          <w:tab w:val="clear" w:pos="567"/>
          <w:tab w:val="left" w:pos="1080"/>
        </w:tabs>
        <w:autoSpaceDE w:val="0"/>
        <w:autoSpaceDN w:val="0"/>
        <w:adjustRightInd w:val="0"/>
        <w:spacing w:before="120" w:line="240" w:lineRule="auto"/>
        <w:ind w:left="1080" w:right="14" w:hanging="1080"/>
        <w:rPr>
          <w:lang w:val="pl-PL"/>
        </w:rPr>
      </w:pPr>
      <w:r w:rsidRPr="00F50D4C">
        <w:rPr>
          <w:b/>
          <w:lang w:val="pl-PL"/>
        </w:rPr>
        <w:t>T</w:t>
      </w:r>
      <w:r w:rsidRPr="00F50D4C">
        <w:rPr>
          <w:b/>
          <w:lang w:val="pl-PL"/>
        </w:rPr>
        <w:tab/>
      </w:r>
      <w:r w:rsidRPr="00F50D4C">
        <w:rPr>
          <w:lang w:val="pl-PL"/>
        </w:rPr>
        <w:t>– okres ekonomicznej użyteczności,</w:t>
      </w:r>
      <w:r w:rsidR="007B7ABB" w:rsidRPr="00F50D4C">
        <w:rPr>
          <w:lang w:val="pl-PL"/>
        </w:rPr>
        <w:t xml:space="preserve"> </w:t>
      </w:r>
    </w:p>
    <w:p w:rsidR="00F815C6" w:rsidRPr="00F50D4C" w:rsidRDefault="00F815C6" w:rsidP="00EB6C89">
      <w:pPr>
        <w:widowControl w:val="0"/>
        <w:autoSpaceDE w:val="0"/>
        <w:autoSpaceDN w:val="0"/>
        <w:adjustRightInd w:val="0"/>
        <w:spacing w:before="120" w:line="240" w:lineRule="auto"/>
        <w:ind w:left="1080" w:right="14" w:hanging="1080"/>
        <w:rPr>
          <w:lang w:val="pl-PL"/>
        </w:rPr>
      </w:pPr>
      <w:r w:rsidRPr="00F50D4C">
        <w:rPr>
          <w:b/>
          <w:lang w:val="pl-PL"/>
        </w:rPr>
        <w:t>WACC</w:t>
      </w:r>
      <w:r w:rsidRPr="00F50D4C">
        <w:rPr>
          <w:lang w:val="pl-PL"/>
        </w:rPr>
        <w:tab/>
        <w:t>– średnioważony koszt kapitału.</w:t>
      </w:r>
      <w:r w:rsidR="007B7ABB" w:rsidRPr="00F50D4C">
        <w:rPr>
          <w:lang w:val="pl-PL"/>
        </w:rPr>
        <w:t xml:space="preserve"> </w:t>
      </w:r>
    </w:p>
    <w:p w:rsidR="00F815C6" w:rsidRPr="00F50D4C" w:rsidRDefault="00F815C6" w:rsidP="00EB6C89">
      <w:pPr>
        <w:widowControl w:val="0"/>
        <w:autoSpaceDE w:val="0"/>
        <w:autoSpaceDN w:val="0"/>
        <w:adjustRightInd w:val="0"/>
        <w:spacing w:before="120" w:line="240" w:lineRule="auto"/>
        <w:ind w:right="14"/>
        <w:rPr>
          <w:lang w:val="pl-PL"/>
        </w:rPr>
      </w:pPr>
    </w:p>
    <w:p w:rsidR="00F815C6" w:rsidRPr="00F50D4C" w:rsidRDefault="00F815C6" w:rsidP="00EB6C89">
      <w:pPr>
        <w:tabs>
          <w:tab w:val="clear" w:pos="567"/>
          <w:tab w:val="left" w:pos="1080"/>
        </w:tabs>
        <w:spacing w:before="120" w:line="240" w:lineRule="auto"/>
        <w:rPr>
          <w:lang w:val="pl-PL"/>
        </w:rPr>
      </w:pPr>
      <w:r w:rsidRPr="00F50D4C">
        <w:rPr>
          <w:lang w:val="pl-PL"/>
        </w:rPr>
        <w:t xml:space="preserve">W zakresie tych środków trwałych i wartości niematerialnych i prawnych, które zostały oddane do użytkowania w roku </w:t>
      </w:r>
      <w:r w:rsidR="005B24B6" w:rsidRPr="00F50D4C">
        <w:rPr>
          <w:lang w:val="pl-PL"/>
        </w:rPr>
        <w:t>2013</w:t>
      </w:r>
      <w:r w:rsidRPr="00F50D4C">
        <w:rPr>
          <w:lang w:val="pl-PL"/>
        </w:rPr>
        <w:t xml:space="preserve">, nie stosuje się metody kalkulacji amortyzacji liniowej </w:t>
      </w:r>
      <w:r w:rsidR="00073C78" w:rsidRPr="00F50D4C">
        <w:rPr>
          <w:lang w:val="pl-PL"/>
        </w:rPr>
        <w:br/>
      </w:r>
      <w:r w:rsidRPr="00F50D4C">
        <w:rPr>
          <w:lang w:val="pl-PL"/>
        </w:rPr>
        <w:t xml:space="preserve">i kosztu kapitału. </w:t>
      </w:r>
    </w:p>
    <w:p w:rsidR="00F815C6" w:rsidRPr="00F50D4C" w:rsidRDefault="00F815C6" w:rsidP="00EB6C89">
      <w:pPr>
        <w:tabs>
          <w:tab w:val="clear" w:pos="567"/>
          <w:tab w:val="left" w:pos="1080"/>
        </w:tabs>
        <w:spacing w:before="120" w:line="240" w:lineRule="auto"/>
        <w:rPr>
          <w:lang w:val="pl-PL"/>
        </w:rPr>
      </w:pPr>
    </w:p>
    <w:p w:rsidR="0014356E" w:rsidRPr="00F50D4C" w:rsidRDefault="0014356E" w:rsidP="00EB6C89">
      <w:pPr>
        <w:keepNext/>
        <w:numPr>
          <w:ilvl w:val="0"/>
          <w:numId w:val="45"/>
        </w:numPr>
        <w:tabs>
          <w:tab w:val="clear" w:pos="567"/>
        </w:tabs>
        <w:spacing w:before="120" w:line="240" w:lineRule="auto"/>
        <w:outlineLvl w:val="1"/>
        <w:rPr>
          <w:b/>
          <w:bCs/>
          <w:lang w:val="pl-PL"/>
        </w:rPr>
      </w:pPr>
      <w:r w:rsidRPr="00F50D4C">
        <w:rPr>
          <w:b/>
          <w:bCs/>
          <w:lang w:val="pl-PL"/>
        </w:rPr>
        <w:t xml:space="preserve">Obliczanie kosztu kapitału od średniorocznej wartości bieżącej netto danej grupy środków trwałych i wartości niematerialnych i prawnych oraz </w:t>
      </w:r>
      <w:r w:rsidR="00073C78" w:rsidRPr="00F50D4C">
        <w:rPr>
          <w:b/>
          <w:bCs/>
          <w:lang w:val="pl-PL"/>
        </w:rPr>
        <w:br/>
      </w:r>
      <w:r w:rsidRPr="00F50D4C">
        <w:rPr>
          <w:b/>
          <w:bCs/>
          <w:lang w:val="pl-PL"/>
        </w:rPr>
        <w:t xml:space="preserve">od wartości netto pozostałych składników kapitału zaangażowanego na rok </w:t>
      </w:r>
      <w:r w:rsidR="005B24B6" w:rsidRPr="00F50D4C">
        <w:rPr>
          <w:b/>
          <w:bCs/>
          <w:lang w:val="pl-PL"/>
        </w:rPr>
        <w:t>2015</w:t>
      </w:r>
      <w:r w:rsidR="000266AD" w:rsidRPr="00F50D4C">
        <w:rPr>
          <w:b/>
          <w:bCs/>
          <w:lang w:val="pl-PL"/>
        </w:rPr>
        <w:t>.</w:t>
      </w:r>
    </w:p>
    <w:p w:rsidR="00E222E1" w:rsidRPr="00F50D4C" w:rsidRDefault="00E222E1" w:rsidP="00EB6C89">
      <w:pPr>
        <w:keepNext/>
        <w:tabs>
          <w:tab w:val="clear" w:pos="567"/>
        </w:tabs>
        <w:spacing w:before="120" w:line="240" w:lineRule="auto"/>
        <w:ind w:left="720"/>
        <w:jc w:val="left"/>
        <w:outlineLvl w:val="1"/>
        <w:rPr>
          <w:bCs/>
          <w:lang w:val="pl-PL"/>
        </w:rPr>
      </w:pPr>
    </w:p>
    <w:p w:rsidR="00D87782" w:rsidRPr="00F50D4C" w:rsidRDefault="004F2C38" w:rsidP="00EB6C89">
      <w:pPr>
        <w:tabs>
          <w:tab w:val="clear" w:pos="567"/>
          <w:tab w:val="left" w:pos="1080"/>
        </w:tabs>
        <w:spacing w:before="120" w:line="240" w:lineRule="auto"/>
        <w:jc w:val="center"/>
        <w:rPr>
          <w:lang w:val="pl-PL"/>
        </w:rPr>
      </w:pPr>
      <w:r w:rsidRPr="00F50D4C">
        <w:rPr>
          <w:position w:val="-30"/>
        </w:rPr>
        <w:object w:dxaOrig="4360" w:dyaOrig="700">
          <v:shape id="_x0000_i1039" type="#_x0000_t75" style="width:303pt;height:48pt" o:ole="">
            <v:imagedata r:id="rId37" o:title=""/>
          </v:shape>
          <o:OLEObject Type="Embed" ProgID="Equation.3" ShapeID="_x0000_i1039" DrawAspect="Content" ObjectID="_1457949418" r:id="rId38"/>
        </w:object>
      </w:r>
    </w:p>
    <w:p w:rsidR="0014356E" w:rsidRPr="00F50D4C" w:rsidRDefault="0014356E" w:rsidP="00EB6C89">
      <w:pPr>
        <w:tabs>
          <w:tab w:val="clear" w:pos="567"/>
          <w:tab w:val="num" w:pos="1080"/>
        </w:tabs>
        <w:spacing w:before="120" w:line="240" w:lineRule="auto"/>
        <w:rPr>
          <w:lang w:val="pl-PL"/>
        </w:rPr>
      </w:pPr>
      <w:r w:rsidRPr="00F50D4C">
        <w:rPr>
          <w:lang w:val="pl-PL"/>
        </w:rPr>
        <w:t>gdzie:</w:t>
      </w:r>
    </w:p>
    <w:p w:rsidR="0014356E" w:rsidRPr="00F50D4C" w:rsidRDefault="0014356E" w:rsidP="00EB6C89">
      <w:pPr>
        <w:tabs>
          <w:tab w:val="clear" w:pos="567"/>
          <w:tab w:val="left" w:pos="1980"/>
        </w:tabs>
        <w:spacing w:before="120" w:line="240" w:lineRule="auto"/>
        <w:ind w:left="1080" w:hanging="1080"/>
        <w:rPr>
          <w:lang w:val="pl-PL"/>
        </w:rPr>
      </w:pPr>
      <w:r w:rsidRPr="00F50D4C">
        <w:rPr>
          <w:b/>
          <w:lang w:val="pl-PL"/>
        </w:rPr>
        <w:lastRenderedPageBreak/>
        <w:t>SWBB</w:t>
      </w:r>
      <w:r w:rsidR="00F767AF" w:rsidRPr="00F50D4C">
        <w:rPr>
          <w:b/>
          <w:vertAlign w:val="subscript"/>
          <w:lang w:val="pl-PL"/>
        </w:rPr>
        <w:t>1</w:t>
      </w:r>
      <w:r w:rsidR="004F2C38" w:rsidRPr="00F50D4C">
        <w:rPr>
          <w:b/>
          <w:vertAlign w:val="subscript"/>
          <w:lang w:val="pl-PL"/>
        </w:rPr>
        <w:t>5</w:t>
      </w:r>
      <w:r w:rsidRPr="00F50D4C">
        <w:rPr>
          <w:lang w:val="pl-PL"/>
        </w:rPr>
        <w:tab/>
        <w:t>– średnioroczna wartość bieżąca brutto danej grupy środków trwałych</w:t>
      </w:r>
      <w:r w:rsidRPr="00F50D4C">
        <w:rPr>
          <w:lang w:val="pl-PL"/>
        </w:rPr>
        <w:br/>
        <w:t xml:space="preserve">i wartości niematerialnych i prawnych w roku </w:t>
      </w:r>
      <w:r w:rsidR="005B24B6" w:rsidRPr="00F50D4C">
        <w:rPr>
          <w:lang w:val="pl-PL"/>
        </w:rPr>
        <w:t>2015</w:t>
      </w:r>
      <w:r w:rsidRPr="00F50D4C">
        <w:rPr>
          <w:lang w:val="pl-PL"/>
        </w:rPr>
        <w:t xml:space="preserve"> dla potrzeb kalkulowania kosztu kapitału,</w:t>
      </w:r>
    </w:p>
    <w:p w:rsidR="0014356E" w:rsidRPr="00F50D4C" w:rsidRDefault="0014356E" w:rsidP="00EB6C89">
      <w:pPr>
        <w:tabs>
          <w:tab w:val="clear" w:pos="567"/>
          <w:tab w:val="left" w:pos="1080"/>
          <w:tab w:val="left" w:pos="1980"/>
        </w:tabs>
        <w:spacing w:before="120" w:line="240" w:lineRule="auto"/>
        <w:ind w:left="1080" w:hanging="1080"/>
        <w:rPr>
          <w:lang w:val="pl-PL"/>
        </w:rPr>
      </w:pPr>
      <w:r w:rsidRPr="00F50D4C">
        <w:rPr>
          <w:b/>
          <w:lang w:val="pl-PL"/>
        </w:rPr>
        <w:t>W</w:t>
      </w:r>
      <w:r w:rsidR="00F33597" w:rsidRPr="00F50D4C">
        <w:rPr>
          <w:b/>
          <w:vertAlign w:val="subscript"/>
          <w:lang w:val="pl-PL"/>
        </w:rPr>
        <w:t>1</w:t>
      </w:r>
      <w:r w:rsidR="004F2C38" w:rsidRPr="00F50D4C">
        <w:rPr>
          <w:b/>
          <w:vertAlign w:val="subscript"/>
          <w:lang w:val="pl-PL"/>
        </w:rPr>
        <w:t>3</w:t>
      </w:r>
      <w:r w:rsidRPr="00F50D4C">
        <w:rPr>
          <w:lang w:val="pl-PL"/>
        </w:rPr>
        <w:tab/>
        <w:t>– wolumen danej grupy środków trwałych i wartości niematerialnych</w:t>
      </w:r>
      <w:r w:rsidRPr="00F50D4C">
        <w:rPr>
          <w:lang w:val="pl-PL"/>
        </w:rPr>
        <w:br/>
        <w:t xml:space="preserve">i prawnych użytkowanych na dzień 31 grudnia </w:t>
      </w:r>
      <w:r w:rsidR="005B24B6" w:rsidRPr="00F50D4C">
        <w:rPr>
          <w:lang w:val="pl-PL"/>
        </w:rPr>
        <w:t>2013</w:t>
      </w:r>
      <w:r w:rsidRPr="00F50D4C">
        <w:rPr>
          <w:lang w:val="pl-PL"/>
        </w:rPr>
        <w:t xml:space="preserve"> roku,</w:t>
      </w:r>
    </w:p>
    <w:p w:rsidR="0014356E" w:rsidRPr="00F50D4C" w:rsidRDefault="00903FBF" w:rsidP="00EB6C89">
      <w:pPr>
        <w:tabs>
          <w:tab w:val="clear" w:pos="567"/>
          <w:tab w:val="left" w:pos="1080"/>
          <w:tab w:val="left" w:pos="1980"/>
        </w:tabs>
        <w:spacing w:before="120" w:line="240" w:lineRule="auto"/>
        <w:ind w:left="1080" w:hanging="1080"/>
        <w:rPr>
          <w:lang w:val="pl-PL"/>
        </w:rPr>
      </w:pPr>
      <w:r w:rsidRPr="00F50D4C">
        <w:rPr>
          <w:b/>
          <w:lang w:val="pl-PL"/>
        </w:rPr>
        <w:t>C</w:t>
      </w:r>
      <w:r w:rsidRPr="00F50D4C">
        <w:rPr>
          <w:b/>
          <w:vertAlign w:val="subscript"/>
          <w:lang w:val="pl-PL"/>
        </w:rPr>
        <w:t>1</w:t>
      </w:r>
      <w:r w:rsidR="004F2C38" w:rsidRPr="00F50D4C">
        <w:rPr>
          <w:b/>
          <w:vertAlign w:val="subscript"/>
          <w:lang w:val="pl-PL"/>
        </w:rPr>
        <w:t>3</w:t>
      </w:r>
      <w:r w:rsidR="0014356E" w:rsidRPr="00F50D4C">
        <w:rPr>
          <w:lang w:val="pl-PL"/>
        </w:rPr>
        <w:tab/>
        <w:t xml:space="preserve">– ceny </w:t>
      </w:r>
      <w:r w:rsidR="00AB474C" w:rsidRPr="00F50D4C">
        <w:rPr>
          <w:lang w:val="pl-PL"/>
        </w:rPr>
        <w:t xml:space="preserve">obowiązujące </w:t>
      </w:r>
      <w:r w:rsidR="00F22F33" w:rsidRPr="00F50D4C">
        <w:rPr>
          <w:lang w:val="pl-PL"/>
        </w:rPr>
        <w:t xml:space="preserve">na </w:t>
      </w:r>
      <w:r w:rsidR="00AB474C" w:rsidRPr="00F50D4C">
        <w:rPr>
          <w:lang w:val="pl-PL"/>
        </w:rPr>
        <w:t xml:space="preserve">koniec roku </w:t>
      </w:r>
      <w:r w:rsidR="005B24B6" w:rsidRPr="00F50D4C">
        <w:rPr>
          <w:lang w:val="pl-PL"/>
        </w:rPr>
        <w:t>2013</w:t>
      </w:r>
      <w:r w:rsidR="00AB474C" w:rsidRPr="00F50D4C">
        <w:rPr>
          <w:lang w:val="pl-PL"/>
        </w:rPr>
        <w:t xml:space="preserve"> </w:t>
      </w:r>
      <w:r w:rsidR="0014356E" w:rsidRPr="00F50D4C">
        <w:rPr>
          <w:lang w:val="pl-PL"/>
        </w:rPr>
        <w:t>dostępne na dzień kalkulacji (wprowadzania danych do modelu) w roku</w:t>
      </w:r>
      <w:r w:rsidR="004F2C38" w:rsidRPr="00F50D4C">
        <w:rPr>
          <w:lang w:val="pl-PL"/>
        </w:rPr>
        <w:t>2014</w:t>
      </w:r>
      <w:r w:rsidR="001D046C" w:rsidRPr="00F50D4C">
        <w:rPr>
          <w:lang w:val="pl-PL"/>
        </w:rPr>
        <w:t>;</w:t>
      </w:r>
      <w:r w:rsidR="0006055F"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2013</w:t>
      </w:r>
      <w:r w:rsidR="00C22512" w:rsidRPr="00F50D4C">
        <w:rPr>
          <w:lang w:val="pl-PL"/>
        </w:rPr>
        <w:t>,</w:t>
      </w:r>
      <w:r w:rsidR="005A0C55" w:rsidRPr="00F50D4C">
        <w:rPr>
          <w:lang w:val="pl-PL"/>
        </w:rPr>
        <w:t xml:space="preserve"> obliczone zgodnie z metodologią opisaną w pkt. 3 poniżej,</w:t>
      </w:r>
    </w:p>
    <w:p w:rsidR="0014356E" w:rsidRPr="00F50D4C" w:rsidRDefault="00307BC2" w:rsidP="00EB6C89">
      <w:pPr>
        <w:tabs>
          <w:tab w:val="clear" w:pos="567"/>
          <w:tab w:val="left" w:pos="1080"/>
          <w:tab w:val="left" w:pos="1980"/>
        </w:tabs>
        <w:spacing w:before="120" w:line="240" w:lineRule="auto"/>
        <w:ind w:left="1080" w:hanging="1080"/>
        <w:rPr>
          <w:lang w:val="pl-PL"/>
        </w:rPr>
      </w:pPr>
      <w:r w:rsidRPr="00F50D4C">
        <w:rPr>
          <w:b/>
          <w:lang w:val="pl-PL"/>
        </w:rPr>
        <w:t>K</w:t>
      </w:r>
      <w:r w:rsidRPr="00F50D4C">
        <w:rPr>
          <w:b/>
          <w:vertAlign w:val="subscript"/>
          <w:lang w:val="pl-PL"/>
        </w:rPr>
        <w:t>0</w:t>
      </w:r>
      <w:r w:rsidR="004F2C38" w:rsidRPr="00F50D4C">
        <w:rPr>
          <w:b/>
          <w:vertAlign w:val="subscript"/>
          <w:lang w:val="pl-PL"/>
        </w:rPr>
        <w:t>9</w:t>
      </w:r>
      <w:r w:rsidRPr="00F50D4C">
        <w:rPr>
          <w:b/>
          <w:vertAlign w:val="subscript"/>
          <w:lang w:val="pl-PL"/>
        </w:rPr>
        <w:t>-1</w:t>
      </w:r>
      <w:r w:rsidR="004F2C38" w:rsidRPr="00F50D4C">
        <w:rPr>
          <w:b/>
          <w:vertAlign w:val="subscript"/>
          <w:lang w:val="pl-PL"/>
        </w:rPr>
        <w:t>3</w:t>
      </w:r>
      <w:r w:rsidR="0014356E" w:rsidRPr="00F50D4C">
        <w:rPr>
          <w:b/>
          <w:lang w:val="pl-PL"/>
        </w:rPr>
        <w:tab/>
      </w:r>
      <w:r w:rsidR="0014356E" w:rsidRPr="00F50D4C">
        <w:rPr>
          <w:lang w:val="pl-PL"/>
        </w:rPr>
        <w:t xml:space="preserve">– średnia arytmetyczna dziennych kursów walut obcych z tabel NBP obowiązujących w </w:t>
      </w:r>
      <w:r w:rsidR="00080E00" w:rsidRPr="00F50D4C">
        <w:rPr>
          <w:lang w:val="pl-PL"/>
        </w:rPr>
        <w:t>okresie od 1 stycznia 200</w:t>
      </w:r>
      <w:r w:rsidR="004F2C38" w:rsidRPr="00F50D4C">
        <w:rPr>
          <w:lang w:val="pl-PL"/>
        </w:rPr>
        <w:t>9</w:t>
      </w:r>
      <w:r w:rsidR="00080E00" w:rsidRPr="00F50D4C">
        <w:rPr>
          <w:lang w:val="pl-PL"/>
        </w:rPr>
        <w:t xml:space="preserve"> roku do 31 grudnia </w:t>
      </w:r>
      <w:r w:rsidR="005B24B6" w:rsidRPr="00F50D4C">
        <w:rPr>
          <w:lang w:val="pl-PL"/>
        </w:rPr>
        <w:t>2013</w:t>
      </w:r>
      <w:r w:rsidR="00080E00" w:rsidRPr="00F50D4C">
        <w:rPr>
          <w:lang w:val="pl-PL"/>
        </w:rPr>
        <w:t xml:space="preserve"> roku</w:t>
      </w:r>
      <w:r w:rsidR="0014356E" w:rsidRPr="00F50D4C">
        <w:rPr>
          <w:lang w:val="pl-PL"/>
        </w:rPr>
        <w:t>,</w:t>
      </w:r>
    </w:p>
    <w:p w:rsidR="0014356E" w:rsidRPr="00F50D4C" w:rsidRDefault="00307BC2" w:rsidP="00EB6C89">
      <w:pPr>
        <w:tabs>
          <w:tab w:val="clear" w:pos="567"/>
          <w:tab w:val="left" w:pos="1080"/>
          <w:tab w:val="left" w:pos="1980"/>
        </w:tabs>
        <w:spacing w:before="120" w:line="240" w:lineRule="auto"/>
        <w:ind w:left="1080" w:hanging="1080"/>
        <w:rPr>
          <w:lang w:val="pl-PL"/>
        </w:rPr>
      </w:pPr>
      <w:r w:rsidRPr="00F50D4C">
        <w:rPr>
          <w:b/>
          <w:lang w:val="pl-PL"/>
        </w:rPr>
        <w:t>K</w:t>
      </w:r>
      <w:r w:rsidRPr="00F50D4C">
        <w:rPr>
          <w:b/>
          <w:vertAlign w:val="subscript"/>
          <w:lang w:val="pl-PL"/>
        </w:rPr>
        <w:t>0</w:t>
      </w:r>
      <w:r w:rsidR="004F2C38" w:rsidRPr="00F50D4C">
        <w:rPr>
          <w:b/>
          <w:vertAlign w:val="subscript"/>
          <w:lang w:val="pl-PL"/>
        </w:rPr>
        <w:t>8</w:t>
      </w:r>
      <w:r w:rsidRPr="00F50D4C">
        <w:rPr>
          <w:b/>
          <w:vertAlign w:val="subscript"/>
          <w:lang w:val="pl-PL"/>
        </w:rPr>
        <w:t>-</w:t>
      </w:r>
      <w:r w:rsidR="001447C0" w:rsidRPr="00F50D4C">
        <w:rPr>
          <w:b/>
          <w:vertAlign w:val="subscript"/>
          <w:lang w:val="pl-PL"/>
        </w:rPr>
        <w:t>1</w:t>
      </w:r>
      <w:r w:rsidR="004F2C38" w:rsidRPr="00F50D4C">
        <w:rPr>
          <w:b/>
          <w:vertAlign w:val="subscript"/>
          <w:lang w:val="pl-PL"/>
        </w:rPr>
        <w:t>2</w:t>
      </w:r>
      <w:r w:rsidR="0014356E" w:rsidRPr="00F50D4C">
        <w:rPr>
          <w:b/>
          <w:lang w:val="pl-PL"/>
        </w:rPr>
        <w:tab/>
      </w:r>
      <w:r w:rsidR="0014356E" w:rsidRPr="00F50D4C">
        <w:rPr>
          <w:lang w:val="pl-PL"/>
        </w:rPr>
        <w:t xml:space="preserve">– średnia arytmetyczna dziennych kursów walut obcych z tabel NBP obowiązujących w </w:t>
      </w:r>
      <w:r w:rsidR="00080E00" w:rsidRPr="00F50D4C">
        <w:rPr>
          <w:lang w:val="pl-PL"/>
        </w:rPr>
        <w:t>okresie od 1 stycznia 200</w:t>
      </w:r>
      <w:r w:rsidR="004F2C38" w:rsidRPr="00F50D4C">
        <w:rPr>
          <w:lang w:val="pl-PL"/>
        </w:rPr>
        <w:t>8</w:t>
      </w:r>
      <w:r w:rsidR="00080E00" w:rsidRPr="00F50D4C">
        <w:rPr>
          <w:lang w:val="pl-PL"/>
        </w:rPr>
        <w:t xml:space="preserve"> roku do 31 grudnia </w:t>
      </w:r>
      <w:r w:rsidR="005B24B6" w:rsidRPr="00F50D4C">
        <w:rPr>
          <w:lang w:val="pl-PL"/>
        </w:rPr>
        <w:t>2012</w:t>
      </w:r>
      <w:r w:rsidR="00080E00" w:rsidRPr="00F50D4C">
        <w:rPr>
          <w:lang w:val="pl-PL"/>
        </w:rPr>
        <w:t xml:space="preserve"> roku</w:t>
      </w:r>
      <w:r w:rsidR="0014356E" w:rsidRPr="00F50D4C">
        <w:rPr>
          <w:lang w:val="pl-PL"/>
        </w:rPr>
        <w:t>,</w:t>
      </w:r>
    </w:p>
    <w:p w:rsidR="0014356E" w:rsidRPr="00F50D4C" w:rsidRDefault="0014356E" w:rsidP="00EB6C89">
      <w:pPr>
        <w:tabs>
          <w:tab w:val="clear" w:pos="567"/>
          <w:tab w:val="left" w:pos="1080"/>
          <w:tab w:val="left" w:pos="1980"/>
        </w:tabs>
        <w:spacing w:before="120" w:line="240" w:lineRule="auto"/>
        <w:ind w:left="1080" w:hanging="1080"/>
        <w:rPr>
          <w:lang w:val="pl-PL"/>
        </w:rPr>
      </w:pPr>
      <w:r w:rsidRPr="00F50D4C">
        <w:rPr>
          <w:b/>
          <w:lang w:val="pl-PL"/>
        </w:rPr>
        <w:t>STB</w:t>
      </w:r>
      <w:r w:rsidR="00F33597" w:rsidRPr="00F50D4C">
        <w:rPr>
          <w:b/>
          <w:vertAlign w:val="subscript"/>
          <w:lang w:val="pl-PL"/>
        </w:rPr>
        <w:t>1</w:t>
      </w:r>
      <w:r w:rsidR="004F2C38" w:rsidRPr="00F50D4C">
        <w:rPr>
          <w:b/>
          <w:vertAlign w:val="subscript"/>
          <w:lang w:val="pl-PL"/>
        </w:rPr>
        <w:t>3</w:t>
      </w:r>
      <w:r w:rsidRPr="00F50D4C">
        <w:rPr>
          <w:lang w:val="pl-PL"/>
        </w:rPr>
        <w:tab/>
        <w:t xml:space="preserve">– środki trwałe w budowie na dzień 31 grudnia </w:t>
      </w:r>
      <w:r w:rsidR="005B24B6" w:rsidRPr="00F50D4C">
        <w:rPr>
          <w:lang w:val="pl-PL"/>
        </w:rPr>
        <w:t>2013</w:t>
      </w:r>
      <w:r w:rsidRPr="00F50D4C">
        <w:rPr>
          <w:lang w:val="pl-PL"/>
        </w:rPr>
        <w:t xml:space="preserve"> roku zwiększające stan danej grupy środków trwałych i wartości niematerialnych</w:t>
      </w:r>
      <w:r w:rsidR="009A2E03" w:rsidRPr="00F50D4C">
        <w:rPr>
          <w:lang w:val="pl-PL"/>
        </w:rPr>
        <w:t xml:space="preserve"> </w:t>
      </w:r>
      <w:r w:rsidRPr="00F50D4C">
        <w:rPr>
          <w:lang w:val="pl-PL"/>
        </w:rPr>
        <w:t>i prawnych.</w:t>
      </w:r>
    </w:p>
    <w:p w:rsidR="0014356E" w:rsidRPr="00F50D4C" w:rsidRDefault="0014356E" w:rsidP="00EB6C89">
      <w:pPr>
        <w:tabs>
          <w:tab w:val="clear" w:pos="567"/>
          <w:tab w:val="left" w:pos="1080"/>
        </w:tabs>
        <w:spacing w:before="120" w:line="240" w:lineRule="auto"/>
        <w:rPr>
          <w:lang w:val="pl-PL"/>
        </w:rPr>
      </w:pPr>
    </w:p>
    <w:p w:rsidR="00137AD6" w:rsidRPr="00F50D4C" w:rsidRDefault="004F2C38" w:rsidP="00EB6C89">
      <w:pPr>
        <w:tabs>
          <w:tab w:val="clear" w:pos="567"/>
          <w:tab w:val="left" w:pos="1080"/>
        </w:tabs>
        <w:spacing w:before="120" w:line="240" w:lineRule="auto"/>
        <w:jc w:val="center"/>
        <w:rPr>
          <w:lang w:val="pl-PL"/>
        </w:rPr>
      </w:pPr>
      <w:r w:rsidRPr="00F50D4C">
        <w:rPr>
          <w:position w:val="-30"/>
        </w:rPr>
        <w:object w:dxaOrig="2740" w:dyaOrig="700">
          <v:shape id="_x0000_i1040" type="#_x0000_t75" style="width:190.5pt;height:48pt" o:ole="">
            <v:imagedata r:id="rId39" o:title=""/>
          </v:shape>
          <o:OLEObject Type="Embed" ProgID="Equation.3" ShapeID="_x0000_i1040" DrawAspect="Content" ObjectID="_1457949419" r:id="rId40"/>
        </w:object>
      </w:r>
    </w:p>
    <w:p w:rsidR="0014356E" w:rsidRPr="00F50D4C" w:rsidRDefault="0014356E" w:rsidP="00EB6C89">
      <w:pPr>
        <w:tabs>
          <w:tab w:val="clear" w:pos="567"/>
          <w:tab w:val="left" w:pos="1080"/>
        </w:tabs>
        <w:spacing w:before="120" w:line="240" w:lineRule="auto"/>
        <w:rPr>
          <w:lang w:val="pl-PL"/>
        </w:rPr>
      </w:pPr>
      <w:r w:rsidRPr="00F50D4C">
        <w:rPr>
          <w:lang w:val="pl-PL"/>
        </w:rPr>
        <w:t>gdzie:</w:t>
      </w:r>
    </w:p>
    <w:p w:rsidR="0014356E" w:rsidRPr="00F50D4C" w:rsidRDefault="0014356E" w:rsidP="00EB6C89">
      <w:pPr>
        <w:tabs>
          <w:tab w:val="clear" w:pos="567"/>
          <w:tab w:val="left" w:pos="1260"/>
        </w:tabs>
        <w:spacing w:before="120" w:line="240" w:lineRule="auto"/>
        <w:ind w:left="1260" w:hanging="1260"/>
        <w:rPr>
          <w:lang w:val="pl-PL"/>
        </w:rPr>
      </w:pPr>
      <w:r w:rsidRPr="00F50D4C">
        <w:rPr>
          <w:b/>
          <w:lang w:val="pl-PL"/>
        </w:rPr>
        <w:t>SWBN</w:t>
      </w:r>
      <w:r w:rsidR="00F767AF" w:rsidRPr="00F50D4C">
        <w:rPr>
          <w:b/>
          <w:vertAlign w:val="subscript"/>
          <w:lang w:val="pl-PL"/>
        </w:rPr>
        <w:t>1</w:t>
      </w:r>
      <w:r w:rsidR="004F2C38" w:rsidRPr="00F50D4C">
        <w:rPr>
          <w:b/>
          <w:vertAlign w:val="subscript"/>
          <w:lang w:val="pl-PL"/>
        </w:rPr>
        <w:t>5</w:t>
      </w:r>
      <w:r w:rsidRPr="00F50D4C">
        <w:rPr>
          <w:lang w:val="pl-PL"/>
        </w:rPr>
        <w:tab/>
        <w:t>– średnioroczna wartość bieżąca netto danej grupy środków trwałych</w:t>
      </w:r>
      <w:r w:rsidRPr="00F50D4C">
        <w:rPr>
          <w:lang w:val="pl-PL"/>
        </w:rPr>
        <w:br/>
        <w:t xml:space="preserve">i wartości niematerialnych i prawnych w roku </w:t>
      </w:r>
      <w:r w:rsidR="005B24B6" w:rsidRPr="00F50D4C">
        <w:rPr>
          <w:lang w:val="pl-PL"/>
        </w:rPr>
        <w:t>2015</w:t>
      </w:r>
      <w:r w:rsidRPr="00F50D4C">
        <w:rPr>
          <w:lang w:val="pl-PL"/>
        </w:rPr>
        <w:t xml:space="preserve"> dla potrzeb kalkulowania kosztu kapitału,</w:t>
      </w:r>
    </w:p>
    <w:p w:rsidR="0014356E" w:rsidRPr="00F50D4C" w:rsidRDefault="0014356E" w:rsidP="00EB6C89">
      <w:pPr>
        <w:tabs>
          <w:tab w:val="clear" w:pos="567"/>
          <w:tab w:val="left" w:pos="1260"/>
        </w:tabs>
        <w:spacing w:before="120" w:line="240" w:lineRule="auto"/>
        <w:ind w:left="1260" w:hanging="1260"/>
        <w:rPr>
          <w:lang w:val="pl-PL"/>
        </w:rPr>
      </w:pPr>
      <w:r w:rsidRPr="00F50D4C">
        <w:rPr>
          <w:b/>
          <w:lang w:val="pl-PL"/>
        </w:rPr>
        <w:t>WKB</w:t>
      </w:r>
      <w:r w:rsidR="00BD5B38" w:rsidRPr="00F50D4C">
        <w:rPr>
          <w:b/>
          <w:vertAlign w:val="subscript"/>
          <w:lang w:val="pl-PL"/>
        </w:rPr>
        <w:t>1</w:t>
      </w:r>
      <w:r w:rsidR="004F2C38" w:rsidRPr="00F50D4C">
        <w:rPr>
          <w:b/>
          <w:vertAlign w:val="subscript"/>
          <w:lang w:val="pl-PL"/>
        </w:rPr>
        <w:t>3</w:t>
      </w:r>
      <w:r w:rsidRPr="00F50D4C">
        <w:rPr>
          <w:lang w:val="pl-PL"/>
        </w:rPr>
        <w:tab/>
        <w:t xml:space="preserve">– wartość księgowa brutto danej grupy środków trwałych i wartości niematerialnych i prawnych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1260"/>
        </w:tabs>
        <w:spacing w:before="120" w:line="240" w:lineRule="auto"/>
        <w:ind w:left="1260" w:hanging="1260"/>
        <w:rPr>
          <w:lang w:val="pl-PL"/>
        </w:rPr>
      </w:pPr>
      <w:r w:rsidRPr="00F50D4C">
        <w:rPr>
          <w:b/>
          <w:lang w:val="pl-PL"/>
        </w:rPr>
        <w:t>WKN</w:t>
      </w:r>
      <w:r w:rsidR="00BD5B38" w:rsidRPr="00F50D4C">
        <w:rPr>
          <w:b/>
          <w:vertAlign w:val="subscript"/>
          <w:lang w:val="pl-PL"/>
        </w:rPr>
        <w:t>1</w:t>
      </w:r>
      <w:r w:rsidR="004F2C38" w:rsidRPr="00F50D4C">
        <w:rPr>
          <w:b/>
          <w:vertAlign w:val="subscript"/>
          <w:lang w:val="pl-PL"/>
        </w:rPr>
        <w:t>3</w:t>
      </w:r>
      <w:r w:rsidRPr="00F50D4C">
        <w:rPr>
          <w:lang w:val="pl-PL"/>
        </w:rPr>
        <w:tab/>
        <w:t xml:space="preserve">– wartość księgowa netto danej grupy środków trwałych i wartości niematerialnych i prawnych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1260"/>
        </w:tabs>
        <w:spacing w:before="120" w:line="240" w:lineRule="auto"/>
        <w:ind w:left="1260" w:hanging="1260"/>
        <w:rPr>
          <w:lang w:val="pl-PL"/>
        </w:rPr>
      </w:pPr>
      <w:r w:rsidRPr="00F50D4C">
        <w:rPr>
          <w:b/>
          <w:lang w:val="pl-PL"/>
        </w:rPr>
        <w:t>SWBB</w:t>
      </w:r>
      <w:r w:rsidR="00F767AF" w:rsidRPr="00F50D4C">
        <w:rPr>
          <w:b/>
          <w:vertAlign w:val="subscript"/>
          <w:lang w:val="pl-PL"/>
        </w:rPr>
        <w:t>1</w:t>
      </w:r>
      <w:r w:rsidR="004F2C38" w:rsidRPr="00F50D4C">
        <w:rPr>
          <w:b/>
          <w:vertAlign w:val="subscript"/>
          <w:lang w:val="pl-PL"/>
        </w:rPr>
        <w:t>5</w:t>
      </w:r>
      <w:r w:rsidRPr="00F50D4C">
        <w:rPr>
          <w:lang w:val="pl-PL"/>
        </w:rPr>
        <w:tab/>
        <w:t>– średnioroczna wartość bieżąca brutto danej grupy środków trwałych</w:t>
      </w:r>
      <w:r w:rsidRPr="00F50D4C">
        <w:rPr>
          <w:lang w:val="pl-PL"/>
        </w:rPr>
        <w:br/>
        <w:t xml:space="preserve">i wartości niematerialnych i prawnych w roku </w:t>
      </w:r>
      <w:r w:rsidR="005B24B6" w:rsidRPr="00F50D4C">
        <w:rPr>
          <w:lang w:val="pl-PL"/>
        </w:rPr>
        <w:t>2015</w:t>
      </w:r>
      <w:r w:rsidRPr="00F50D4C">
        <w:rPr>
          <w:lang w:val="pl-PL"/>
        </w:rPr>
        <w:t xml:space="preserve"> dla potrzeb kalkulowania kosztu kapitału.</w:t>
      </w:r>
    </w:p>
    <w:p w:rsidR="0014356E" w:rsidRPr="00F50D4C" w:rsidRDefault="0014356E" w:rsidP="00EB6C89">
      <w:pPr>
        <w:tabs>
          <w:tab w:val="clear" w:pos="567"/>
          <w:tab w:val="left" w:pos="1080"/>
        </w:tabs>
        <w:spacing w:before="120" w:line="240" w:lineRule="auto"/>
        <w:rPr>
          <w:lang w:val="pl-PL"/>
        </w:rPr>
      </w:pPr>
    </w:p>
    <w:p w:rsidR="0014356E" w:rsidRPr="00F50D4C" w:rsidRDefault="0014356E" w:rsidP="00EB6C89">
      <w:pPr>
        <w:tabs>
          <w:tab w:val="clear" w:pos="567"/>
          <w:tab w:val="left" w:pos="1080"/>
        </w:tabs>
        <w:spacing w:before="120" w:line="240" w:lineRule="auto"/>
        <w:rPr>
          <w:lang w:val="pl-PL"/>
        </w:rPr>
      </w:pPr>
      <w:r w:rsidRPr="00F50D4C">
        <w:rPr>
          <w:lang w:val="pl-PL"/>
        </w:rPr>
        <w:t xml:space="preserve">Ze względu na dokonanie przeszacowania wartości aktywów do ich wartości </w:t>
      </w:r>
      <w:r w:rsidR="00802720" w:rsidRPr="00F50D4C">
        <w:rPr>
          <w:lang w:val="pl-PL"/>
        </w:rPr>
        <w:t>b</w:t>
      </w:r>
      <w:r w:rsidR="001D046C" w:rsidRPr="00F50D4C">
        <w:rPr>
          <w:lang w:val="pl-PL"/>
        </w:rPr>
        <w:t>ieżących</w:t>
      </w:r>
      <w:r w:rsidRPr="00F50D4C">
        <w:rPr>
          <w:lang w:val="pl-PL"/>
        </w:rPr>
        <w:t xml:space="preserve">, zastosowanie uproszczonego sposobu określania wartości netto aktywów (WKN/WKB) może powodować przekłamania. W związku z tym formuły te nie mogą znaleźć zastosowania </w:t>
      </w:r>
      <w:r w:rsidR="00073C78" w:rsidRPr="00F50D4C">
        <w:rPr>
          <w:lang w:val="pl-PL"/>
        </w:rPr>
        <w:br/>
      </w:r>
      <w:r w:rsidRPr="00F50D4C">
        <w:rPr>
          <w:lang w:val="pl-PL"/>
        </w:rPr>
        <w:t>w przypadku:</w:t>
      </w:r>
    </w:p>
    <w:p w:rsidR="0014356E" w:rsidRPr="00F50D4C" w:rsidRDefault="0014356E" w:rsidP="00EB6C89">
      <w:pPr>
        <w:numPr>
          <w:ilvl w:val="0"/>
          <w:numId w:val="37"/>
        </w:numPr>
        <w:tabs>
          <w:tab w:val="clear" w:pos="567"/>
          <w:tab w:val="left" w:pos="360"/>
        </w:tabs>
        <w:spacing w:before="120" w:line="240" w:lineRule="auto"/>
        <w:ind w:left="360"/>
        <w:rPr>
          <w:lang w:val="pl-PL"/>
        </w:rPr>
      </w:pPr>
      <w:r w:rsidRPr="00F50D4C">
        <w:rPr>
          <w:lang w:val="pl-PL"/>
        </w:rPr>
        <w:t>grup aktywów, które nie charakteryzują się jednolitością pod względem stosunku wartości bieżącej brutto do wartości księgowej brutto poszczególnych aktywów grupie,</w:t>
      </w:r>
    </w:p>
    <w:p w:rsidR="0014356E" w:rsidRPr="00F50D4C" w:rsidRDefault="0014356E" w:rsidP="00EB6C89">
      <w:pPr>
        <w:numPr>
          <w:ilvl w:val="0"/>
          <w:numId w:val="37"/>
        </w:numPr>
        <w:tabs>
          <w:tab w:val="clear" w:pos="567"/>
          <w:tab w:val="left" w:pos="360"/>
        </w:tabs>
        <w:spacing w:before="120" w:line="240" w:lineRule="auto"/>
        <w:ind w:left="360"/>
        <w:rPr>
          <w:lang w:val="pl-PL"/>
        </w:rPr>
      </w:pPr>
      <w:r w:rsidRPr="00F50D4C">
        <w:rPr>
          <w:lang w:val="pl-PL"/>
        </w:rPr>
        <w:t>aktywów</w:t>
      </w:r>
      <w:r w:rsidR="001D046C" w:rsidRPr="00F50D4C">
        <w:rPr>
          <w:lang w:val="pl-PL"/>
        </w:rPr>
        <w:t>,</w:t>
      </w:r>
      <w:r w:rsidRPr="00F50D4C">
        <w:rPr>
          <w:lang w:val="pl-PL"/>
        </w:rPr>
        <w:t xml:space="preserve"> od których zostały już naliczone odpisy amortyzacyjne, a których wartość została zwiększona poprzez dokonanie inwestycji i które charakteryzują się tym, </w:t>
      </w:r>
      <w:r w:rsidR="00073C78" w:rsidRPr="00F50D4C">
        <w:rPr>
          <w:lang w:val="pl-PL"/>
        </w:rPr>
        <w:br/>
      </w:r>
      <w:r w:rsidRPr="00F50D4C">
        <w:rPr>
          <w:lang w:val="pl-PL"/>
        </w:rPr>
        <w:t xml:space="preserve">iż procentowa zmiana ich wartości księgowej netto po dokonaniu inwestycji jest różna </w:t>
      </w:r>
      <w:r w:rsidR="00073C78" w:rsidRPr="00F50D4C">
        <w:rPr>
          <w:lang w:val="pl-PL"/>
        </w:rPr>
        <w:br/>
      </w:r>
      <w:r w:rsidRPr="00F50D4C">
        <w:rPr>
          <w:lang w:val="pl-PL"/>
        </w:rPr>
        <w:t>od procentowej zmiany ich wartość księgowej brutto,</w:t>
      </w:r>
    </w:p>
    <w:p w:rsidR="0014356E" w:rsidRPr="00F50D4C" w:rsidRDefault="0014356E" w:rsidP="00EB6C89">
      <w:pPr>
        <w:tabs>
          <w:tab w:val="clear" w:pos="567"/>
        </w:tabs>
        <w:spacing w:before="120" w:line="240" w:lineRule="auto"/>
        <w:rPr>
          <w:lang w:val="pl-PL"/>
        </w:rPr>
      </w:pPr>
      <w:r w:rsidRPr="00F50D4C">
        <w:rPr>
          <w:lang w:val="pl-PL"/>
        </w:rPr>
        <w:t>jeżeli zastosowanie uproszczonej formuły spowoduje uz</w:t>
      </w:r>
      <w:r w:rsidR="00632072" w:rsidRPr="00F50D4C">
        <w:rPr>
          <w:lang w:val="pl-PL"/>
        </w:rPr>
        <w:t xml:space="preserve">yskanie wyniku różnego od tego, </w:t>
      </w:r>
      <w:r w:rsidRPr="00F50D4C">
        <w:rPr>
          <w:lang w:val="pl-PL"/>
        </w:rPr>
        <w:t>który uzyskano by wykorzystują</w:t>
      </w:r>
      <w:r w:rsidR="00632072" w:rsidRPr="00F50D4C">
        <w:rPr>
          <w:lang w:val="pl-PL"/>
        </w:rPr>
        <w:t xml:space="preserve">c tradycyjną metodę kalkulacji, co w konsekwencji będzie </w:t>
      </w:r>
      <w:r w:rsidRPr="00F50D4C">
        <w:rPr>
          <w:lang w:val="pl-PL"/>
        </w:rPr>
        <w:t>miało wpływ na wysokość obliczonych kosztów usług lub elementów sieci.</w:t>
      </w:r>
    </w:p>
    <w:p w:rsidR="0014356E" w:rsidRPr="00F50D4C" w:rsidRDefault="0014356E" w:rsidP="00EB6C89">
      <w:pPr>
        <w:tabs>
          <w:tab w:val="clear" w:pos="567"/>
          <w:tab w:val="left" w:pos="1080"/>
        </w:tabs>
        <w:spacing w:before="120" w:line="240" w:lineRule="auto"/>
        <w:rPr>
          <w:lang w:val="pl-PL"/>
        </w:rPr>
      </w:pPr>
      <w:r w:rsidRPr="00F50D4C">
        <w:rPr>
          <w:lang w:val="pl-PL"/>
        </w:rPr>
        <w:lastRenderedPageBreak/>
        <w:t>W wyżej wymienionych przypadkach należy wykorzystać tz</w:t>
      </w:r>
      <w:r w:rsidR="00632072" w:rsidRPr="00F50D4C">
        <w:rPr>
          <w:lang w:val="pl-PL"/>
        </w:rPr>
        <w:t xml:space="preserve">w. „metodę kroczącą”, wg której </w:t>
      </w:r>
      <w:r w:rsidRPr="00F50D4C">
        <w:rPr>
          <w:lang w:val="pl-PL"/>
        </w:rPr>
        <w:t>dokonuje się następujących kalkulacji:</w:t>
      </w:r>
    </w:p>
    <w:p w:rsidR="0014356E" w:rsidRPr="00F50D4C" w:rsidRDefault="0014356E" w:rsidP="00EB6C89">
      <w:pPr>
        <w:tabs>
          <w:tab w:val="clear" w:pos="567"/>
          <w:tab w:val="left" w:pos="1080"/>
        </w:tabs>
        <w:spacing w:before="120" w:line="240" w:lineRule="auto"/>
        <w:jc w:val="center"/>
        <w:rPr>
          <w:lang w:val="pl-PL"/>
        </w:rPr>
      </w:pPr>
    </w:p>
    <w:p w:rsidR="00336BB8" w:rsidRPr="00F50D4C" w:rsidRDefault="00790EA0" w:rsidP="00EB6C89">
      <w:pPr>
        <w:tabs>
          <w:tab w:val="clear" w:pos="567"/>
          <w:tab w:val="left" w:pos="1080"/>
        </w:tabs>
        <w:spacing w:before="120" w:line="240" w:lineRule="auto"/>
        <w:jc w:val="center"/>
        <w:rPr>
          <w:lang w:val="pl-PL"/>
        </w:rPr>
      </w:pPr>
      <w:r w:rsidRPr="00F50D4C">
        <w:rPr>
          <w:position w:val="-12"/>
        </w:rPr>
        <w:object w:dxaOrig="2520" w:dyaOrig="360">
          <v:shape id="_x0000_i1041" type="#_x0000_t75" style="width:175.5pt;height:24pt" o:ole="">
            <v:imagedata r:id="rId41" o:title=""/>
          </v:shape>
          <o:OLEObject Type="Embed" ProgID="Equation.3" ShapeID="_x0000_i1041" DrawAspect="Content" ObjectID="_1457949420" r:id="rId42"/>
        </w:object>
      </w:r>
    </w:p>
    <w:p w:rsidR="005F1ADC" w:rsidRPr="00F50D4C" w:rsidRDefault="00790EA0" w:rsidP="00EB6C89">
      <w:pPr>
        <w:tabs>
          <w:tab w:val="clear" w:pos="567"/>
          <w:tab w:val="left" w:pos="1080"/>
        </w:tabs>
        <w:spacing w:before="120" w:line="240" w:lineRule="auto"/>
        <w:jc w:val="center"/>
      </w:pPr>
      <w:r w:rsidRPr="00F50D4C">
        <w:rPr>
          <w:position w:val="-30"/>
        </w:rPr>
        <w:object w:dxaOrig="2100" w:dyaOrig="700">
          <v:shape id="_x0000_i1042" type="#_x0000_t75" style="width:145.5pt;height:48pt" o:ole="">
            <v:imagedata r:id="rId43" o:title=""/>
          </v:shape>
          <o:OLEObject Type="Embed" ProgID="Equation.3" ShapeID="_x0000_i1042" DrawAspect="Content" ObjectID="_1457949421" r:id="rId44"/>
        </w:object>
      </w:r>
    </w:p>
    <w:p w:rsidR="00336BB8" w:rsidRPr="00F50D4C" w:rsidRDefault="00790EA0" w:rsidP="00EB6C89">
      <w:pPr>
        <w:tabs>
          <w:tab w:val="clear" w:pos="567"/>
          <w:tab w:val="left" w:pos="1080"/>
        </w:tabs>
        <w:spacing w:before="120" w:line="240" w:lineRule="auto"/>
        <w:jc w:val="center"/>
        <w:rPr>
          <w:lang w:val="pl-PL"/>
        </w:rPr>
      </w:pPr>
      <w:r w:rsidRPr="00F50D4C">
        <w:rPr>
          <w:position w:val="-12"/>
        </w:rPr>
        <w:object w:dxaOrig="2659" w:dyaOrig="360">
          <v:shape id="_x0000_i1043" type="#_x0000_t75" style="width:184.5pt;height:24pt" o:ole="">
            <v:imagedata r:id="rId45" o:title=""/>
          </v:shape>
          <o:OLEObject Type="Embed" ProgID="Equation.3" ShapeID="_x0000_i1043" DrawAspect="Content" ObjectID="_1457949422" r:id="rId46"/>
        </w:object>
      </w:r>
    </w:p>
    <w:p w:rsidR="0014356E" w:rsidRPr="00F50D4C" w:rsidRDefault="0014356E" w:rsidP="00EB6C89">
      <w:pPr>
        <w:tabs>
          <w:tab w:val="clear" w:pos="567"/>
          <w:tab w:val="left" w:pos="1080"/>
        </w:tabs>
        <w:spacing w:before="120" w:line="240" w:lineRule="auto"/>
        <w:rPr>
          <w:lang w:val="pl-PL"/>
        </w:rPr>
      </w:pPr>
      <w:r w:rsidRPr="00F50D4C">
        <w:rPr>
          <w:lang w:val="pl-PL"/>
        </w:rPr>
        <w:t>gdzie:</w:t>
      </w:r>
    </w:p>
    <w:p w:rsidR="0014356E" w:rsidRPr="00F50D4C" w:rsidRDefault="0014356E" w:rsidP="00EB6C89">
      <w:pPr>
        <w:tabs>
          <w:tab w:val="clear" w:pos="567"/>
          <w:tab w:val="left" w:pos="2160"/>
        </w:tabs>
        <w:spacing w:before="120" w:line="240" w:lineRule="auto"/>
        <w:ind w:left="1080" w:hanging="1080"/>
        <w:rPr>
          <w:lang w:val="pl-PL"/>
        </w:rPr>
      </w:pPr>
      <w:r w:rsidRPr="00F50D4C">
        <w:rPr>
          <w:b/>
          <w:lang w:val="pl-PL"/>
        </w:rPr>
        <w:t>SWBN</w:t>
      </w:r>
      <w:r w:rsidR="00F767AF" w:rsidRPr="00F50D4C">
        <w:rPr>
          <w:b/>
          <w:vertAlign w:val="subscript"/>
          <w:lang w:val="pl-PL"/>
        </w:rPr>
        <w:t>1</w:t>
      </w:r>
      <w:r w:rsidR="00790EA0" w:rsidRPr="00F50D4C">
        <w:rPr>
          <w:b/>
          <w:vertAlign w:val="subscript"/>
          <w:lang w:val="pl-PL"/>
        </w:rPr>
        <w:t>5</w:t>
      </w:r>
      <w:r w:rsidRPr="00F50D4C">
        <w:rPr>
          <w:lang w:val="pl-PL"/>
        </w:rPr>
        <w:tab/>
        <w:t>– średnioroczna wartość bieżąca netto danej grupy środków trwałych</w:t>
      </w:r>
      <w:r w:rsidRPr="00F50D4C">
        <w:rPr>
          <w:lang w:val="pl-PL"/>
        </w:rPr>
        <w:br/>
        <w:t xml:space="preserve">i wartości niematerialnych i prawnych w roku </w:t>
      </w:r>
      <w:r w:rsidR="005B24B6" w:rsidRPr="00F50D4C">
        <w:rPr>
          <w:lang w:val="pl-PL"/>
        </w:rPr>
        <w:t>2015</w:t>
      </w:r>
      <w:r w:rsidRPr="00F50D4C">
        <w:rPr>
          <w:lang w:val="pl-PL"/>
        </w:rPr>
        <w:t xml:space="preserve"> dla potrzeb kalkulowania kosztu kapitału,</w:t>
      </w:r>
    </w:p>
    <w:p w:rsidR="0014356E" w:rsidRPr="00F50D4C" w:rsidRDefault="0014356E" w:rsidP="00EB6C89">
      <w:pPr>
        <w:tabs>
          <w:tab w:val="clear" w:pos="567"/>
          <w:tab w:val="left" w:pos="360"/>
          <w:tab w:val="left" w:pos="900"/>
          <w:tab w:val="left" w:pos="2160"/>
        </w:tabs>
        <w:spacing w:before="120" w:line="240" w:lineRule="auto"/>
        <w:ind w:left="1080" w:hanging="1080"/>
        <w:rPr>
          <w:lang w:val="pl-PL"/>
        </w:rPr>
      </w:pPr>
      <w:r w:rsidRPr="00F50D4C">
        <w:rPr>
          <w:b/>
          <w:lang w:val="pl-PL"/>
        </w:rPr>
        <w:t>SWBB</w:t>
      </w:r>
      <w:r w:rsidR="00F767AF" w:rsidRPr="00F50D4C">
        <w:rPr>
          <w:b/>
          <w:vertAlign w:val="subscript"/>
          <w:lang w:val="pl-PL"/>
        </w:rPr>
        <w:t>1</w:t>
      </w:r>
      <w:r w:rsidR="00790EA0" w:rsidRPr="00F50D4C">
        <w:rPr>
          <w:b/>
          <w:vertAlign w:val="subscript"/>
          <w:lang w:val="pl-PL"/>
        </w:rPr>
        <w:t>5</w:t>
      </w:r>
      <w:r w:rsidRPr="00F50D4C">
        <w:rPr>
          <w:lang w:val="pl-PL"/>
        </w:rPr>
        <w:tab/>
        <w:t>– średnioroczna wartość bieżąca brutto danej grupy środków trwałych</w:t>
      </w:r>
      <w:r w:rsidRPr="00F50D4C">
        <w:rPr>
          <w:lang w:val="pl-PL"/>
        </w:rPr>
        <w:br/>
        <w:t xml:space="preserve">i wartości niematerialnych i prawnych w roku </w:t>
      </w:r>
      <w:r w:rsidR="005B24B6" w:rsidRPr="00F50D4C">
        <w:rPr>
          <w:lang w:val="pl-PL"/>
        </w:rPr>
        <w:t>2015</w:t>
      </w:r>
      <w:r w:rsidRPr="00F50D4C">
        <w:rPr>
          <w:lang w:val="pl-PL"/>
        </w:rPr>
        <w:t xml:space="preserve"> dla potrzeb kalkulowania kosztu kapitału,</w:t>
      </w:r>
    </w:p>
    <w:p w:rsidR="0014356E" w:rsidRPr="00F50D4C" w:rsidRDefault="0014356E" w:rsidP="00EB6C89">
      <w:pPr>
        <w:tabs>
          <w:tab w:val="clear" w:pos="567"/>
          <w:tab w:val="left" w:pos="360"/>
          <w:tab w:val="left" w:pos="900"/>
          <w:tab w:val="left" w:pos="2160"/>
        </w:tabs>
        <w:spacing w:before="120" w:line="240" w:lineRule="auto"/>
        <w:ind w:left="1080" w:hanging="1080"/>
        <w:rPr>
          <w:lang w:val="pl-PL"/>
        </w:rPr>
      </w:pPr>
      <w:r w:rsidRPr="00F50D4C">
        <w:rPr>
          <w:b/>
          <w:lang w:val="pl-PL"/>
        </w:rPr>
        <w:t>UB</w:t>
      </w:r>
      <w:r w:rsidR="00F767AF" w:rsidRPr="00F50D4C">
        <w:rPr>
          <w:b/>
          <w:vertAlign w:val="subscript"/>
          <w:lang w:val="pl-PL"/>
        </w:rPr>
        <w:t>1</w:t>
      </w:r>
      <w:r w:rsidR="00790EA0" w:rsidRPr="00F50D4C">
        <w:rPr>
          <w:b/>
          <w:vertAlign w:val="subscript"/>
          <w:lang w:val="pl-PL"/>
        </w:rPr>
        <w:t>5</w:t>
      </w:r>
      <w:r w:rsidRPr="00F50D4C">
        <w:rPr>
          <w:lang w:val="pl-PL"/>
        </w:rPr>
        <w:tab/>
        <w:t xml:space="preserve">– umorzenie bieżące danej grupy środków trwałych i wartości niematerialnych </w:t>
      </w:r>
      <w:r w:rsidR="00073C78" w:rsidRPr="00F50D4C">
        <w:rPr>
          <w:lang w:val="pl-PL"/>
        </w:rPr>
        <w:br/>
      </w:r>
      <w:r w:rsidRPr="00F50D4C">
        <w:rPr>
          <w:lang w:val="pl-PL"/>
        </w:rPr>
        <w:t xml:space="preserve">i prawnych na dzień kalkulacji (wprowadzania danych do modelu) w roku </w:t>
      </w:r>
      <w:r w:rsidR="00790EA0" w:rsidRPr="00F50D4C">
        <w:rPr>
          <w:lang w:val="pl-PL"/>
        </w:rPr>
        <w:t>2014</w:t>
      </w:r>
      <w:r w:rsidRPr="00F50D4C">
        <w:rPr>
          <w:lang w:val="pl-PL"/>
        </w:rPr>
        <w:t>,</w:t>
      </w:r>
    </w:p>
    <w:p w:rsidR="0014356E" w:rsidRPr="00F50D4C" w:rsidRDefault="0014356E" w:rsidP="00EB6C89">
      <w:pPr>
        <w:tabs>
          <w:tab w:val="clear" w:pos="567"/>
          <w:tab w:val="left" w:pos="360"/>
          <w:tab w:val="left" w:pos="900"/>
          <w:tab w:val="left" w:pos="2160"/>
        </w:tabs>
        <w:spacing w:before="120" w:line="240" w:lineRule="auto"/>
        <w:ind w:left="1080" w:hanging="1080"/>
        <w:rPr>
          <w:lang w:val="pl-PL"/>
        </w:rPr>
      </w:pPr>
      <w:r w:rsidRPr="00F50D4C">
        <w:rPr>
          <w:b/>
          <w:lang w:val="pl-PL"/>
        </w:rPr>
        <w:t>UH</w:t>
      </w:r>
      <w:r w:rsidR="00CD11C6" w:rsidRPr="00F50D4C">
        <w:rPr>
          <w:b/>
          <w:vertAlign w:val="subscript"/>
          <w:lang w:val="pl-PL"/>
        </w:rPr>
        <w:t>1</w:t>
      </w:r>
      <w:r w:rsidR="00790EA0" w:rsidRPr="00F50D4C">
        <w:rPr>
          <w:b/>
          <w:vertAlign w:val="subscript"/>
          <w:lang w:val="pl-PL"/>
        </w:rPr>
        <w:t>3</w:t>
      </w:r>
      <w:r w:rsidRPr="00F50D4C">
        <w:rPr>
          <w:b/>
          <w:lang w:val="pl-PL"/>
        </w:rPr>
        <w:tab/>
      </w:r>
      <w:r w:rsidRPr="00F50D4C">
        <w:rPr>
          <w:lang w:val="pl-PL"/>
        </w:rPr>
        <w:t xml:space="preserve">– umorzenie historyczne danej grupy środków trwałych i wartości niematerialnych </w:t>
      </w:r>
      <w:r w:rsidR="00073C78" w:rsidRPr="00F50D4C">
        <w:rPr>
          <w:lang w:val="pl-PL"/>
        </w:rPr>
        <w:br/>
      </w:r>
      <w:r w:rsidRPr="00F50D4C">
        <w:rPr>
          <w:lang w:val="pl-PL"/>
        </w:rPr>
        <w:t xml:space="preserve">i prawnych na koniec roku </w:t>
      </w:r>
      <w:r w:rsidR="005B24B6" w:rsidRPr="00F50D4C">
        <w:rPr>
          <w:lang w:val="pl-PL"/>
        </w:rPr>
        <w:t>2013</w:t>
      </w:r>
      <w:r w:rsidRPr="00F50D4C">
        <w:rPr>
          <w:lang w:val="pl-PL"/>
        </w:rPr>
        <w:t>,</w:t>
      </w:r>
    </w:p>
    <w:p w:rsidR="0014356E" w:rsidRPr="00F50D4C" w:rsidRDefault="0014356E" w:rsidP="00EB6C89">
      <w:pPr>
        <w:tabs>
          <w:tab w:val="clear" w:pos="567"/>
          <w:tab w:val="left" w:pos="360"/>
          <w:tab w:val="left" w:pos="900"/>
          <w:tab w:val="left" w:pos="1620"/>
          <w:tab w:val="left" w:pos="2160"/>
        </w:tabs>
        <w:spacing w:before="120" w:line="240" w:lineRule="auto"/>
        <w:ind w:left="900" w:hanging="900"/>
        <w:rPr>
          <w:lang w:val="pl-PL"/>
        </w:rPr>
      </w:pPr>
      <w:r w:rsidRPr="00F50D4C">
        <w:rPr>
          <w:b/>
          <w:lang w:val="pl-PL"/>
        </w:rPr>
        <w:t>WBB</w:t>
      </w:r>
      <w:r w:rsidR="00F767AF" w:rsidRPr="00F50D4C">
        <w:rPr>
          <w:b/>
          <w:vertAlign w:val="subscript"/>
          <w:lang w:val="pl-PL"/>
        </w:rPr>
        <w:t>1</w:t>
      </w:r>
      <w:r w:rsidR="00790EA0" w:rsidRPr="00F50D4C">
        <w:rPr>
          <w:b/>
          <w:vertAlign w:val="subscript"/>
          <w:lang w:val="pl-PL"/>
        </w:rPr>
        <w:t>5</w:t>
      </w:r>
      <w:r w:rsidRPr="00F50D4C">
        <w:rPr>
          <w:lang w:val="pl-PL"/>
        </w:rPr>
        <w:tab/>
        <w:t xml:space="preserve">– wartość bieżąca brutto danej grupy środków trwałych i wartości niematerialnych </w:t>
      </w:r>
      <w:r w:rsidR="00073C78" w:rsidRPr="00F50D4C">
        <w:rPr>
          <w:lang w:val="pl-PL"/>
        </w:rPr>
        <w:br/>
      </w:r>
      <w:r w:rsidRPr="00F50D4C">
        <w:rPr>
          <w:lang w:val="pl-PL"/>
        </w:rPr>
        <w:t>i prawnych na dzień kalkulacji (wprowadzania danych do modelu) w roku</w:t>
      </w:r>
      <w:r w:rsidR="00790EA0" w:rsidRPr="00F50D4C">
        <w:rPr>
          <w:lang w:val="pl-PL"/>
        </w:rPr>
        <w:t>2014</w:t>
      </w:r>
      <w:r w:rsidRPr="00F50D4C">
        <w:rPr>
          <w:lang w:val="pl-PL"/>
        </w:rPr>
        <w:t>,</w:t>
      </w:r>
    </w:p>
    <w:p w:rsidR="0014356E" w:rsidRPr="00F50D4C" w:rsidRDefault="0014356E" w:rsidP="00EB6C89">
      <w:pPr>
        <w:tabs>
          <w:tab w:val="clear" w:pos="567"/>
          <w:tab w:val="left" w:pos="360"/>
          <w:tab w:val="left" w:pos="2160"/>
        </w:tabs>
        <w:spacing w:before="120" w:line="240" w:lineRule="auto"/>
        <w:ind w:left="900" w:hanging="900"/>
        <w:rPr>
          <w:lang w:val="pl-PL"/>
        </w:rPr>
      </w:pPr>
      <w:r w:rsidRPr="00F50D4C">
        <w:rPr>
          <w:b/>
          <w:lang w:val="pl-PL"/>
        </w:rPr>
        <w:t>WKB</w:t>
      </w:r>
      <w:r w:rsidR="00CD11C6" w:rsidRPr="00F50D4C">
        <w:rPr>
          <w:b/>
          <w:vertAlign w:val="subscript"/>
          <w:lang w:val="pl-PL"/>
        </w:rPr>
        <w:t>1</w:t>
      </w:r>
      <w:r w:rsidR="00790EA0" w:rsidRPr="00F50D4C">
        <w:rPr>
          <w:b/>
          <w:vertAlign w:val="subscript"/>
          <w:lang w:val="pl-PL"/>
        </w:rPr>
        <w:t>3</w:t>
      </w:r>
      <w:r w:rsidRPr="00F50D4C">
        <w:rPr>
          <w:lang w:val="pl-PL"/>
        </w:rPr>
        <w:tab/>
        <w:t>– wartość księgowa brutto danej grupy środków trwa</w:t>
      </w:r>
      <w:r w:rsidR="00196E20" w:rsidRPr="00F50D4C">
        <w:rPr>
          <w:lang w:val="pl-PL"/>
        </w:rPr>
        <w:t xml:space="preserve">łych i wartości niematerialnych </w:t>
      </w:r>
      <w:r w:rsidRPr="00F50D4C">
        <w:rPr>
          <w:lang w:val="pl-PL"/>
        </w:rPr>
        <w:t xml:space="preserve">i prawnych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2160"/>
        </w:tabs>
        <w:spacing w:before="120" w:line="240" w:lineRule="auto"/>
        <w:ind w:left="900" w:hanging="900"/>
        <w:rPr>
          <w:lang w:val="pl-PL"/>
        </w:rPr>
      </w:pPr>
      <w:r w:rsidRPr="00F50D4C">
        <w:rPr>
          <w:b/>
          <w:lang w:val="pl-PL"/>
        </w:rPr>
        <w:t>W</w:t>
      </w:r>
      <w:r w:rsidR="00A051F9" w:rsidRPr="00F50D4C">
        <w:rPr>
          <w:b/>
          <w:vertAlign w:val="subscript"/>
          <w:lang w:val="pl-PL"/>
        </w:rPr>
        <w:t>1</w:t>
      </w:r>
      <w:r w:rsidR="00790EA0" w:rsidRPr="00F50D4C">
        <w:rPr>
          <w:b/>
          <w:vertAlign w:val="subscript"/>
          <w:lang w:val="pl-PL"/>
        </w:rPr>
        <w:t>3</w:t>
      </w:r>
      <w:r w:rsidRPr="00F50D4C">
        <w:rPr>
          <w:lang w:val="pl-PL"/>
        </w:rPr>
        <w:tab/>
        <w:t>– wolumen danej grupy środków trwałych i wartości niematerialnych</w:t>
      </w:r>
      <w:r w:rsidR="00196E20" w:rsidRPr="00F50D4C">
        <w:rPr>
          <w:lang w:val="pl-PL"/>
        </w:rPr>
        <w:t xml:space="preserve"> </w:t>
      </w:r>
      <w:r w:rsidRPr="00F50D4C">
        <w:rPr>
          <w:lang w:val="pl-PL"/>
        </w:rPr>
        <w:t xml:space="preserve">i prawnych użytkowanych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C</w:t>
      </w:r>
      <w:r w:rsidR="00196E20" w:rsidRPr="00F50D4C">
        <w:rPr>
          <w:b/>
          <w:vertAlign w:val="subscript"/>
          <w:lang w:val="pl-PL"/>
        </w:rPr>
        <w:t>1</w:t>
      </w:r>
      <w:r w:rsidR="00790EA0" w:rsidRPr="00F50D4C">
        <w:rPr>
          <w:b/>
          <w:vertAlign w:val="subscript"/>
          <w:lang w:val="pl-PL"/>
        </w:rPr>
        <w:t>3</w:t>
      </w:r>
      <w:r w:rsidRPr="00F50D4C">
        <w:rPr>
          <w:lang w:val="pl-PL"/>
        </w:rPr>
        <w:tab/>
        <w:t xml:space="preserve">– ceny </w:t>
      </w:r>
      <w:r w:rsidR="00B8272A" w:rsidRPr="00F50D4C">
        <w:rPr>
          <w:lang w:val="pl-PL"/>
        </w:rPr>
        <w:t xml:space="preserve">obowiązujące </w:t>
      </w:r>
      <w:r w:rsidR="00F22F33" w:rsidRPr="00F50D4C">
        <w:rPr>
          <w:lang w:val="pl-PL"/>
        </w:rPr>
        <w:t xml:space="preserve">na </w:t>
      </w:r>
      <w:r w:rsidR="00B8272A" w:rsidRPr="00F50D4C">
        <w:rPr>
          <w:lang w:val="pl-PL"/>
        </w:rPr>
        <w:t xml:space="preserve">koniec roku </w:t>
      </w:r>
      <w:r w:rsidR="005B24B6" w:rsidRPr="00F50D4C">
        <w:rPr>
          <w:lang w:val="pl-PL"/>
        </w:rPr>
        <w:t>2013</w:t>
      </w:r>
      <w:r w:rsidR="00B8272A" w:rsidRPr="00F50D4C">
        <w:rPr>
          <w:lang w:val="pl-PL"/>
        </w:rPr>
        <w:t xml:space="preserve"> </w:t>
      </w:r>
      <w:r w:rsidRPr="00F50D4C">
        <w:rPr>
          <w:lang w:val="pl-PL"/>
        </w:rPr>
        <w:t xml:space="preserve">dostępne na dzień kalkulacji </w:t>
      </w:r>
      <w:r w:rsidR="00196E20" w:rsidRPr="00F50D4C">
        <w:rPr>
          <w:lang w:val="pl-PL"/>
        </w:rPr>
        <w:t xml:space="preserve">(wprowadzania danych do modelu) </w:t>
      </w:r>
      <w:r w:rsidRPr="00F50D4C">
        <w:rPr>
          <w:lang w:val="pl-PL"/>
        </w:rPr>
        <w:t xml:space="preserve">w roku </w:t>
      </w:r>
      <w:r w:rsidR="00A051F9" w:rsidRPr="00F50D4C">
        <w:rPr>
          <w:lang w:val="pl-PL"/>
        </w:rPr>
        <w:t>201</w:t>
      </w:r>
      <w:r w:rsidR="00790EA0" w:rsidRPr="00F50D4C">
        <w:rPr>
          <w:lang w:val="pl-PL"/>
        </w:rPr>
        <w:t>4</w:t>
      </w:r>
      <w:r w:rsidR="001D046C" w:rsidRPr="00F50D4C">
        <w:rPr>
          <w:lang w:val="pl-PL"/>
        </w:rPr>
        <w:t>;</w:t>
      </w:r>
      <w:r w:rsidR="0006055F"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2013</w:t>
      </w:r>
      <w:r w:rsidR="00C22512" w:rsidRPr="00F50D4C">
        <w:rPr>
          <w:lang w:val="pl-PL"/>
        </w:rPr>
        <w:t>,</w:t>
      </w:r>
      <w:r w:rsidR="005A0C55" w:rsidRPr="00F50D4C">
        <w:rPr>
          <w:lang w:val="pl-PL"/>
        </w:rPr>
        <w:t xml:space="preserve"> obliczone zgodnie z metodologią opisaną w pkt. 3 poniżej,</w:t>
      </w:r>
    </w:p>
    <w:p w:rsidR="0014356E" w:rsidRPr="00F50D4C" w:rsidRDefault="00307BC2" w:rsidP="00EB6C89">
      <w:pPr>
        <w:tabs>
          <w:tab w:val="clear" w:pos="567"/>
          <w:tab w:val="left" w:pos="900"/>
        </w:tabs>
        <w:spacing w:before="120" w:line="240" w:lineRule="auto"/>
        <w:ind w:left="900" w:hanging="900"/>
        <w:rPr>
          <w:lang w:val="pl-PL"/>
        </w:rPr>
      </w:pPr>
      <w:r w:rsidRPr="00F50D4C">
        <w:rPr>
          <w:b/>
          <w:lang w:val="pl-PL"/>
        </w:rPr>
        <w:t>K</w:t>
      </w:r>
      <w:r w:rsidRPr="00F50D4C">
        <w:rPr>
          <w:b/>
          <w:vertAlign w:val="subscript"/>
          <w:lang w:val="pl-PL"/>
        </w:rPr>
        <w:t>0</w:t>
      </w:r>
      <w:r w:rsidR="00790EA0" w:rsidRPr="00F50D4C">
        <w:rPr>
          <w:b/>
          <w:vertAlign w:val="subscript"/>
          <w:lang w:val="pl-PL"/>
        </w:rPr>
        <w:t>9</w:t>
      </w:r>
      <w:r w:rsidRPr="00F50D4C">
        <w:rPr>
          <w:b/>
          <w:vertAlign w:val="subscript"/>
          <w:lang w:val="pl-PL"/>
        </w:rPr>
        <w:t>-1</w:t>
      </w:r>
      <w:r w:rsidR="00790EA0" w:rsidRPr="00F50D4C">
        <w:rPr>
          <w:b/>
          <w:vertAlign w:val="subscript"/>
          <w:lang w:val="pl-PL"/>
        </w:rPr>
        <w:t>3</w:t>
      </w:r>
      <w:r w:rsidR="005F1ADC" w:rsidRPr="00F50D4C">
        <w:rPr>
          <w:b/>
          <w:vertAlign w:val="subscript"/>
          <w:lang w:val="pl-PL"/>
        </w:rPr>
        <w:tab/>
      </w:r>
      <w:r w:rsidRPr="00F50D4C">
        <w:rPr>
          <w:b/>
          <w:vertAlign w:val="subscript"/>
          <w:lang w:val="pl-PL"/>
        </w:rPr>
        <w:t xml:space="preserve"> </w:t>
      </w:r>
      <w:r w:rsidR="0014356E" w:rsidRPr="00F50D4C">
        <w:rPr>
          <w:lang w:val="pl-PL"/>
        </w:rPr>
        <w:t>– średnia arytmetyczna dziennych kursów walut obcyc</w:t>
      </w:r>
      <w:r w:rsidR="004E6168" w:rsidRPr="00F50D4C">
        <w:rPr>
          <w:lang w:val="pl-PL"/>
        </w:rPr>
        <w:t>h z tabel NBP obowiązujących w</w:t>
      </w:r>
      <w:r w:rsidR="00080E00" w:rsidRPr="00F50D4C">
        <w:rPr>
          <w:lang w:val="pl-PL"/>
        </w:rPr>
        <w:t xml:space="preserve"> okresie od 1 stycznia 200</w:t>
      </w:r>
      <w:r w:rsidR="00790EA0" w:rsidRPr="00F50D4C">
        <w:rPr>
          <w:lang w:val="pl-PL"/>
        </w:rPr>
        <w:t>9</w:t>
      </w:r>
      <w:r w:rsidR="00080E00" w:rsidRPr="00F50D4C">
        <w:rPr>
          <w:lang w:val="pl-PL"/>
        </w:rPr>
        <w:t xml:space="preserve"> roku do 31 grudnia </w:t>
      </w:r>
      <w:r w:rsidR="005B24B6" w:rsidRPr="00F50D4C">
        <w:rPr>
          <w:lang w:val="pl-PL"/>
        </w:rPr>
        <w:t>2013</w:t>
      </w:r>
      <w:r w:rsidR="00080E00" w:rsidRPr="00F50D4C">
        <w:rPr>
          <w:lang w:val="pl-PL"/>
        </w:rPr>
        <w:t xml:space="preserve"> roku</w:t>
      </w:r>
      <w:r w:rsidR="0014356E" w:rsidRPr="00F50D4C">
        <w:rPr>
          <w:lang w:val="pl-PL"/>
        </w:rPr>
        <w:t>.</w:t>
      </w:r>
    </w:p>
    <w:p w:rsidR="0014356E" w:rsidRPr="00F50D4C" w:rsidRDefault="0014356E" w:rsidP="00EB6C89">
      <w:pPr>
        <w:tabs>
          <w:tab w:val="clear" w:pos="567"/>
          <w:tab w:val="left" w:pos="1080"/>
        </w:tabs>
        <w:spacing w:before="120" w:line="240" w:lineRule="auto"/>
        <w:rPr>
          <w:lang w:val="pl-PL"/>
        </w:rPr>
      </w:pPr>
      <w:r w:rsidRPr="00F50D4C">
        <w:rPr>
          <w:lang w:val="pl-PL"/>
        </w:rPr>
        <w:t>Koszt kapitału jest miarą wynagrodzenia</w:t>
      </w:r>
      <w:r w:rsidR="00790EA0" w:rsidRPr="00F50D4C">
        <w:rPr>
          <w:lang w:val="pl-PL"/>
        </w:rPr>
        <w:t>,</w:t>
      </w:r>
      <w:r w:rsidRPr="00F50D4C">
        <w:rPr>
          <w:lang w:val="pl-PL"/>
        </w:rPr>
        <w:t xml:space="preserve"> jakiego oczekuje inwestor dokonując inwestycji </w:t>
      </w:r>
      <w:r w:rsidR="00073C78" w:rsidRPr="00F50D4C">
        <w:rPr>
          <w:lang w:val="pl-PL"/>
        </w:rPr>
        <w:br/>
      </w:r>
      <w:r w:rsidRPr="00F50D4C">
        <w:rPr>
          <w:lang w:val="pl-PL"/>
        </w:rPr>
        <w:t xml:space="preserve">i </w:t>
      </w:r>
      <w:r w:rsidR="001D046C" w:rsidRPr="00F50D4C">
        <w:rPr>
          <w:lang w:val="pl-PL"/>
        </w:rPr>
        <w:t>angażując</w:t>
      </w:r>
      <w:r w:rsidRPr="00F50D4C">
        <w:rPr>
          <w:lang w:val="pl-PL"/>
        </w:rPr>
        <w:t xml:space="preserve"> tym samym własny kapitał. Koszt kapitału jest warunkowany poprzez alternatywne możliwości inwestycyjne. Jeżeli zwrot z inwestycji jest niższy od alternatywnych przedsięwzięć o podobnej mierze ryzyka, kapitał przeznaczony zostanie na alternatywne inwestycje. </w:t>
      </w:r>
      <w:r w:rsidR="00905979" w:rsidRPr="00F50D4C">
        <w:rPr>
          <w:lang w:val="pl-PL"/>
        </w:rPr>
        <w:t xml:space="preserve">OPL </w:t>
      </w:r>
      <w:r w:rsidRPr="00F50D4C">
        <w:rPr>
          <w:lang w:val="pl-PL"/>
        </w:rPr>
        <w:t xml:space="preserve">przeprowadza kalkulację w koszcie bieżącym wg tzw. koncepcji zachowania kapitału finansowego (FCM od ang. Financial Capital </w:t>
      </w:r>
      <w:proofErr w:type="spellStart"/>
      <w:r w:rsidRPr="00F50D4C">
        <w:rPr>
          <w:lang w:val="pl-PL"/>
        </w:rPr>
        <w:t>Maintenance</w:t>
      </w:r>
      <w:proofErr w:type="spellEnd"/>
      <w:r w:rsidRPr="00F50D4C">
        <w:rPr>
          <w:lang w:val="pl-PL"/>
        </w:rPr>
        <w:t>).</w:t>
      </w:r>
    </w:p>
    <w:p w:rsidR="0014356E" w:rsidRPr="00F50D4C" w:rsidRDefault="0014356E" w:rsidP="00EB6C89">
      <w:pPr>
        <w:tabs>
          <w:tab w:val="clear" w:pos="567"/>
          <w:tab w:val="left" w:pos="1080"/>
        </w:tabs>
        <w:spacing w:before="120" w:line="240" w:lineRule="auto"/>
        <w:rPr>
          <w:lang w:val="pl-PL"/>
        </w:rPr>
      </w:pPr>
      <w:r w:rsidRPr="00F50D4C">
        <w:rPr>
          <w:lang w:val="pl-PL"/>
        </w:rPr>
        <w:t xml:space="preserve">Metodologia </w:t>
      </w:r>
      <w:r w:rsidR="00DC4F36" w:rsidRPr="00F50D4C">
        <w:rPr>
          <w:lang w:val="pl-PL"/>
        </w:rPr>
        <w:t xml:space="preserve">kalkulacji </w:t>
      </w:r>
      <w:r w:rsidRPr="00F50D4C">
        <w:rPr>
          <w:lang w:val="pl-PL"/>
        </w:rPr>
        <w:t xml:space="preserve">zorientowanych przyszłościowo </w:t>
      </w:r>
      <w:r w:rsidR="00632072" w:rsidRPr="00F50D4C">
        <w:rPr>
          <w:lang w:val="pl-PL"/>
        </w:rPr>
        <w:t xml:space="preserve">kosztów zakłada włączenie </w:t>
      </w:r>
      <w:r w:rsidR="004A766E" w:rsidRPr="00F50D4C">
        <w:rPr>
          <w:lang w:val="pl-PL"/>
        </w:rPr>
        <w:br/>
      </w:r>
      <w:r w:rsidR="00632072" w:rsidRPr="00F50D4C">
        <w:rPr>
          <w:lang w:val="pl-PL"/>
        </w:rPr>
        <w:t xml:space="preserve">do </w:t>
      </w:r>
      <w:r w:rsidRPr="00F50D4C">
        <w:rPr>
          <w:lang w:val="pl-PL"/>
        </w:rPr>
        <w:t>kalkulacji kosztu zaangażowanego kapi</w:t>
      </w:r>
      <w:r w:rsidR="00632072" w:rsidRPr="00F50D4C">
        <w:rPr>
          <w:lang w:val="pl-PL"/>
        </w:rPr>
        <w:t xml:space="preserve">tału. Dlatego koszty wynikające z posiadania przez </w:t>
      </w:r>
      <w:r w:rsidRPr="00F50D4C">
        <w:rPr>
          <w:lang w:val="pl-PL"/>
        </w:rPr>
        <w:t>operatora środków trwa</w:t>
      </w:r>
      <w:r w:rsidR="00632072" w:rsidRPr="00F50D4C">
        <w:rPr>
          <w:lang w:val="pl-PL"/>
        </w:rPr>
        <w:t xml:space="preserve">łych i wartości niematerialnych </w:t>
      </w:r>
      <w:r w:rsidRPr="00F50D4C">
        <w:rPr>
          <w:lang w:val="pl-PL"/>
        </w:rPr>
        <w:t>i p</w:t>
      </w:r>
      <w:r w:rsidR="00632072" w:rsidRPr="00F50D4C">
        <w:rPr>
          <w:lang w:val="pl-PL"/>
        </w:rPr>
        <w:t xml:space="preserve">rawnych oprócz bieżącego kosztu </w:t>
      </w:r>
      <w:r w:rsidRPr="00F50D4C">
        <w:rPr>
          <w:lang w:val="pl-PL"/>
        </w:rPr>
        <w:t>amortyzacji oraz zysku/straty z przeszacowania powiększane są o narzut kosztu kapitału.</w:t>
      </w:r>
    </w:p>
    <w:p w:rsidR="0014356E" w:rsidRPr="00F50D4C" w:rsidRDefault="00DC4F36" w:rsidP="00EB6C89">
      <w:pPr>
        <w:tabs>
          <w:tab w:val="clear" w:pos="567"/>
          <w:tab w:val="left" w:pos="1080"/>
        </w:tabs>
        <w:spacing w:before="120" w:line="240" w:lineRule="auto"/>
        <w:rPr>
          <w:lang w:val="pl-PL"/>
        </w:rPr>
      </w:pPr>
      <w:r w:rsidRPr="00F50D4C">
        <w:rPr>
          <w:lang w:val="pl-PL"/>
        </w:rPr>
        <w:lastRenderedPageBreak/>
        <w:t>Wartość</w:t>
      </w:r>
      <w:r w:rsidR="0014356E" w:rsidRPr="00F50D4C">
        <w:rPr>
          <w:lang w:val="pl-PL"/>
        </w:rPr>
        <w:t xml:space="preserve"> kosztu kapitału obliczana jest od bieżącej wartości netto grup środków trwałych </w:t>
      </w:r>
      <w:r w:rsidR="004A766E" w:rsidRPr="00F50D4C">
        <w:rPr>
          <w:lang w:val="pl-PL"/>
        </w:rPr>
        <w:br/>
      </w:r>
      <w:r w:rsidR="0014356E" w:rsidRPr="00F50D4C">
        <w:rPr>
          <w:lang w:val="pl-PL"/>
        </w:rPr>
        <w:t>i wartości niematerialnych i prawnych.</w:t>
      </w:r>
    </w:p>
    <w:p w:rsidR="0014356E" w:rsidRPr="00F50D4C" w:rsidRDefault="0014356E" w:rsidP="00EB6C89">
      <w:pPr>
        <w:tabs>
          <w:tab w:val="clear" w:pos="567"/>
          <w:tab w:val="left" w:pos="1080"/>
        </w:tabs>
        <w:spacing w:before="120" w:line="240" w:lineRule="auto"/>
        <w:rPr>
          <w:lang w:val="pl-PL"/>
        </w:rPr>
      </w:pPr>
      <w:r w:rsidRPr="00F50D4C">
        <w:rPr>
          <w:lang w:val="pl-PL"/>
        </w:rPr>
        <w:t>W tym celu wykorzystuje się informacje o:</w:t>
      </w:r>
    </w:p>
    <w:p w:rsidR="0014356E" w:rsidRPr="00F50D4C" w:rsidRDefault="0014356E" w:rsidP="00EB6C89">
      <w:pPr>
        <w:numPr>
          <w:ilvl w:val="0"/>
          <w:numId w:val="43"/>
        </w:numPr>
        <w:tabs>
          <w:tab w:val="clear" w:pos="567"/>
          <w:tab w:val="left" w:pos="360"/>
        </w:tabs>
        <w:spacing w:before="120" w:line="240" w:lineRule="auto"/>
        <w:ind w:left="360"/>
        <w:rPr>
          <w:lang w:val="pl-PL"/>
        </w:rPr>
      </w:pPr>
      <w:r w:rsidRPr="00F50D4C">
        <w:rPr>
          <w:lang w:val="pl-PL"/>
        </w:rPr>
        <w:t xml:space="preserve">średniorocznej wartości bieżącej netto środków trwałych i wartości niematerialnych </w:t>
      </w:r>
      <w:r w:rsidR="004A766E" w:rsidRPr="00F50D4C">
        <w:rPr>
          <w:lang w:val="pl-PL"/>
        </w:rPr>
        <w:br/>
      </w:r>
      <w:r w:rsidRPr="00F50D4C">
        <w:rPr>
          <w:lang w:val="pl-PL"/>
        </w:rPr>
        <w:t>i prawnych (SWBN</w:t>
      </w:r>
      <w:r w:rsidR="00F767AF" w:rsidRPr="00F50D4C">
        <w:rPr>
          <w:vertAlign w:val="subscript"/>
          <w:lang w:val="pl-PL"/>
        </w:rPr>
        <w:t>1</w:t>
      </w:r>
      <w:r w:rsidR="00790EA0" w:rsidRPr="00F50D4C">
        <w:rPr>
          <w:vertAlign w:val="subscript"/>
          <w:lang w:val="pl-PL"/>
        </w:rPr>
        <w:t>5</w:t>
      </w:r>
      <w:r w:rsidRPr="00F50D4C">
        <w:rPr>
          <w:lang w:val="pl-PL"/>
        </w:rPr>
        <w:t>),</w:t>
      </w:r>
    </w:p>
    <w:p w:rsidR="0014356E" w:rsidRPr="00F50D4C" w:rsidRDefault="0014356E" w:rsidP="00EB6C89">
      <w:pPr>
        <w:numPr>
          <w:ilvl w:val="0"/>
          <w:numId w:val="43"/>
        </w:numPr>
        <w:tabs>
          <w:tab w:val="clear" w:pos="567"/>
          <w:tab w:val="left" w:pos="360"/>
        </w:tabs>
        <w:spacing w:before="120" w:line="240" w:lineRule="auto"/>
        <w:ind w:left="360"/>
        <w:jc w:val="left"/>
        <w:rPr>
          <w:lang w:val="pl-PL"/>
        </w:rPr>
      </w:pPr>
      <w:r w:rsidRPr="00F50D4C">
        <w:rPr>
          <w:lang w:val="pl-PL"/>
        </w:rPr>
        <w:t>wysokości wskaźnika zwrotu kosztu zaangażowanego kapitału.</w:t>
      </w:r>
    </w:p>
    <w:p w:rsidR="0014356E" w:rsidRPr="00F50D4C" w:rsidRDefault="0014356E" w:rsidP="00EB6C89">
      <w:pPr>
        <w:tabs>
          <w:tab w:val="left" w:pos="180"/>
          <w:tab w:val="left" w:pos="360"/>
        </w:tabs>
        <w:spacing w:before="120" w:line="240" w:lineRule="auto"/>
        <w:rPr>
          <w:lang w:val="pl-PL"/>
        </w:rPr>
      </w:pPr>
    </w:p>
    <w:p w:rsidR="0014356E" w:rsidRPr="00F50D4C" w:rsidRDefault="0014356E" w:rsidP="00EB6C89">
      <w:pPr>
        <w:tabs>
          <w:tab w:val="clear" w:pos="567"/>
          <w:tab w:val="left" w:pos="1080"/>
        </w:tabs>
        <w:spacing w:before="120" w:line="240" w:lineRule="auto"/>
        <w:rPr>
          <w:lang w:val="pl-PL"/>
        </w:rPr>
      </w:pPr>
      <w:r w:rsidRPr="00F50D4C">
        <w:rPr>
          <w:lang w:val="pl-PL"/>
        </w:rPr>
        <w:t xml:space="preserve">Koszt kapitału od wartości bieżącej netto środków trwałych i wartości niematerialnych </w:t>
      </w:r>
      <w:r w:rsidR="004A766E" w:rsidRPr="00F50D4C">
        <w:rPr>
          <w:lang w:val="pl-PL"/>
        </w:rPr>
        <w:br/>
      </w:r>
      <w:r w:rsidRPr="00F50D4C">
        <w:rPr>
          <w:lang w:val="pl-PL"/>
        </w:rPr>
        <w:t>i prawnych oblicza się za pomocą wzorów:</w:t>
      </w:r>
    </w:p>
    <w:p w:rsidR="00DF69E6" w:rsidRPr="00F50D4C" w:rsidRDefault="00790EA0" w:rsidP="00EB6C89">
      <w:pPr>
        <w:tabs>
          <w:tab w:val="clear" w:pos="567"/>
          <w:tab w:val="left" w:pos="1080"/>
        </w:tabs>
        <w:spacing w:before="120" w:line="240" w:lineRule="auto"/>
        <w:jc w:val="center"/>
        <w:rPr>
          <w:lang w:val="pl-PL"/>
        </w:rPr>
      </w:pPr>
      <w:r w:rsidRPr="00F50D4C">
        <w:rPr>
          <w:position w:val="-14"/>
        </w:rPr>
        <w:object w:dxaOrig="3100" w:dyaOrig="380">
          <v:shape id="_x0000_i1044" type="#_x0000_t75" style="width:215.25pt;height:26.25pt" o:ole="">
            <v:imagedata r:id="rId47" o:title=""/>
          </v:shape>
          <o:OLEObject Type="Embed" ProgID="Equation.3" ShapeID="_x0000_i1044" DrawAspect="Content" ObjectID="_1457949423" r:id="rId48"/>
        </w:object>
      </w:r>
    </w:p>
    <w:p w:rsidR="0014356E" w:rsidRPr="00F50D4C" w:rsidRDefault="0014356E" w:rsidP="00EB6C89">
      <w:pPr>
        <w:tabs>
          <w:tab w:val="clear" w:pos="567"/>
          <w:tab w:val="left" w:pos="1080"/>
        </w:tabs>
        <w:spacing w:before="120" w:line="240" w:lineRule="auto"/>
        <w:rPr>
          <w:lang w:val="pl-PL"/>
        </w:rPr>
      </w:pPr>
      <w:r w:rsidRPr="00F50D4C">
        <w:rPr>
          <w:lang w:val="pl-PL"/>
        </w:rPr>
        <w:t>gdzie:</w:t>
      </w:r>
    </w:p>
    <w:p w:rsidR="0014356E" w:rsidRPr="00F50D4C" w:rsidRDefault="0014356E" w:rsidP="00EB6C89">
      <w:pPr>
        <w:tabs>
          <w:tab w:val="clear" w:pos="567"/>
          <w:tab w:val="left" w:pos="1620"/>
          <w:tab w:val="left" w:pos="2520"/>
        </w:tabs>
        <w:spacing w:before="120" w:line="240" w:lineRule="auto"/>
        <w:ind w:left="1620" w:hanging="1620"/>
        <w:rPr>
          <w:lang w:val="pl-PL"/>
        </w:rPr>
      </w:pPr>
      <w:r w:rsidRPr="00F50D4C">
        <w:rPr>
          <w:b/>
          <w:lang w:val="pl-PL"/>
        </w:rPr>
        <w:t>KK</w:t>
      </w:r>
      <w:r w:rsidR="00F767AF" w:rsidRPr="00F50D4C">
        <w:rPr>
          <w:b/>
          <w:vertAlign w:val="subscript"/>
          <w:lang w:val="pl-PL"/>
        </w:rPr>
        <w:t>1</w:t>
      </w:r>
      <w:r w:rsidR="00790EA0" w:rsidRPr="00F50D4C">
        <w:rPr>
          <w:b/>
          <w:vertAlign w:val="subscript"/>
          <w:lang w:val="pl-PL"/>
        </w:rPr>
        <w:t>5</w:t>
      </w:r>
      <w:r w:rsidRPr="00F50D4C">
        <w:rPr>
          <w:b/>
          <w:vertAlign w:val="subscript"/>
          <w:lang w:val="pl-PL"/>
        </w:rPr>
        <w:t xml:space="preserve">(ST </w:t>
      </w:r>
      <w:r w:rsidR="000D4448" w:rsidRPr="00F50D4C">
        <w:rPr>
          <w:b/>
          <w:vertAlign w:val="subscript"/>
          <w:lang w:val="pl-PL"/>
        </w:rPr>
        <w:t>i</w:t>
      </w:r>
      <w:r w:rsidRPr="00F50D4C">
        <w:rPr>
          <w:b/>
          <w:vertAlign w:val="subscript"/>
          <w:lang w:val="pl-PL"/>
        </w:rPr>
        <w:t xml:space="preserve"> </w:t>
      </w:r>
      <w:proofErr w:type="spellStart"/>
      <w:r w:rsidRPr="00F50D4C">
        <w:rPr>
          <w:b/>
          <w:vertAlign w:val="subscript"/>
          <w:lang w:val="pl-PL"/>
        </w:rPr>
        <w:t>WN</w:t>
      </w:r>
      <w:r w:rsidR="000D4448" w:rsidRPr="00F50D4C">
        <w:rPr>
          <w:b/>
          <w:vertAlign w:val="subscript"/>
          <w:lang w:val="pl-PL"/>
        </w:rPr>
        <w:t>i</w:t>
      </w:r>
      <w:r w:rsidRPr="00F50D4C">
        <w:rPr>
          <w:b/>
          <w:vertAlign w:val="subscript"/>
          <w:lang w:val="pl-PL"/>
        </w:rPr>
        <w:t>P</w:t>
      </w:r>
      <w:proofErr w:type="spellEnd"/>
      <w:r w:rsidRPr="00F50D4C">
        <w:rPr>
          <w:b/>
          <w:vertAlign w:val="subscript"/>
          <w:lang w:val="pl-PL"/>
        </w:rPr>
        <w:t>)</w:t>
      </w:r>
      <w:r w:rsidRPr="00F50D4C">
        <w:rPr>
          <w:lang w:val="pl-PL"/>
        </w:rPr>
        <w:tab/>
        <w:t xml:space="preserve">– koszt kapitału od wartości bieżącej netto danej grupy środków trwałych </w:t>
      </w:r>
      <w:r w:rsidR="004A766E" w:rsidRPr="00F50D4C">
        <w:rPr>
          <w:lang w:val="pl-PL"/>
        </w:rPr>
        <w:br/>
      </w:r>
      <w:r w:rsidRPr="00F50D4C">
        <w:rPr>
          <w:lang w:val="pl-PL"/>
        </w:rPr>
        <w:t xml:space="preserve">i wartości niematerialnych i prawnych na rok </w:t>
      </w:r>
      <w:r w:rsidR="005B24B6" w:rsidRPr="00F50D4C">
        <w:rPr>
          <w:lang w:val="pl-PL"/>
        </w:rPr>
        <w:t>2015</w:t>
      </w:r>
      <w:r w:rsidRPr="00F50D4C">
        <w:rPr>
          <w:lang w:val="pl-PL"/>
        </w:rPr>
        <w:t>,</w:t>
      </w:r>
    </w:p>
    <w:p w:rsidR="0014356E" w:rsidRPr="00F50D4C" w:rsidRDefault="0014356E" w:rsidP="00EB6C89">
      <w:pPr>
        <w:tabs>
          <w:tab w:val="clear" w:pos="567"/>
          <w:tab w:val="left" w:pos="1440"/>
          <w:tab w:val="left" w:pos="1620"/>
          <w:tab w:val="left" w:pos="2520"/>
        </w:tabs>
        <w:spacing w:before="120" w:line="240" w:lineRule="auto"/>
        <w:ind w:left="1620" w:hanging="1620"/>
        <w:rPr>
          <w:lang w:val="pl-PL"/>
        </w:rPr>
      </w:pPr>
      <w:r w:rsidRPr="00F50D4C">
        <w:rPr>
          <w:b/>
          <w:lang w:val="pl-PL"/>
        </w:rPr>
        <w:t>SWBN</w:t>
      </w:r>
      <w:r w:rsidR="00F767AF" w:rsidRPr="00F50D4C">
        <w:rPr>
          <w:b/>
          <w:vertAlign w:val="subscript"/>
          <w:lang w:val="pl-PL"/>
        </w:rPr>
        <w:t>1</w:t>
      </w:r>
      <w:r w:rsidR="00790EA0" w:rsidRPr="00F50D4C">
        <w:rPr>
          <w:b/>
          <w:vertAlign w:val="subscript"/>
          <w:lang w:val="pl-PL"/>
        </w:rPr>
        <w:t>5</w:t>
      </w:r>
      <w:r w:rsidRPr="00F50D4C">
        <w:rPr>
          <w:lang w:val="pl-PL"/>
        </w:rPr>
        <w:tab/>
        <w:t xml:space="preserve">– średnioroczna wartość bieżąca netto danej grupy środków trwałych </w:t>
      </w:r>
      <w:r w:rsidR="004A766E" w:rsidRPr="00F50D4C">
        <w:rPr>
          <w:lang w:val="pl-PL"/>
        </w:rPr>
        <w:br/>
      </w:r>
      <w:r w:rsidRPr="00F50D4C">
        <w:rPr>
          <w:lang w:val="pl-PL"/>
        </w:rPr>
        <w:t xml:space="preserve">i wartości niematerialnych i prawnych w roku </w:t>
      </w:r>
      <w:r w:rsidR="005B24B6" w:rsidRPr="00F50D4C">
        <w:rPr>
          <w:lang w:val="pl-PL"/>
        </w:rPr>
        <w:t>2015</w:t>
      </w:r>
      <w:r w:rsidRPr="00F50D4C">
        <w:rPr>
          <w:lang w:val="pl-PL"/>
        </w:rPr>
        <w:t>,</w:t>
      </w:r>
    </w:p>
    <w:p w:rsidR="0014356E" w:rsidRPr="00F50D4C" w:rsidRDefault="0014356E" w:rsidP="00EB6C89">
      <w:pPr>
        <w:tabs>
          <w:tab w:val="clear" w:pos="567"/>
          <w:tab w:val="left" w:pos="1440"/>
          <w:tab w:val="left" w:pos="1620"/>
          <w:tab w:val="left" w:pos="2520"/>
        </w:tabs>
        <w:spacing w:before="120" w:line="240" w:lineRule="auto"/>
        <w:ind w:left="1620" w:hanging="1620"/>
        <w:rPr>
          <w:lang w:val="pl-PL"/>
        </w:rPr>
      </w:pPr>
      <w:r w:rsidRPr="00F50D4C">
        <w:rPr>
          <w:b/>
          <w:lang w:val="pl-PL"/>
        </w:rPr>
        <w:t>WACC</w:t>
      </w:r>
      <w:r w:rsidRPr="00F50D4C">
        <w:rPr>
          <w:lang w:val="pl-PL"/>
        </w:rPr>
        <w:tab/>
        <w:t xml:space="preserve">– wskaźnik średniego ważonego kosztu kapitału (wskaźnik zwrotu kosztu zaangażowanego kapitału </w:t>
      </w:r>
      <w:r w:rsidR="000D4448" w:rsidRPr="00F50D4C">
        <w:rPr>
          <w:lang w:val="pl-PL"/>
        </w:rPr>
        <w:t xml:space="preserve">– </w:t>
      </w:r>
      <w:r w:rsidRPr="00F50D4C">
        <w:rPr>
          <w:lang w:val="pl-PL"/>
        </w:rPr>
        <w:t>WACC - ang. „</w:t>
      </w:r>
      <w:proofErr w:type="spellStart"/>
      <w:r w:rsidRPr="00F50D4C">
        <w:rPr>
          <w:lang w:val="pl-PL"/>
        </w:rPr>
        <w:t>weighted</w:t>
      </w:r>
      <w:proofErr w:type="spellEnd"/>
      <w:r w:rsidRPr="00F50D4C">
        <w:rPr>
          <w:lang w:val="pl-PL"/>
        </w:rPr>
        <w:t xml:space="preserve"> </w:t>
      </w:r>
      <w:proofErr w:type="spellStart"/>
      <w:r w:rsidRPr="00F50D4C">
        <w:rPr>
          <w:lang w:val="pl-PL"/>
        </w:rPr>
        <w:t>average</w:t>
      </w:r>
      <w:proofErr w:type="spellEnd"/>
      <w:r w:rsidRPr="00F50D4C">
        <w:rPr>
          <w:lang w:val="pl-PL"/>
        </w:rPr>
        <w:t xml:space="preserve"> </w:t>
      </w:r>
      <w:proofErr w:type="spellStart"/>
      <w:r w:rsidRPr="00F50D4C">
        <w:rPr>
          <w:lang w:val="pl-PL"/>
        </w:rPr>
        <w:t>cost</w:t>
      </w:r>
      <w:proofErr w:type="spellEnd"/>
      <w:r w:rsidRPr="00F50D4C">
        <w:rPr>
          <w:lang w:val="pl-PL"/>
        </w:rPr>
        <w:t xml:space="preserve"> </w:t>
      </w:r>
      <w:r w:rsidR="004A766E" w:rsidRPr="00F50D4C">
        <w:rPr>
          <w:lang w:val="pl-PL"/>
        </w:rPr>
        <w:br/>
      </w:r>
      <w:r w:rsidRPr="00F50D4C">
        <w:rPr>
          <w:lang w:val="pl-PL"/>
        </w:rPr>
        <w:t>of capital”).</w:t>
      </w:r>
    </w:p>
    <w:p w:rsidR="0014356E" w:rsidRPr="00F50D4C" w:rsidRDefault="0014356E" w:rsidP="00EB6C89">
      <w:pPr>
        <w:tabs>
          <w:tab w:val="clear" w:pos="567"/>
          <w:tab w:val="left" w:pos="1080"/>
        </w:tabs>
        <w:spacing w:before="120" w:line="240" w:lineRule="auto"/>
        <w:rPr>
          <w:lang w:val="pl-PL"/>
        </w:rPr>
      </w:pPr>
    </w:p>
    <w:p w:rsidR="00F7084C" w:rsidRPr="00F50D4C" w:rsidRDefault="0014356E" w:rsidP="00EB6C89">
      <w:pPr>
        <w:tabs>
          <w:tab w:val="clear" w:pos="567"/>
          <w:tab w:val="left" w:pos="1080"/>
        </w:tabs>
        <w:spacing w:before="120" w:line="240" w:lineRule="auto"/>
        <w:rPr>
          <w:lang w:val="pl-PL"/>
        </w:rPr>
      </w:pPr>
      <w:r w:rsidRPr="00F50D4C">
        <w:rPr>
          <w:lang w:val="pl-PL"/>
        </w:rPr>
        <w:t>Poza wyznaczaniem kosztu kapitału od wartości bieżącej środków trwałych</w:t>
      </w:r>
      <w:r w:rsidRPr="00F50D4C">
        <w:rPr>
          <w:lang w:val="pl-PL"/>
        </w:rPr>
        <w:br/>
        <w:t xml:space="preserve">i wartości niematerialnych i prawnych do kalkulacji włącza się koszt kapitału od bieżącej wartości kapitału pracującego. Kapitał pracujący </w:t>
      </w:r>
      <w:r w:rsidR="00F7084C" w:rsidRPr="00F50D4C">
        <w:rPr>
          <w:lang w:val="pl-PL"/>
        </w:rPr>
        <w:t xml:space="preserve">wyznaczany jest zgodnie z treścią Punktu </w:t>
      </w:r>
      <w:r w:rsidR="004A766E" w:rsidRPr="00F50D4C">
        <w:rPr>
          <w:lang w:val="pl-PL"/>
        </w:rPr>
        <w:br/>
      </w:r>
      <w:r w:rsidR="00F7084C" w:rsidRPr="00F50D4C">
        <w:rPr>
          <w:lang w:val="pl-PL"/>
        </w:rPr>
        <w:t xml:space="preserve">4 Części I niniejszego dokumentu. </w:t>
      </w:r>
    </w:p>
    <w:p w:rsidR="0014356E" w:rsidRPr="00F50D4C" w:rsidRDefault="00DC4F36" w:rsidP="00EB6C89">
      <w:pPr>
        <w:tabs>
          <w:tab w:val="clear" w:pos="567"/>
          <w:tab w:val="left" w:pos="1080"/>
        </w:tabs>
        <w:spacing w:before="120" w:line="240" w:lineRule="auto"/>
        <w:rPr>
          <w:lang w:val="pl-PL"/>
        </w:rPr>
      </w:pPr>
      <w:r w:rsidRPr="00F50D4C">
        <w:rPr>
          <w:lang w:val="pl-PL"/>
        </w:rPr>
        <w:t>Wartość</w:t>
      </w:r>
      <w:r w:rsidR="0014356E" w:rsidRPr="00F50D4C">
        <w:rPr>
          <w:lang w:val="pl-PL"/>
        </w:rPr>
        <w:t xml:space="preserve"> kosztu kapitału od wartości składników kapitału zaangażowanego</w:t>
      </w:r>
      <w:r w:rsidRPr="00F50D4C">
        <w:rPr>
          <w:lang w:val="pl-PL"/>
        </w:rPr>
        <w:t>,</w:t>
      </w:r>
      <w:r w:rsidR="0014356E" w:rsidRPr="00F50D4C">
        <w:rPr>
          <w:lang w:val="pl-PL"/>
        </w:rPr>
        <w:t xml:space="preserve"> innych niż środki trwałe i wartości niematerialne i prawne na rok </w:t>
      </w:r>
      <w:r w:rsidR="005B24B6" w:rsidRPr="00F50D4C">
        <w:rPr>
          <w:lang w:val="pl-PL"/>
        </w:rPr>
        <w:t>2015</w:t>
      </w:r>
      <w:r w:rsidR="0014356E" w:rsidRPr="00F50D4C">
        <w:rPr>
          <w:lang w:val="pl-PL"/>
        </w:rPr>
        <w:t>, obliczana jest za pomocą wzoru:</w:t>
      </w:r>
    </w:p>
    <w:p w:rsidR="0014356E" w:rsidRPr="00F50D4C" w:rsidRDefault="0014356E" w:rsidP="00EB6C89">
      <w:pPr>
        <w:tabs>
          <w:tab w:val="clear" w:pos="567"/>
          <w:tab w:val="left" w:pos="1080"/>
        </w:tabs>
        <w:spacing w:before="120" w:line="240" w:lineRule="auto"/>
        <w:jc w:val="center"/>
        <w:rPr>
          <w:lang w:val="pl-PL"/>
        </w:rPr>
      </w:pPr>
    </w:p>
    <w:p w:rsidR="000D4448" w:rsidRPr="00F50D4C" w:rsidRDefault="00790EA0" w:rsidP="00EB6C89">
      <w:pPr>
        <w:tabs>
          <w:tab w:val="clear" w:pos="567"/>
          <w:tab w:val="left" w:pos="1080"/>
        </w:tabs>
        <w:spacing w:before="120" w:line="240" w:lineRule="auto"/>
        <w:jc w:val="center"/>
        <w:rPr>
          <w:lang w:val="pl-PL"/>
        </w:rPr>
      </w:pPr>
      <w:r w:rsidRPr="00F50D4C">
        <w:rPr>
          <w:position w:val="-14"/>
        </w:rPr>
        <w:object w:dxaOrig="2280" w:dyaOrig="380">
          <v:shape id="_x0000_i1045" type="#_x0000_t75" style="width:158.25pt;height:26.25pt" o:ole="">
            <v:imagedata r:id="rId49" o:title=""/>
          </v:shape>
          <o:OLEObject Type="Embed" ProgID="Equation.3" ShapeID="_x0000_i1045" DrawAspect="Content" ObjectID="_1457949424" r:id="rId50"/>
        </w:object>
      </w:r>
    </w:p>
    <w:p w:rsidR="0014356E" w:rsidRPr="00F50D4C" w:rsidRDefault="0014356E" w:rsidP="00EB6C89">
      <w:pPr>
        <w:tabs>
          <w:tab w:val="clear" w:pos="567"/>
          <w:tab w:val="left" w:pos="1080"/>
        </w:tabs>
        <w:spacing w:before="120" w:line="240" w:lineRule="auto"/>
        <w:rPr>
          <w:lang w:val="pl-PL"/>
        </w:rPr>
      </w:pPr>
      <w:r w:rsidRPr="00F50D4C">
        <w:rPr>
          <w:lang w:val="pl-PL"/>
        </w:rPr>
        <w:t>gdzie:</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KK</w:t>
      </w:r>
      <w:r w:rsidR="00F767AF" w:rsidRPr="00F50D4C">
        <w:rPr>
          <w:b/>
          <w:vertAlign w:val="subscript"/>
          <w:lang w:val="pl-PL"/>
        </w:rPr>
        <w:t>1</w:t>
      </w:r>
      <w:r w:rsidR="00790EA0" w:rsidRPr="00F50D4C">
        <w:rPr>
          <w:b/>
          <w:vertAlign w:val="subscript"/>
          <w:lang w:val="pl-PL"/>
        </w:rPr>
        <w:t>5</w:t>
      </w:r>
      <w:r w:rsidRPr="00F50D4C">
        <w:rPr>
          <w:b/>
          <w:vertAlign w:val="subscript"/>
          <w:lang w:val="pl-PL"/>
        </w:rPr>
        <w:t>(KP)</w:t>
      </w:r>
      <w:r w:rsidRPr="00F50D4C">
        <w:rPr>
          <w:lang w:val="pl-PL"/>
        </w:rPr>
        <w:tab/>
        <w:t xml:space="preserve">– koszt kapitału pracującego na rok </w:t>
      </w:r>
      <w:r w:rsidR="005B24B6" w:rsidRPr="00F50D4C">
        <w:rPr>
          <w:lang w:val="pl-PL"/>
        </w:rPr>
        <w:t>2015</w:t>
      </w:r>
      <w:r w:rsidRPr="00F50D4C">
        <w:rPr>
          <w:lang w:val="pl-PL"/>
        </w:rPr>
        <w:t xml:space="preserve">. Do wyliczenia kosztu średniorocznego zaangażowanego kapitału pracującego na rok </w:t>
      </w:r>
      <w:r w:rsidR="005B24B6" w:rsidRPr="00F50D4C">
        <w:rPr>
          <w:lang w:val="pl-PL"/>
        </w:rPr>
        <w:t>2015</w:t>
      </w:r>
      <w:r w:rsidRPr="00F50D4C">
        <w:rPr>
          <w:lang w:val="pl-PL"/>
        </w:rPr>
        <w:t xml:space="preserve"> przyjmuje się wartość wyznaczoną zgodnie z </w:t>
      </w:r>
      <w:proofErr w:type="spellStart"/>
      <w:r w:rsidRPr="00F50D4C">
        <w:rPr>
          <w:lang w:val="pl-PL"/>
        </w:rPr>
        <w:t>pkt</w:t>
      </w:r>
      <w:proofErr w:type="spellEnd"/>
      <w:r w:rsidRPr="00F50D4C">
        <w:rPr>
          <w:lang w:val="pl-PL"/>
        </w:rPr>
        <w:t xml:space="preserve"> 4 Części I niniejszego dokumentu,</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KP</w:t>
      </w:r>
      <w:r w:rsidRPr="00F50D4C">
        <w:rPr>
          <w:lang w:val="pl-PL"/>
        </w:rPr>
        <w:tab/>
        <w:t>– bieżąca wartość kapitału pracującego,</w:t>
      </w:r>
    </w:p>
    <w:p w:rsidR="0014356E" w:rsidRPr="00F50D4C" w:rsidRDefault="0014356E" w:rsidP="00EB6C89">
      <w:pPr>
        <w:tabs>
          <w:tab w:val="clear" w:pos="567"/>
          <w:tab w:val="left" w:pos="1080"/>
        </w:tabs>
        <w:spacing w:before="120" w:line="240" w:lineRule="auto"/>
        <w:ind w:left="1080" w:hanging="1080"/>
        <w:rPr>
          <w:lang w:val="pl-PL"/>
        </w:rPr>
      </w:pPr>
      <w:r w:rsidRPr="00F50D4C">
        <w:rPr>
          <w:b/>
          <w:lang w:val="pl-PL"/>
        </w:rPr>
        <w:t>WACC</w:t>
      </w:r>
      <w:r w:rsidRPr="00F50D4C">
        <w:rPr>
          <w:lang w:val="pl-PL"/>
        </w:rPr>
        <w:tab/>
        <w:t>– wskaźnik średniego ważonego kosztu kapitału (wskaźnik zwrotu kosztu zaangażowanego kapitału).</w:t>
      </w:r>
    </w:p>
    <w:p w:rsidR="00F815C6" w:rsidRPr="00F50D4C" w:rsidRDefault="00F815C6" w:rsidP="00EB6C89">
      <w:pPr>
        <w:tabs>
          <w:tab w:val="clear" w:pos="567"/>
          <w:tab w:val="left" w:pos="360"/>
          <w:tab w:val="left" w:pos="1980"/>
        </w:tabs>
        <w:spacing w:before="120" w:line="240" w:lineRule="auto"/>
        <w:rPr>
          <w:lang w:val="pl-PL"/>
        </w:rPr>
      </w:pPr>
    </w:p>
    <w:p w:rsidR="0014356E" w:rsidRPr="00F50D4C" w:rsidRDefault="0014356E" w:rsidP="00EB6C89">
      <w:pPr>
        <w:keepNext/>
        <w:numPr>
          <w:ilvl w:val="0"/>
          <w:numId w:val="45"/>
        </w:numPr>
        <w:tabs>
          <w:tab w:val="clear" w:pos="567"/>
        </w:tabs>
        <w:spacing w:before="120" w:line="240" w:lineRule="auto"/>
        <w:outlineLvl w:val="1"/>
        <w:rPr>
          <w:b/>
          <w:bCs/>
          <w:lang w:val="pl-PL"/>
        </w:rPr>
      </w:pPr>
      <w:r w:rsidRPr="00F50D4C">
        <w:rPr>
          <w:b/>
          <w:bCs/>
          <w:lang w:val="pl-PL"/>
        </w:rPr>
        <w:t>Obliczanie wartości korekt z aktualizacji wyceny do wartości bieżących (zysku/straty z przeszacowania do wartości bieżącej środków trwałych</w:t>
      </w:r>
      <w:r w:rsidRPr="00F50D4C">
        <w:rPr>
          <w:b/>
          <w:bCs/>
          <w:lang w:val="pl-PL"/>
        </w:rPr>
        <w:br/>
        <w:t xml:space="preserve">i wartości niematerialnych i prawnych) za rok </w:t>
      </w:r>
      <w:r w:rsidR="005B24B6" w:rsidRPr="00F50D4C">
        <w:rPr>
          <w:b/>
          <w:bCs/>
          <w:lang w:val="pl-PL"/>
        </w:rPr>
        <w:t>2015</w:t>
      </w:r>
      <w:r w:rsidRPr="00F50D4C">
        <w:rPr>
          <w:b/>
          <w:bCs/>
          <w:lang w:val="pl-PL"/>
        </w:rPr>
        <w:t>.</w:t>
      </w:r>
    </w:p>
    <w:p w:rsidR="00D24749" w:rsidRPr="00F50D4C" w:rsidRDefault="00D24749" w:rsidP="00EB6C89">
      <w:pPr>
        <w:keepNext/>
        <w:tabs>
          <w:tab w:val="clear" w:pos="567"/>
        </w:tabs>
        <w:spacing w:before="120" w:line="240" w:lineRule="auto"/>
        <w:ind w:left="720"/>
        <w:jc w:val="left"/>
        <w:outlineLvl w:val="1"/>
        <w:rPr>
          <w:bCs/>
          <w:lang w:val="pl-PL"/>
        </w:rPr>
      </w:pPr>
    </w:p>
    <w:p w:rsidR="0014356E" w:rsidRPr="00A37BE6" w:rsidRDefault="00905979" w:rsidP="00EB6C89">
      <w:pPr>
        <w:tabs>
          <w:tab w:val="clear" w:pos="567"/>
          <w:tab w:val="left" w:pos="1440"/>
        </w:tabs>
        <w:spacing w:before="120" w:line="240" w:lineRule="auto"/>
        <w:rPr>
          <w:lang w:val="pl-PL"/>
        </w:rPr>
      </w:pPr>
      <w:r w:rsidRPr="00F50D4C">
        <w:rPr>
          <w:lang w:val="pl-PL"/>
        </w:rPr>
        <w:t xml:space="preserve">OPL </w:t>
      </w:r>
      <w:r w:rsidR="0014356E" w:rsidRPr="00F50D4C">
        <w:rPr>
          <w:lang w:val="pl-PL"/>
        </w:rPr>
        <w:t>przeprowadza kalkulację w koszcie bieżącym</w:t>
      </w:r>
      <w:r w:rsidR="002D07E2" w:rsidRPr="00F50D4C">
        <w:rPr>
          <w:lang w:val="pl-PL"/>
        </w:rPr>
        <w:t>,</w:t>
      </w:r>
      <w:r w:rsidR="0014356E" w:rsidRPr="00F50D4C">
        <w:rPr>
          <w:lang w:val="pl-PL"/>
        </w:rPr>
        <w:t xml:space="preserve"> w</w:t>
      </w:r>
      <w:r w:rsidR="002D07E2" w:rsidRPr="00F50D4C">
        <w:rPr>
          <w:lang w:val="pl-PL"/>
        </w:rPr>
        <w:t>edług</w:t>
      </w:r>
      <w:r w:rsidR="0014356E" w:rsidRPr="00F50D4C">
        <w:rPr>
          <w:lang w:val="pl-PL"/>
        </w:rPr>
        <w:t xml:space="preserve"> tzw</w:t>
      </w:r>
      <w:r w:rsidR="00632072" w:rsidRPr="00F50D4C">
        <w:rPr>
          <w:lang w:val="pl-PL"/>
        </w:rPr>
        <w:t xml:space="preserve">. koncepcji zachowania kapitału </w:t>
      </w:r>
      <w:r w:rsidR="0014356E" w:rsidRPr="00F50D4C">
        <w:rPr>
          <w:lang w:val="pl-PL"/>
        </w:rPr>
        <w:t xml:space="preserve">finansowego (FCM – ang. </w:t>
      </w:r>
      <w:r w:rsidR="0014356E" w:rsidRPr="00F50D4C">
        <w:rPr>
          <w:i/>
          <w:lang w:val="pl-PL"/>
        </w:rPr>
        <w:t xml:space="preserve">Financial Capital </w:t>
      </w:r>
      <w:proofErr w:type="spellStart"/>
      <w:r w:rsidR="0014356E" w:rsidRPr="00F50D4C">
        <w:rPr>
          <w:i/>
          <w:lang w:val="pl-PL"/>
        </w:rPr>
        <w:t>Maintenance</w:t>
      </w:r>
      <w:proofErr w:type="spellEnd"/>
      <w:r w:rsidR="00632072" w:rsidRPr="00F50D4C">
        <w:rPr>
          <w:lang w:val="pl-PL"/>
        </w:rPr>
        <w:t xml:space="preserve">). Koncepcja ta zakłada, </w:t>
      </w:r>
      <w:r w:rsidR="004A766E" w:rsidRPr="00F50D4C">
        <w:rPr>
          <w:lang w:val="pl-PL"/>
        </w:rPr>
        <w:br/>
      </w:r>
      <w:r w:rsidR="00632072" w:rsidRPr="00F50D4C">
        <w:rPr>
          <w:lang w:val="pl-PL"/>
        </w:rPr>
        <w:t xml:space="preserve">że </w:t>
      </w:r>
      <w:r w:rsidR="0014356E" w:rsidRPr="00F50D4C">
        <w:rPr>
          <w:lang w:val="pl-PL"/>
        </w:rPr>
        <w:t>kalkulacja kosztów obok kosztów operacyjnych, amorty</w:t>
      </w:r>
      <w:r w:rsidR="00632072" w:rsidRPr="00F50D4C">
        <w:rPr>
          <w:lang w:val="pl-PL"/>
        </w:rPr>
        <w:t xml:space="preserve">zacji skalkulowanej od bieżącej </w:t>
      </w:r>
      <w:r w:rsidR="0014356E" w:rsidRPr="00F50D4C">
        <w:rPr>
          <w:lang w:val="pl-PL"/>
        </w:rPr>
        <w:lastRenderedPageBreak/>
        <w:t>wartości środków trwa</w:t>
      </w:r>
      <w:r w:rsidR="00632072" w:rsidRPr="00F50D4C">
        <w:rPr>
          <w:lang w:val="pl-PL"/>
        </w:rPr>
        <w:t xml:space="preserve">łych i wartości niematerialnych </w:t>
      </w:r>
      <w:r w:rsidR="0014356E" w:rsidRPr="00F50D4C">
        <w:rPr>
          <w:lang w:val="pl-PL"/>
        </w:rPr>
        <w:t>i praw</w:t>
      </w:r>
      <w:r w:rsidR="00632072" w:rsidRPr="00F50D4C">
        <w:rPr>
          <w:lang w:val="pl-PL"/>
        </w:rPr>
        <w:t xml:space="preserve">nych oraz narzutu kosztu zwrotu </w:t>
      </w:r>
      <w:r w:rsidR="0014356E" w:rsidRPr="00F50D4C">
        <w:rPr>
          <w:lang w:val="pl-PL"/>
        </w:rPr>
        <w:t>z zaangażowanego kapitału, obejmuje również zysk/strat</w:t>
      </w:r>
      <w:r w:rsidR="00632072" w:rsidRPr="00F50D4C">
        <w:rPr>
          <w:lang w:val="pl-PL"/>
        </w:rPr>
        <w:t xml:space="preserve">ę netto z tytułu przeszacowania </w:t>
      </w:r>
      <w:r w:rsidR="0014356E" w:rsidRPr="00F50D4C">
        <w:rPr>
          <w:lang w:val="pl-PL"/>
        </w:rPr>
        <w:t>środków trwałych i wartości niematerialnych i prawnych do i</w:t>
      </w:r>
      <w:r w:rsidR="00632072" w:rsidRPr="00F50D4C">
        <w:rPr>
          <w:lang w:val="pl-PL"/>
        </w:rPr>
        <w:t xml:space="preserve">ch wartości bieżącej, przy czym </w:t>
      </w:r>
      <w:r w:rsidR="0014356E" w:rsidRPr="00F50D4C">
        <w:rPr>
          <w:lang w:val="pl-PL"/>
        </w:rPr>
        <w:t>zysk netto</w:t>
      </w:r>
      <w:r w:rsidR="00632072" w:rsidRPr="00F50D4C">
        <w:rPr>
          <w:lang w:val="pl-PL"/>
        </w:rPr>
        <w:t xml:space="preserve"> </w:t>
      </w:r>
      <w:r w:rsidR="0014356E" w:rsidRPr="00F50D4C">
        <w:rPr>
          <w:lang w:val="pl-PL"/>
        </w:rPr>
        <w:t>z przeszacowania pomniejsza pods</w:t>
      </w:r>
      <w:r w:rsidR="00632072" w:rsidRPr="00F50D4C">
        <w:rPr>
          <w:lang w:val="pl-PL"/>
        </w:rPr>
        <w:t xml:space="preserve">tawę kosztową wykorzystywaną </w:t>
      </w:r>
      <w:r w:rsidR="004A766E" w:rsidRPr="00F50D4C">
        <w:rPr>
          <w:lang w:val="pl-PL"/>
        </w:rPr>
        <w:br/>
      </w:r>
      <w:r w:rsidR="00632072" w:rsidRPr="00F50D4C">
        <w:rPr>
          <w:lang w:val="pl-PL"/>
        </w:rPr>
        <w:t xml:space="preserve">do </w:t>
      </w:r>
      <w:r w:rsidR="0014356E" w:rsidRPr="00F50D4C">
        <w:rPr>
          <w:lang w:val="pl-PL"/>
        </w:rPr>
        <w:t>wyznaczenia kosztów usług, natomiast strata netto z przeszacowania ją powiększa.</w:t>
      </w:r>
    </w:p>
    <w:p w:rsidR="0014356E" w:rsidRPr="00F50D4C" w:rsidRDefault="0014356E" w:rsidP="00EB6C89">
      <w:pPr>
        <w:tabs>
          <w:tab w:val="clear" w:pos="567"/>
          <w:tab w:val="left" w:pos="1440"/>
        </w:tabs>
        <w:spacing w:before="120" w:line="240" w:lineRule="auto"/>
        <w:rPr>
          <w:b/>
          <w:lang w:val="pl-PL"/>
        </w:rPr>
      </w:pPr>
      <w:r w:rsidRPr="00F50D4C">
        <w:rPr>
          <w:b/>
          <w:lang w:val="pl-PL"/>
        </w:rPr>
        <w:t>Zysk/strata netto z przeszacowania do war</w:t>
      </w:r>
      <w:r w:rsidR="005C3750" w:rsidRPr="00F50D4C">
        <w:rPr>
          <w:b/>
          <w:lang w:val="pl-PL"/>
        </w:rPr>
        <w:t xml:space="preserve">tości bieżącej środków trwałych </w:t>
      </w:r>
      <w:r w:rsidRPr="00F50D4C">
        <w:rPr>
          <w:b/>
          <w:lang w:val="pl-PL"/>
        </w:rPr>
        <w:t xml:space="preserve">i wartości niematerialnych i prawnych dla roku </w:t>
      </w:r>
      <w:r w:rsidR="005B24B6" w:rsidRPr="00F50D4C">
        <w:rPr>
          <w:b/>
          <w:lang w:val="pl-PL"/>
        </w:rPr>
        <w:t>2015</w:t>
      </w:r>
    </w:p>
    <w:p w:rsidR="0014356E" w:rsidRPr="00F50D4C" w:rsidRDefault="00977728" w:rsidP="00EB6C89">
      <w:pPr>
        <w:tabs>
          <w:tab w:val="clear" w:pos="567"/>
          <w:tab w:val="left" w:pos="1440"/>
        </w:tabs>
        <w:spacing w:before="120" w:line="240" w:lineRule="auto"/>
        <w:jc w:val="center"/>
        <w:rPr>
          <w:lang w:val="pl-PL"/>
        </w:rPr>
      </w:pPr>
      <w:r w:rsidRPr="00977728">
        <w:rPr>
          <w:position w:val="-6"/>
          <w:lang w:val="pl-PL"/>
        </w:rPr>
        <w:pict>
          <v:shape id="_x0000_i1046" type="#_x0000_t75" style="width:86.25pt;height:14.25pt">
            <v:imagedata r:id="rId51" o:title=""/>
          </v:shape>
        </w:pict>
      </w:r>
    </w:p>
    <w:p w:rsidR="0014356E" w:rsidRPr="00F50D4C" w:rsidRDefault="0014356E" w:rsidP="00EB6C89">
      <w:pPr>
        <w:tabs>
          <w:tab w:val="clear" w:pos="567"/>
          <w:tab w:val="left" w:pos="1440"/>
        </w:tabs>
        <w:spacing w:before="120" w:line="240" w:lineRule="auto"/>
        <w:rPr>
          <w:lang w:val="pl-PL"/>
        </w:rPr>
      </w:pPr>
      <w:r w:rsidRPr="00F50D4C">
        <w:rPr>
          <w:lang w:val="pl-PL"/>
        </w:rPr>
        <w:t>gdzie:</w:t>
      </w:r>
    </w:p>
    <w:p w:rsidR="0014356E" w:rsidRPr="00F50D4C" w:rsidRDefault="0014356E" w:rsidP="00EB6C89">
      <w:pPr>
        <w:tabs>
          <w:tab w:val="clear" w:pos="567"/>
          <w:tab w:val="left" w:pos="720"/>
        </w:tabs>
        <w:spacing w:before="120" w:line="240" w:lineRule="auto"/>
        <w:ind w:left="720" w:hanging="720"/>
        <w:rPr>
          <w:lang w:val="pl-PL"/>
        </w:rPr>
      </w:pPr>
      <w:r w:rsidRPr="00F50D4C">
        <w:rPr>
          <w:b/>
          <w:lang w:val="pl-PL"/>
        </w:rPr>
        <w:t>ZSN</w:t>
      </w:r>
      <w:r w:rsidRPr="00F50D4C">
        <w:rPr>
          <w:lang w:val="pl-PL"/>
        </w:rPr>
        <w:tab/>
        <w:t>– zysk/strata z przeszacowania net</w:t>
      </w:r>
      <w:r w:rsidR="005C3750" w:rsidRPr="00F50D4C">
        <w:rPr>
          <w:lang w:val="pl-PL"/>
        </w:rPr>
        <w:t xml:space="preserve">to danej grupy środków trwałych </w:t>
      </w:r>
      <w:r w:rsidRPr="00F50D4C">
        <w:rPr>
          <w:lang w:val="pl-PL"/>
        </w:rPr>
        <w:t>i wartości niematerialnych i prawnych,</w:t>
      </w:r>
    </w:p>
    <w:p w:rsidR="0014356E" w:rsidRPr="00F50D4C" w:rsidRDefault="0014356E" w:rsidP="00EB6C89">
      <w:pPr>
        <w:tabs>
          <w:tab w:val="clear" w:pos="567"/>
          <w:tab w:val="left" w:pos="720"/>
        </w:tabs>
        <w:spacing w:before="120" w:line="240" w:lineRule="auto"/>
        <w:ind w:left="720" w:hanging="720"/>
        <w:rPr>
          <w:lang w:val="pl-PL"/>
        </w:rPr>
      </w:pPr>
      <w:r w:rsidRPr="00F50D4C">
        <w:rPr>
          <w:b/>
          <w:lang w:val="pl-PL"/>
        </w:rPr>
        <w:t>ZSB</w:t>
      </w:r>
      <w:r w:rsidRPr="00F50D4C">
        <w:rPr>
          <w:lang w:val="pl-PL"/>
        </w:rPr>
        <w:tab/>
        <w:t>– zysk/strata z przeszacowania brut</w:t>
      </w:r>
      <w:r w:rsidR="005C3750" w:rsidRPr="00F50D4C">
        <w:rPr>
          <w:lang w:val="pl-PL"/>
        </w:rPr>
        <w:t xml:space="preserve">to danej grupy środków trwałych </w:t>
      </w:r>
      <w:r w:rsidRPr="00F50D4C">
        <w:rPr>
          <w:lang w:val="pl-PL"/>
        </w:rPr>
        <w:t>i wartości niematerialnych i prawnych,</w:t>
      </w:r>
    </w:p>
    <w:p w:rsidR="0014356E" w:rsidRPr="00F50D4C" w:rsidRDefault="0014356E" w:rsidP="00EB6C89">
      <w:pPr>
        <w:tabs>
          <w:tab w:val="clear" w:pos="567"/>
          <w:tab w:val="left" w:pos="720"/>
        </w:tabs>
        <w:spacing w:before="120" w:line="240" w:lineRule="auto"/>
        <w:ind w:left="720" w:hanging="720"/>
        <w:rPr>
          <w:lang w:val="pl-PL"/>
        </w:rPr>
      </w:pPr>
      <w:r w:rsidRPr="00F50D4C">
        <w:rPr>
          <w:b/>
          <w:lang w:val="pl-PL"/>
        </w:rPr>
        <w:t>AZ</w:t>
      </w:r>
      <w:r w:rsidRPr="00F50D4C">
        <w:rPr>
          <w:lang w:val="pl-PL"/>
        </w:rPr>
        <w:tab/>
        <w:t xml:space="preserve">– amortyzacja zaległa danej grupy środków trwałych i wartości niematerialnych </w:t>
      </w:r>
      <w:r w:rsidR="004A766E" w:rsidRPr="00F50D4C">
        <w:rPr>
          <w:lang w:val="pl-PL"/>
        </w:rPr>
        <w:br/>
      </w:r>
      <w:r w:rsidRPr="00F50D4C">
        <w:rPr>
          <w:lang w:val="pl-PL"/>
        </w:rPr>
        <w:t>i prawnych.</w:t>
      </w:r>
    </w:p>
    <w:p w:rsidR="0014356E" w:rsidRPr="00F50D4C" w:rsidRDefault="00977728" w:rsidP="00EB6C89">
      <w:pPr>
        <w:tabs>
          <w:tab w:val="clear" w:pos="567"/>
          <w:tab w:val="left" w:pos="1440"/>
        </w:tabs>
        <w:spacing w:before="120" w:line="240" w:lineRule="auto"/>
        <w:jc w:val="center"/>
        <w:rPr>
          <w:lang w:val="pl-PL"/>
        </w:rPr>
      </w:pPr>
      <w:r w:rsidRPr="00977728">
        <w:rPr>
          <w:position w:val="-12"/>
          <w:lang w:val="pl-PL"/>
        </w:rPr>
        <w:pict>
          <v:shape id="_x0000_i1047" type="#_x0000_t75" style="width:114.75pt;height:18pt">
            <v:imagedata r:id="rId52" o:title=""/>
          </v:shape>
        </w:pict>
      </w:r>
    </w:p>
    <w:p w:rsidR="0014356E" w:rsidRPr="00F50D4C" w:rsidRDefault="0014356E" w:rsidP="00EB6C89">
      <w:pPr>
        <w:tabs>
          <w:tab w:val="clear" w:pos="567"/>
          <w:tab w:val="left" w:pos="1440"/>
        </w:tabs>
        <w:spacing w:before="120" w:line="240" w:lineRule="auto"/>
        <w:rPr>
          <w:lang w:val="pl-PL"/>
        </w:rPr>
      </w:pPr>
      <w:r w:rsidRPr="00F50D4C">
        <w:rPr>
          <w:lang w:val="pl-PL"/>
        </w:rPr>
        <w:t>gdzie:</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ZSB</w:t>
      </w:r>
      <w:r w:rsidRPr="00F50D4C">
        <w:rPr>
          <w:lang w:val="pl-PL"/>
        </w:rPr>
        <w:tab/>
        <w:t>– zysk/strata z przeszacowania brutto danej grupy środków trwałych</w:t>
      </w:r>
      <w:r w:rsidRPr="00F50D4C">
        <w:rPr>
          <w:lang w:val="pl-PL"/>
        </w:rPr>
        <w:br/>
        <w:t>i wartości niematerialnych i prawnych,</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WBB</w:t>
      </w:r>
      <w:r w:rsidRPr="00F50D4C">
        <w:rPr>
          <w:b/>
          <w:vertAlign w:val="subscript"/>
          <w:lang w:val="pl-PL"/>
        </w:rPr>
        <w:t>BZ</w:t>
      </w:r>
      <w:r w:rsidRPr="00F50D4C">
        <w:rPr>
          <w:lang w:val="pl-PL"/>
        </w:rPr>
        <w:tab/>
        <w:t xml:space="preserve">– wartość bieżąca brutto danej grupy środków trwałych i wartości niematerialnych </w:t>
      </w:r>
      <w:r w:rsidR="004A766E" w:rsidRPr="00F50D4C">
        <w:rPr>
          <w:lang w:val="pl-PL"/>
        </w:rPr>
        <w:br/>
      </w:r>
      <w:r w:rsidRPr="00F50D4C">
        <w:rPr>
          <w:lang w:val="pl-PL"/>
        </w:rPr>
        <w:t>i prawnych na koniec okresu kalkulacyjnego,</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WBB</w:t>
      </w:r>
      <w:r w:rsidRPr="00F50D4C">
        <w:rPr>
          <w:b/>
          <w:vertAlign w:val="subscript"/>
          <w:lang w:val="pl-PL"/>
        </w:rPr>
        <w:t>BO</w:t>
      </w:r>
      <w:r w:rsidRPr="00F50D4C">
        <w:rPr>
          <w:lang w:val="pl-PL"/>
        </w:rPr>
        <w:tab/>
        <w:t xml:space="preserve">– bieżąca wartość brutto danej grupy środków trwałych i wartości niematerialnych </w:t>
      </w:r>
      <w:r w:rsidR="004A766E" w:rsidRPr="00F50D4C">
        <w:rPr>
          <w:lang w:val="pl-PL"/>
        </w:rPr>
        <w:br/>
      </w:r>
      <w:r w:rsidRPr="00F50D4C">
        <w:rPr>
          <w:lang w:val="pl-PL"/>
        </w:rPr>
        <w:t>i prawnych na początek okresu kalkulacyjnego.</w:t>
      </w:r>
    </w:p>
    <w:p w:rsidR="0014356E" w:rsidRPr="00F50D4C" w:rsidRDefault="0014356E" w:rsidP="00EB6C89">
      <w:pPr>
        <w:tabs>
          <w:tab w:val="clear" w:pos="567"/>
          <w:tab w:val="left" w:pos="1440"/>
        </w:tabs>
        <w:spacing w:before="120" w:line="240" w:lineRule="auto"/>
        <w:rPr>
          <w:lang w:val="pl-PL"/>
        </w:rPr>
      </w:pPr>
    </w:p>
    <w:p w:rsidR="00A06B3B" w:rsidRPr="00F50D4C" w:rsidRDefault="00790EA0" w:rsidP="00EB6C89">
      <w:pPr>
        <w:tabs>
          <w:tab w:val="clear" w:pos="567"/>
          <w:tab w:val="left" w:pos="1440"/>
        </w:tabs>
        <w:spacing w:before="120" w:line="240" w:lineRule="auto"/>
        <w:jc w:val="center"/>
      </w:pPr>
      <w:r w:rsidRPr="00F50D4C">
        <w:rPr>
          <w:position w:val="-12"/>
        </w:rPr>
        <w:object w:dxaOrig="2720" w:dyaOrig="360">
          <v:shape id="_x0000_i1048" type="#_x0000_t75" style="width:189pt;height:24pt" o:ole="">
            <v:imagedata r:id="rId53" o:title=""/>
          </v:shape>
          <o:OLEObject Type="Embed" ProgID="Equation.3" ShapeID="_x0000_i1048" DrawAspect="Content" ObjectID="_1457949425" r:id="rId54"/>
        </w:object>
      </w:r>
    </w:p>
    <w:p w:rsidR="00A06B3B" w:rsidRPr="00F50D4C" w:rsidRDefault="00986D95" w:rsidP="00EB6C89">
      <w:pPr>
        <w:tabs>
          <w:tab w:val="clear" w:pos="567"/>
          <w:tab w:val="left" w:pos="1440"/>
        </w:tabs>
        <w:spacing w:before="120" w:line="240" w:lineRule="auto"/>
        <w:jc w:val="center"/>
        <w:rPr>
          <w:lang w:val="pl-PL"/>
        </w:rPr>
      </w:pPr>
      <w:r w:rsidRPr="00F50D4C">
        <w:rPr>
          <w:position w:val="-12"/>
        </w:rPr>
        <w:object w:dxaOrig="2740" w:dyaOrig="360">
          <v:shape id="_x0000_i1049" type="#_x0000_t75" style="width:190.5pt;height:24pt" o:ole="">
            <v:imagedata r:id="rId55" o:title=""/>
          </v:shape>
          <o:OLEObject Type="Embed" ProgID="Equation.3" ShapeID="_x0000_i1049" DrawAspect="Content" ObjectID="_1457949426" r:id="rId56"/>
        </w:object>
      </w:r>
    </w:p>
    <w:p w:rsidR="0014356E" w:rsidRPr="00F50D4C" w:rsidRDefault="0014356E" w:rsidP="00EB6C89">
      <w:pPr>
        <w:tabs>
          <w:tab w:val="clear" w:pos="567"/>
          <w:tab w:val="left" w:pos="1440"/>
        </w:tabs>
        <w:spacing w:before="120" w:line="240" w:lineRule="auto"/>
        <w:rPr>
          <w:lang w:val="pl-PL"/>
        </w:rPr>
      </w:pPr>
      <w:r w:rsidRPr="00F50D4C">
        <w:rPr>
          <w:lang w:val="pl-PL"/>
        </w:rPr>
        <w:t>gdzie:</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w:t>
      </w:r>
      <w:r w:rsidR="00684148" w:rsidRPr="00F50D4C">
        <w:rPr>
          <w:b/>
          <w:vertAlign w:val="subscript"/>
          <w:lang w:val="pl-PL"/>
        </w:rPr>
        <w:t>1</w:t>
      </w:r>
      <w:r w:rsidR="00790EA0" w:rsidRPr="00F50D4C">
        <w:rPr>
          <w:b/>
          <w:vertAlign w:val="subscript"/>
          <w:lang w:val="pl-PL"/>
        </w:rPr>
        <w:t>3</w:t>
      </w:r>
      <w:r w:rsidRPr="00F50D4C">
        <w:rPr>
          <w:lang w:val="pl-PL"/>
        </w:rPr>
        <w:tab/>
        <w:t>– wolumen danej grupy środków trwa</w:t>
      </w:r>
      <w:r w:rsidR="005C3750" w:rsidRPr="00F50D4C">
        <w:rPr>
          <w:lang w:val="pl-PL"/>
        </w:rPr>
        <w:t xml:space="preserve">łych i wartości niematerialnych </w:t>
      </w:r>
      <w:r w:rsidRPr="00F50D4C">
        <w:rPr>
          <w:lang w:val="pl-PL"/>
        </w:rPr>
        <w:t xml:space="preserve">i prawnych użytkowanych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C</w:t>
      </w:r>
      <w:r w:rsidR="00684148" w:rsidRPr="00F50D4C">
        <w:rPr>
          <w:b/>
          <w:vertAlign w:val="subscript"/>
          <w:lang w:val="pl-PL"/>
        </w:rPr>
        <w:t>1</w:t>
      </w:r>
      <w:r w:rsidR="00790EA0" w:rsidRPr="00F50D4C">
        <w:rPr>
          <w:b/>
          <w:vertAlign w:val="subscript"/>
          <w:lang w:val="pl-PL"/>
        </w:rPr>
        <w:t>3</w:t>
      </w:r>
      <w:r w:rsidRPr="00F50D4C">
        <w:rPr>
          <w:lang w:val="pl-PL"/>
        </w:rPr>
        <w:tab/>
        <w:t xml:space="preserve">– ceny </w:t>
      </w:r>
      <w:r w:rsidR="00AB5828" w:rsidRPr="00F50D4C">
        <w:rPr>
          <w:lang w:val="pl-PL"/>
        </w:rPr>
        <w:t xml:space="preserve">obowiązujące </w:t>
      </w:r>
      <w:r w:rsidR="00F22F33" w:rsidRPr="00F50D4C">
        <w:rPr>
          <w:lang w:val="pl-PL"/>
        </w:rPr>
        <w:t xml:space="preserve">na </w:t>
      </w:r>
      <w:r w:rsidR="00AB5828" w:rsidRPr="00F50D4C">
        <w:rPr>
          <w:lang w:val="pl-PL"/>
        </w:rPr>
        <w:t xml:space="preserve">koniec roku </w:t>
      </w:r>
      <w:r w:rsidR="005B24B6" w:rsidRPr="00F50D4C">
        <w:rPr>
          <w:lang w:val="pl-PL"/>
        </w:rPr>
        <w:t>2013</w:t>
      </w:r>
      <w:r w:rsidR="00AB5828" w:rsidRPr="00F50D4C">
        <w:rPr>
          <w:lang w:val="pl-PL"/>
        </w:rPr>
        <w:t xml:space="preserve"> </w:t>
      </w:r>
      <w:r w:rsidRPr="00F50D4C">
        <w:rPr>
          <w:lang w:val="pl-PL"/>
        </w:rPr>
        <w:t xml:space="preserve">dostępne na dzień kalkulacji </w:t>
      </w:r>
      <w:r w:rsidR="005C3750" w:rsidRPr="00F50D4C">
        <w:rPr>
          <w:lang w:val="pl-PL"/>
        </w:rPr>
        <w:t xml:space="preserve">(wprowadzania danych do modelu) </w:t>
      </w:r>
      <w:r w:rsidRPr="00F50D4C">
        <w:rPr>
          <w:lang w:val="pl-PL"/>
        </w:rPr>
        <w:t>w roku</w:t>
      </w:r>
      <w:r w:rsidR="00790EA0" w:rsidRPr="00F50D4C">
        <w:rPr>
          <w:lang w:val="pl-PL"/>
        </w:rPr>
        <w:t>2014</w:t>
      </w:r>
      <w:r w:rsidR="002D07E2" w:rsidRPr="00F50D4C">
        <w:rPr>
          <w:lang w:val="pl-PL"/>
        </w:rPr>
        <w:t>;</w:t>
      </w:r>
      <w:r w:rsidR="0006055F"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2013</w:t>
      </w:r>
      <w:r w:rsidR="00C22512" w:rsidRPr="00F50D4C">
        <w:rPr>
          <w:lang w:val="pl-PL"/>
        </w:rPr>
        <w:t>,</w:t>
      </w:r>
      <w:r w:rsidR="005A0C55" w:rsidRPr="00F50D4C">
        <w:rPr>
          <w:lang w:val="pl-PL"/>
        </w:rPr>
        <w:t xml:space="preserve"> obliczone zgodnie z metodologią opisaną poniżej,</w:t>
      </w:r>
    </w:p>
    <w:p w:rsidR="00EA1260" w:rsidRPr="00F50D4C" w:rsidRDefault="0014356E" w:rsidP="00EB6C89">
      <w:pPr>
        <w:tabs>
          <w:tab w:val="clear" w:pos="567"/>
          <w:tab w:val="left" w:pos="900"/>
        </w:tabs>
        <w:spacing w:before="120" w:line="240" w:lineRule="auto"/>
        <w:ind w:left="900" w:hanging="900"/>
        <w:rPr>
          <w:lang w:val="pl-PL"/>
        </w:rPr>
      </w:pPr>
      <w:r w:rsidRPr="00F50D4C">
        <w:rPr>
          <w:b/>
          <w:lang w:val="pl-PL"/>
        </w:rPr>
        <w:t>C</w:t>
      </w:r>
      <w:r w:rsidR="00181605" w:rsidRPr="00F50D4C">
        <w:rPr>
          <w:b/>
          <w:vertAlign w:val="subscript"/>
          <w:lang w:val="pl-PL"/>
        </w:rPr>
        <w:t>1</w:t>
      </w:r>
      <w:r w:rsidR="00790EA0" w:rsidRPr="00F50D4C">
        <w:rPr>
          <w:b/>
          <w:vertAlign w:val="subscript"/>
          <w:lang w:val="pl-PL"/>
        </w:rPr>
        <w:t>2</w:t>
      </w:r>
      <w:r w:rsidRPr="00F50D4C">
        <w:rPr>
          <w:lang w:val="pl-PL"/>
        </w:rPr>
        <w:tab/>
      </w:r>
      <w:r w:rsidR="00EA1260" w:rsidRPr="00F50D4C">
        <w:rPr>
          <w:lang w:val="pl-PL"/>
        </w:rPr>
        <w:t xml:space="preserve">– ceny obowiązujące na koniec roku </w:t>
      </w:r>
      <w:r w:rsidR="005B24B6" w:rsidRPr="00F50D4C">
        <w:rPr>
          <w:lang w:val="pl-PL"/>
        </w:rPr>
        <w:t>2012</w:t>
      </w:r>
      <w:r w:rsidR="00EA1260" w:rsidRPr="00F50D4C">
        <w:rPr>
          <w:lang w:val="pl-PL"/>
        </w:rPr>
        <w:t xml:space="preserve"> dostępne na dzień kalkulacji (wprowadzania danych do modelu) w roku </w:t>
      </w:r>
      <w:r w:rsidR="005B24B6" w:rsidRPr="00F50D4C">
        <w:rPr>
          <w:lang w:val="pl-PL"/>
        </w:rPr>
        <w:t>2013</w:t>
      </w:r>
      <w:r w:rsidR="002D07E2" w:rsidRPr="00F50D4C">
        <w:rPr>
          <w:lang w:val="pl-PL"/>
        </w:rPr>
        <w:t>;</w:t>
      </w:r>
      <w:r w:rsidR="0006055F"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2012</w:t>
      </w:r>
      <w:r w:rsidR="00C22512" w:rsidRPr="00F50D4C">
        <w:rPr>
          <w:lang w:val="pl-PL"/>
        </w:rPr>
        <w:t>,</w:t>
      </w:r>
      <w:r w:rsidR="005A0C55" w:rsidRPr="00F50D4C">
        <w:rPr>
          <w:lang w:val="pl-PL"/>
        </w:rPr>
        <w:t xml:space="preserve"> obliczone zgodnie z metodologią opisaną poniżej,</w:t>
      </w:r>
    </w:p>
    <w:p w:rsidR="0014356E" w:rsidRPr="00F50D4C" w:rsidRDefault="00307BC2" w:rsidP="00EB6C89">
      <w:pPr>
        <w:tabs>
          <w:tab w:val="clear" w:pos="567"/>
          <w:tab w:val="left" w:pos="900"/>
        </w:tabs>
        <w:spacing w:before="120" w:line="240" w:lineRule="auto"/>
        <w:ind w:left="900" w:hanging="900"/>
        <w:rPr>
          <w:lang w:val="pl-PL"/>
        </w:rPr>
      </w:pPr>
      <w:r w:rsidRPr="00F50D4C">
        <w:rPr>
          <w:b/>
          <w:lang w:val="pl-PL"/>
        </w:rPr>
        <w:t>K</w:t>
      </w:r>
      <w:r w:rsidRPr="00F50D4C">
        <w:rPr>
          <w:b/>
          <w:vertAlign w:val="subscript"/>
          <w:lang w:val="pl-PL"/>
        </w:rPr>
        <w:t>0</w:t>
      </w:r>
      <w:r w:rsidR="00790EA0" w:rsidRPr="00F50D4C">
        <w:rPr>
          <w:b/>
          <w:vertAlign w:val="subscript"/>
          <w:lang w:val="pl-PL"/>
        </w:rPr>
        <w:t>9</w:t>
      </w:r>
      <w:r w:rsidRPr="00F50D4C">
        <w:rPr>
          <w:b/>
          <w:vertAlign w:val="subscript"/>
          <w:lang w:val="pl-PL"/>
        </w:rPr>
        <w:t>-1</w:t>
      </w:r>
      <w:r w:rsidR="00790EA0" w:rsidRPr="00F50D4C">
        <w:rPr>
          <w:b/>
          <w:vertAlign w:val="subscript"/>
          <w:lang w:val="pl-PL"/>
        </w:rPr>
        <w:t>3</w:t>
      </w:r>
      <w:r w:rsidR="0014356E" w:rsidRPr="00F50D4C">
        <w:rPr>
          <w:lang w:val="pl-PL"/>
        </w:rPr>
        <w:tab/>
        <w:t xml:space="preserve">– średnia arytmetyczna dziennych </w:t>
      </w:r>
      <w:r w:rsidR="005C3750" w:rsidRPr="00F50D4C">
        <w:rPr>
          <w:lang w:val="pl-PL"/>
        </w:rPr>
        <w:t xml:space="preserve">kursów walut obcych z tabel NBP </w:t>
      </w:r>
      <w:r w:rsidR="0014356E" w:rsidRPr="00F50D4C">
        <w:rPr>
          <w:lang w:val="pl-PL"/>
        </w:rPr>
        <w:t xml:space="preserve">obowiązujących w </w:t>
      </w:r>
      <w:r w:rsidR="000502C1" w:rsidRPr="00F50D4C">
        <w:rPr>
          <w:lang w:val="pl-PL"/>
        </w:rPr>
        <w:t>okresie od 1 stycznia 200</w:t>
      </w:r>
      <w:r w:rsidR="00790EA0" w:rsidRPr="00F50D4C">
        <w:rPr>
          <w:lang w:val="pl-PL"/>
        </w:rPr>
        <w:t>9</w:t>
      </w:r>
      <w:r w:rsidR="000502C1" w:rsidRPr="00F50D4C">
        <w:rPr>
          <w:lang w:val="pl-PL"/>
        </w:rPr>
        <w:t xml:space="preserve"> roku do 31 grudnia </w:t>
      </w:r>
      <w:r w:rsidR="005B24B6" w:rsidRPr="00F50D4C">
        <w:rPr>
          <w:lang w:val="pl-PL"/>
        </w:rPr>
        <w:t>2013</w:t>
      </w:r>
      <w:r w:rsidR="000502C1" w:rsidRPr="00F50D4C">
        <w:rPr>
          <w:lang w:val="pl-PL"/>
        </w:rPr>
        <w:t xml:space="preserve"> roku</w:t>
      </w:r>
      <w:r w:rsidR="0014356E" w:rsidRPr="00F50D4C">
        <w:rPr>
          <w:lang w:val="pl-PL"/>
        </w:rPr>
        <w:t>,</w:t>
      </w:r>
    </w:p>
    <w:p w:rsidR="0014356E" w:rsidRPr="00F50D4C" w:rsidRDefault="00307BC2" w:rsidP="00EB6C89">
      <w:pPr>
        <w:tabs>
          <w:tab w:val="clear" w:pos="567"/>
          <w:tab w:val="left" w:pos="900"/>
        </w:tabs>
        <w:spacing w:before="120" w:line="240" w:lineRule="auto"/>
        <w:ind w:left="900" w:hanging="900"/>
        <w:rPr>
          <w:lang w:val="pl-PL"/>
        </w:rPr>
      </w:pPr>
      <w:r w:rsidRPr="00F50D4C">
        <w:rPr>
          <w:b/>
          <w:lang w:val="pl-PL"/>
        </w:rPr>
        <w:t>K</w:t>
      </w:r>
      <w:r w:rsidRPr="00F50D4C">
        <w:rPr>
          <w:b/>
          <w:vertAlign w:val="subscript"/>
          <w:lang w:val="pl-PL"/>
        </w:rPr>
        <w:t>0</w:t>
      </w:r>
      <w:r w:rsidR="00790EA0" w:rsidRPr="00F50D4C">
        <w:rPr>
          <w:b/>
          <w:vertAlign w:val="subscript"/>
          <w:lang w:val="pl-PL"/>
        </w:rPr>
        <w:t>8</w:t>
      </w:r>
      <w:r w:rsidRPr="00F50D4C">
        <w:rPr>
          <w:b/>
          <w:vertAlign w:val="subscript"/>
          <w:lang w:val="pl-PL"/>
        </w:rPr>
        <w:t>-</w:t>
      </w:r>
      <w:r w:rsidR="00181605" w:rsidRPr="00F50D4C">
        <w:rPr>
          <w:b/>
          <w:vertAlign w:val="subscript"/>
          <w:lang w:val="pl-PL"/>
        </w:rPr>
        <w:t>1</w:t>
      </w:r>
      <w:r w:rsidR="00790EA0" w:rsidRPr="00F50D4C">
        <w:rPr>
          <w:b/>
          <w:vertAlign w:val="subscript"/>
          <w:lang w:val="pl-PL"/>
        </w:rPr>
        <w:t>2</w:t>
      </w:r>
      <w:r w:rsidR="0014356E" w:rsidRPr="00F50D4C">
        <w:rPr>
          <w:lang w:val="pl-PL"/>
        </w:rPr>
        <w:tab/>
        <w:t xml:space="preserve">– średnia arytmetyczna dziennych </w:t>
      </w:r>
      <w:r w:rsidR="005C3750" w:rsidRPr="00F50D4C">
        <w:rPr>
          <w:lang w:val="pl-PL"/>
        </w:rPr>
        <w:t xml:space="preserve">kursów walut obcych z tabel NBP </w:t>
      </w:r>
      <w:r w:rsidR="0014356E" w:rsidRPr="00F50D4C">
        <w:rPr>
          <w:lang w:val="pl-PL"/>
        </w:rPr>
        <w:t xml:space="preserve">obowiązujących w </w:t>
      </w:r>
      <w:r w:rsidR="000502C1" w:rsidRPr="00F50D4C">
        <w:rPr>
          <w:lang w:val="pl-PL"/>
        </w:rPr>
        <w:t>okresie od 1 stycznia 200</w:t>
      </w:r>
      <w:r w:rsidR="00790EA0" w:rsidRPr="00F50D4C">
        <w:rPr>
          <w:lang w:val="pl-PL"/>
        </w:rPr>
        <w:t>8</w:t>
      </w:r>
      <w:r w:rsidR="000502C1" w:rsidRPr="00F50D4C">
        <w:rPr>
          <w:lang w:val="pl-PL"/>
        </w:rPr>
        <w:t xml:space="preserve"> roku do 31 grudnia </w:t>
      </w:r>
      <w:r w:rsidR="005B24B6" w:rsidRPr="00F50D4C">
        <w:rPr>
          <w:lang w:val="pl-PL"/>
        </w:rPr>
        <w:t>2012</w:t>
      </w:r>
      <w:r w:rsidR="000502C1" w:rsidRPr="00F50D4C">
        <w:rPr>
          <w:lang w:val="pl-PL"/>
        </w:rPr>
        <w:t xml:space="preserve"> roku</w:t>
      </w:r>
      <w:r w:rsidR="0014356E" w:rsidRPr="00F50D4C">
        <w:rPr>
          <w:lang w:val="pl-PL"/>
        </w:rPr>
        <w:t>,</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lastRenderedPageBreak/>
        <w:t>WBB</w:t>
      </w:r>
      <w:r w:rsidRPr="00F50D4C">
        <w:rPr>
          <w:b/>
          <w:vertAlign w:val="subscript"/>
          <w:lang w:val="pl-PL"/>
        </w:rPr>
        <w:t>BZ</w:t>
      </w:r>
      <w:r w:rsidRPr="00F50D4C">
        <w:rPr>
          <w:lang w:val="pl-PL"/>
        </w:rPr>
        <w:tab/>
        <w:t xml:space="preserve">– wartość bieżąca brutto danej grupy środków trwałych i wartości niematerialnych </w:t>
      </w:r>
      <w:r w:rsidR="004A766E" w:rsidRPr="00F50D4C">
        <w:rPr>
          <w:lang w:val="pl-PL"/>
        </w:rPr>
        <w:br/>
      </w:r>
      <w:r w:rsidRPr="00F50D4C">
        <w:rPr>
          <w:lang w:val="pl-PL"/>
        </w:rPr>
        <w:t>i prawnych na koniec okresu kalkulacyjnego,</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WBB</w:t>
      </w:r>
      <w:r w:rsidRPr="00F50D4C">
        <w:rPr>
          <w:b/>
          <w:vertAlign w:val="subscript"/>
          <w:lang w:val="pl-PL"/>
        </w:rPr>
        <w:t>BO</w:t>
      </w:r>
      <w:r w:rsidRPr="00F50D4C">
        <w:rPr>
          <w:lang w:val="pl-PL"/>
        </w:rPr>
        <w:tab/>
        <w:t xml:space="preserve">– wartość </w:t>
      </w:r>
      <w:r w:rsidR="002D07E2" w:rsidRPr="00F50D4C">
        <w:rPr>
          <w:lang w:val="pl-PL"/>
        </w:rPr>
        <w:t xml:space="preserve">bieżąca </w:t>
      </w:r>
      <w:r w:rsidRPr="00F50D4C">
        <w:rPr>
          <w:lang w:val="pl-PL"/>
        </w:rPr>
        <w:t xml:space="preserve">brutto danej grupy środków trwałych i wartości niematerialnych </w:t>
      </w:r>
      <w:r w:rsidR="004A766E" w:rsidRPr="00F50D4C">
        <w:rPr>
          <w:lang w:val="pl-PL"/>
        </w:rPr>
        <w:br/>
      </w:r>
      <w:r w:rsidRPr="00F50D4C">
        <w:rPr>
          <w:lang w:val="pl-PL"/>
        </w:rPr>
        <w:t>i prawnych na początek okresu kalkulacyjnego.</w:t>
      </w:r>
    </w:p>
    <w:p w:rsidR="00F134D2" w:rsidRPr="00F50D4C" w:rsidRDefault="00790EA0" w:rsidP="00EB6C89">
      <w:pPr>
        <w:tabs>
          <w:tab w:val="clear" w:pos="567"/>
          <w:tab w:val="left" w:pos="1440"/>
        </w:tabs>
        <w:spacing w:before="120" w:line="240" w:lineRule="auto"/>
        <w:jc w:val="center"/>
        <w:rPr>
          <w:lang w:val="pl-PL"/>
        </w:rPr>
      </w:pPr>
      <w:r w:rsidRPr="00F50D4C">
        <w:rPr>
          <w:position w:val="-30"/>
        </w:rPr>
        <w:object w:dxaOrig="2380" w:dyaOrig="700">
          <v:shape id="_x0000_i1050" type="#_x0000_t75" style="width:165.75pt;height:48pt" o:ole="">
            <v:imagedata r:id="rId57" o:title=""/>
          </v:shape>
          <o:OLEObject Type="Embed" ProgID="Equation.3" ShapeID="_x0000_i1050" DrawAspect="Content" ObjectID="_1457949427" r:id="rId58"/>
        </w:object>
      </w:r>
    </w:p>
    <w:p w:rsidR="0014356E" w:rsidRPr="00F50D4C" w:rsidRDefault="0014356E" w:rsidP="00EB6C89">
      <w:pPr>
        <w:tabs>
          <w:tab w:val="clear" w:pos="567"/>
          <w:tab w:val="left" w:pos="1440"/>
        </w:tabs>
        <w:spacing w:before="120" w:line="240" w:lineRule="auto"/>
        <w:rPr>
          <w:lang w:val="pl-PL"/>
        </w:rPr>
      </w:pPr>
      <w:r w:rsidRPr="00F50D4C">
        <w:rPr>
          <w:lang w:val="pl-PL"/>
        </w:rPr>
        <w:t>gdzie:</w:t>
      </w:r>
    </w:p>
    <w:p w:rsidR="0014356E" w:rsidRPr="00F50D4C" w:rsidRDefault="0014356E" w:rsidP="00EB6C89">
      <w:pPr>
        <w:tabs>
          <w:tab w:val="clear" w:pos="567"/>
          <w:tab w:val="left" w:pos="720"/>
        </w:tabs>
        <w:spacing w:before="120" w:line="240" w:lineRule="auto"/>
        <w:ind w:left="720" w:hanging="720"/>
        <w:rPr>
          <w:lang w:val="pl-PL"/>
        </w:rPr>
      </w:pPr>
      <w:r w:rsidRPr="00F50D4C">
        <w:rPr>
          <w:b/>
          <w:lang w:val="pl-PL"/>
        </w:rPr>
        <w:t>ZSB</w:t>
      </w:r>
      <w:r w:rsidRPr="00F50D4C">
        <w:rPr>
          <w:lang w:val="pl-PL"/>
        </w:rPr>
        <w:tab/>
        <w:t>–</w:t>
      </w:r>
      <w:r w:rsidR="00EE0910" w:rsidRPr="00F50D4C">
        <w:rPr>
          <w:lang w:val="pl-PL"/>
        </w:rPr>
        <w:tab/>
      </w:r>
      <w:r w:rsidRPr="00F50D4C">
        <w:rPr>
          <w:lang w:val="pl-PL"/>
        </w:rPr>
        <w:t>zysk/strata z przeszacowania brutto danej grupy środków trwałych</w:t>
      </w:r>
      <w:r w:rsidRPr="00F50D4C">
        <w:rPr>
          <w:lang w:val="pl-PL"/>
        </w:rPr>
        <w:br/>
        <w:t>i wartości niematerialnych i prawnych,</w:t>
      </w:r>
    </w:p>
    <w:p w:rsidR="0014356E" w:rsidRPr="00F50D4C" w:rsidRDefault="0014356E" w:rsidP="00EB6C89">
      <w:pPr>
        <w:tabs>
          <w:tab w:val="clear" w:pos="567"/>
          <w:tab w:val="left" w:pos="720"/>
        </w:tabs>
        <w:spacing w:before="120" w:line="240" w:lineRule="auto"/>
        <w:ind w:left="720" w:hanging="720"/>
        <w:rPr>
          <w:lang w:val="pl-PL"/>
        </w:rPr>
      </w:pPr>
      <w:r w:rsidRPr="00F50D4C">
        <w:rPr>
          <w:b/>
          <w:lang w:val="pl-PL"/>
        </w:rPr>
        <w:t>AZ</w:t>
      </w:r>
      <w:r w:rsidRPr="00F50D4C">
        <w:rPr>
          <w:lang w:val="pl-PL"/>
        </w:rPr>
        <w:tab/>
        <w:t>–</w:t>
      </w:r>
      <w:r w:rsidR="00EE0910" w:rsidRPr="00F50D4C">
        <w:rPr>
          <w:lang w:val="pl-PL"/>
        </w:rPr>
        <w:tab/>
      </w:r>
      <w:r w:rsidRPr="00F50D4C">
        <w:rPr>
          <w:lang w:val="pl-PL"/>
        </w:rPr>
        <w:t xml:space="preserve">amortyzacja zaległa danej grupy środków trwałych i wartości niematerialnych </w:t>
      </w:r>
      <w:r w:rsidR="004A766E" w:rsidRPr="00F50D4C">
        <w:rPr>
          <w:lang w:val="pl-PL"/>
        </w:rPr>
        <w:br/>
      </w:r>
      <w:r w:rsidRPr="00F50D4C">
        <w:rPr>
          <w:lang w:val="pl-PL"/>
        </w:rPr>
        <w:t>i prawnych,</w:t>
      </w:r>
    </w:p>
    <w:p w:rsidR="0014356E" w:rsidRPr="00F50D4C" w:rsidRDefault="0014356E" w:rsidP="00EB6C89">
      <w:pPr>
        <w:tabs>
          <w:tab w:val="clear" w:pos="567"/>
          <w:tab w:val="left" w:pos="720"/>
        </w:tabs>
        <w:spacing w:before="120" w:line="240" w:lineRule="auto"/>
        <w:ind w:left="720" w:hanging="720"/>
        <w:rPr>
          <w:lang w:val="pl-PL"/>
        </w:rPr>
      </w:pPr>
      <w:r w:rsidRPr="00F50D4C">
        <w:rPr>
          <w:b/>
          <w:lang w:val="pl-PL"/>
        </w:rPr>
        <w:t>WKB</w:t>
      </w:r>
      <w:r w:rsidR="00684148" w:rsidRPr="00F50D4C">
        <w:rPr>
          <w:b/>
          <w:vertAlign w:val="subscript"/>
          <w:lang w:val="pl-PL"/>
        </w:rPr>
        <w:t>1</w:t>
      </w:r>
      <w:r w:rsidR="00790EA0" w:rsidRPr="00F50D4C">
        <w:rPr>
          <w:b/>
          <w:vertAlign w:val="subscript"/>
          <w:lang w:val="pl-PL"/>
        </w:rPr>
        <w:t>3</w:t>
      </w:r>
      <w:r w:rsidRPr="00F50D4C">
        <w:rPr>
          <w:lang w:val="pl-PL"/>
        </w:rPr>
        <w:tab/>
        <w:t>–</w:t>
      </w:r>
      <w:r w:rsidR="00EE0910" w:rsidRPr="00F50D4C">
        <w:rPr>
          <w:lang w:val="pl-PL"/>
        </w:rPr>
        <w:tab/>
      </w:r>
      <w:r w:rsidRPr="00F50D4C">
        <w:rPr>
          <w:lang w:val="pl-PL"/>
        </w:rPr>
        <w:t xml:space="preserve">wartość księgowa brutto danej grupy środków trwałych i wartości niematerialnych i prawnych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720"/>
        </w:tabs>
        <w:spacing w:before="120" w:line="240" w:lineRule="auto"/>
        <w:ind w:left="720" w:hanging="720"/>
        <w:rPr>
          <w:lang w:val="pl-PL"/>
        </w:rPr>
      </w:pPr>
      <w:r w:rsidRPr="00F50D4C">
        <w:rPr>
          <w:b/>
          <w:lang w:val="pl-PL"/>
        </w:rPr>
        <w:t>WKN</w:t>
      </w:r>
      <w:r w:rsidR="00684148" w:rsidRPr="00F50D4C">
        <w:rPr>
          <w:b/>
          <w:vertAlign w:val="subscript"/>
          <w:lang w:val="pl-PL"/>
        </w:rPr>
        <w:t>1</w:t>
      </w:r>
      <w:r w:rsidR="00790EA0" w:rsidRPr="00F50D4C">
        <w:rPr>
          <w:b/>
          <w:vertAlign w:val="subscript"/>
          <w:lang w:val="pl-PL"/>
        </w:rPr>
        <w:t>3</w:t>
      </w:r>
      <w:r w:rsidRPr="00F50D4C">
        <w:rPr>
          <w:lang w:val="pl-PL"/>
        </w:rPr>
        <w:tab/>
        <w:t>–</w:t>
      </w:r>
      <w:r w:rsidR="00EE0910" w:rsidRPr="00F50D4C">
        <w:rPr>
          <w:lang w:val="pl-PL"/>
        </w:rPr>
        <w:tab/>
      </w:r>
      <w:r w:rsidRPr="00F50D4C">
        <w:rPr>
          <w:lang w:val="pl-PL"/>
        </w:rPr>
        <w:t xml:space="preserve">wartość księgowa netto danej grupy środków trwałych i wartości niematerialnych i prawnych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1440"/>
        </w:tabs>
        <w:spacing w:before="120" w:line="240" w:lineRule="auto"/>
        <w:rPr>
          <w:lang w:val="pl-PL"/>
        </w:rPr>
      </w:pPr>
    </w:p>
    <w:p w:rsidR="0014356E" w:rsidRPr="00F50D4C" w:rsidRDefault="0014356E" w:rsidP="00EB6C89">
      <w:pPr>
        <w:tabs>
          <w:tab w:val="clear" w:pos="567"/>
          <w:tab w:val="left" w:pos="1440"/>
        </w:tabs>
        <w:spacing w:before="120" w:line="240" w:lineRule="auto"/>
        <w:rPr>
          <w:lang w:val="pl-PL"/>
        </w:rPr>
      </w:pPr>
      <w:r w:rsidRPr="00F50D4C">
        <w:rPr>
          <w:lang w:val="pl-PL"/>
        </w:rPr>
        <w:t>W przypadku, gdy biegły rewident uzna, że zastosowanie uproszczonego sposo</w:t>
      </w:r>
      <w:r w:rsidR="005C3750" w:rsidRPr="00F50D4C">
        <w:rPr>
          <w:lang w:val="pl-PL"/>
        </w:rPr>
        <w:t xml:space="preserve">bu </w:t>
      </w:r>
      <w:r w:rsidRPr="00F50D4C">
        <w:rPr>
          <w:lang w:val="pl-PL"/>
        </w:rPr>
        <w:t>określania wartości netto aktywów (WKN/WKB)</w:t>
      </w:r>
      <w:r w:rsidR="005C3750" w:rsidRPr="00F50D4C">
        <w:rPr>
          <w:lang w:val="pl-PL"/>
        </w:rPr>
        <w:t xml:space="preserve"> może spowodować przekłamania </w:t>
      </w:r>
      <w:r w:rsidR="004A766E" w:rsidRPr="00F50D4C">
        <w:rPr>
          <w:lang w:val="pl-PL"/>
        </w:rPr>
        <w:br/>
      </w:r>
      <w:r w:rsidR="005C3750" w:rsidRPr="00F50D4C">
        <w:rPr>
          <w:lang w:val="pl-PL"/>
        </w:rPr>
        <w:t xml:space="preserve">w </w:t>
      </w:r>
      <w:r w:rsidRPr="00F50D4C">
        <w:rPr>
          <w:lang w:val="pl-PL"/>
        </w:rPr>
        <w:t>kalkulacji</w:t>
      </w:r>
      <w:r w:rsidR="00EF24A5" w:rsidRPr="00F50D4C">
        <w:rPr>
          <w:lang w:val="pl-PL"/>
        </w:rPr>
        <w:t>,</w:t>
      </w:r>
      <w:r w:rsidRPr="00F50D4C">
        <w:rPr>
          <w:lang w:val="pl-PL"/>
        </w:rPr>
        <w:t xml:space="preserve"> należy wykorzystać tzw. „metodę </w:t>
      </w:r>
      <w:r w:rsidR="005C3750" w:rsidRPr="00F50D4C">
        <w:rPr>
          <w:lang w:val="pl-PL"/>
        </w:rPr>
        <w:t xml:space="preserve">kroczącą”. Błędy mogą wystąpić </w:t>
      </w:r>
      <w:r w:rsidRPr="00F50D4C">
        <w:rPr>
          <w:lang w:val="pl-PL"/>
        </w:rPr>
        <w:t>w przypadku, gdy aktywa znajdujące się w danej grupie:</w:t>
      </w:r>
    </w:p>
    <w:p w:rsidR="0014356E" w:rsidRPr="00F50D4C" w:rsidRDefault="0014356E" w:rsidP="00CB4D7C">
      <w:pPr>
        <w:numPr>
          <w:ilvl w:val="0"/>
          <w:numId w:val="44"/>
        </w:numPr>
        <w:tabs>
          <w:tab w:val="clear" w:pos="567"/>
          <w:tab w:val="left" w:pos="360"/>
        </w:tabs>
        <w:spacing w:before="120" w:line="240" w:lineRule="auto"/>
        <w:rPr>
          <w:lang w:val="pl-PL"/>
        </w:rPr>
      </w:pPr>
      <w:r w:rsidRPr="00F50D4C">
        <w:rPr>
          <w:lang w:val="pl-PL"/>
        </w:rPr>
        <w:t>charakteryzują się znaczącymi różnicami wartości księgowej brutto przy jednoczesnym długim okresie użytkowania,</w:t>
      </w:r>
    </w:p>
    <w:p w:rsidR="0014356E" w:rsidRPr="00F50D4C" w:rsidRDefault="0014356E" w:rsidP="00CB4D7C">
      <w:pPr>
        <w:numPr>
          <w:ilvl w:val="0"/>
          <w:numId w:val="44"/>
        </w:numPr>
        <w:tabs>
          <w:tab w:val="clear" w:pos="567"/>
          <w:tab w:val="left" w:pos="360"/>
        </w:tabs>
        <w:spacing w:before="120" w:line="240" w:lineRule="auto"/>
        <w:rPr>
          <w:lang w:val="pl-PL"/>
        </w:rPr>
      </w:pPr>
      <w:r w:rsidRPr="00F50D4C">
        <w:rPr>
          <w:lang w:val="pl-PL"/>
        </w:rPr>
        <w:t xml:space="preserve">były budowane/nabywane w różnych okresach i charakteryzują się istotnymi różnicami </w:t>
      </w:r>
      <w:r w:rsidR="004A766E" w:rsidRPr="00F50D4C">
        <w:rPr>
          <w:lang w:val="pl-PL"/>
        </w:rPr>
        <w:br/>
      </w:r>
      <w:r w:rsidRPr="00F50D4C">
        <w:rPr>
          <w:lang w:val="pl-PL"/>
        </w:rPr>
        <w:t>w stopniu umorzenia;</w:t>
      </w:r>
    </w:p>
    <w:p w:rsidR="0014356E" w:rsidRPr="00F50D4C" w:rsidRDefault="0014356E" w:rsidP="00EB6C89">
      <w:pPr>
        <w:tabs>
          <w:tab w:val="clear" w:pos="567"/>
          <w:tab w:val="left" w:pos="360"/>
          <w:tab w:val="left" w:pos="1080"/>
          <w:tab w:val="left" w:pos="1440"/>
        </w:tabs>
        <w:spacing w:before="120" w:line="240" w:lineRule="auto"/>
        <w:rPr>
          <w:lang w:val="pl-PL"/>
        </w:rPr>
      </w:pPr>
      <w:r w:rsidRPr="00F50D4C">
        <w:rPr>
          <w:lang w:val="pl-PL"/>
        </w:rPr>
        <w:t>albo nastąpiły stosunkowo niewielkie w stosunku do całej wartości ulepszenia środka trwałego, który w księgach wykazywany jest w wartościach historycznych, powodujące znaczący wzrost wartości tego środka trwałego.</w:t>
      </w:r>
    </w:p>
    <w:p w:rsidR="0014356E" w:rsidRPr="00F50D4C" w:rsidRDefault="00977728" w:rsidP="00EB6C89">
      <w:pPr>
        <w:tabs>
          <w:tab w:val="clear" w:pos="567"/>
          <w:tab w:val="left" w:pos="360"/>
          <w:tab w:val="left" w:pos="1080"/>
          <w:tab w:val="left" w:pos="1440"/>
        </w:tabs>
        <w:spacing w:before="120" w:line="240" w:lineRule="auto"/>
        <w:jc w:val="center"/>
        <w:rPr>
          <w:lang w:val="pl-PL"/>
        </w:rPr>
      </w:pPr>
      <w:r w:rsidRPr="00977728">
        <w:rPr>
          <w:position w:val="-12"/>
          <w:lang w:val="pl-PL"/>
        </w:rPr>
        <w:pict>
          <v:shape id="_x0000_i1051" type="#_x0000_t75" style="width:154.5pt;height:23.25pt">
            <v:imagedata r:id="rId59" o:title=""/>
          </v:shape>
        </w:pict>
      </w:r>
    </w:p>
    <w:p w:rsidR="0014356E" w:rsidRPr="00F50D4C" w:rsidRDefault="0014356E" w:rsidP="00EB6C89">
      <w:pPr>
        <w:tabs>
          <w:tab w:val="clear" w:pos="567"/>
          <w:tab w:val="left" w:pos="360"/>
          <w:tab w:val="left" w:pos="540"/>
          <w:tab w:val="left" w:pos="1440"/>
        </w:tabs>
        <w:spacing w:before="120" w:line="240" w:lineRule="auto"/>
        <w:rPr>
          <w:lang w:val="pl-PL"/>
        </w:rPr>
      </w:pPr>
      <w:r w:rsidRPr="00F50D4C">
        <w:rPr>
          <w:lang w:val="pl-PL"/>
        </w:rPr>
        <w:t>gdzie:</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ZSN</w:t>
      </w:r>
      <w:r w:rsidRPr="00F50D4C">
        <w:rPr>
          <w:b/>
          <w:lang w:val="pl-PL"/>
        </w:rPr>
        <w:tab/>
      </w:r>
      <w:r w:rsidRPr="00F50D4C">
        <w:rPr>
          <w:lang w:val="pl-PL"/>
        </w:rPr>
        <w:t>– zysk/strata z przeszacowania netto danej grupy środków trwałych</w:t>
      </w:r>
      <w:r w:rsidRPr="00F50D4C">
        <w:rPr>
          <w:lang w:val="pl-PL"/>
        </w:rPr>
        <w:br/>
        <w:t>i wartości niematerialnych i prawnych,</w:t>
      </w:r>
    </w:p>
    <w:p w:rsidR="00280BE0" w:rsidRPr="00F50D4C" w:rsidRDefault="00280BE0" w:rsidP="00EB6C89">
      <w:pPr>
        <w:tabs>
          <w:tab w:val="clear" w:pos="567"/>
          <w:tab w:val="left" w:pos="900"/>
        </w:tabs>
        <w:spacing w:before="120" w:line="240" w:lineRule="auto"/>
        <w:ind w:left="900" w:hanging="900"/>
        <w:rPr>
          <w:lang w:val="pl-PL"/>
        </w:rPr>
      </w:pPr>
      <w:r w:rsidRPr="00F50D4C">
        <w:rPr>
          <w:b/>
          <w:lang w:val="pl-PL"/>
        </w:rPr>
        <w:t>WBN</w:t>
      </w:r>
      <w:r w:rsidRPr="00F50D4C">
        <w:rPr>
          <w:b/>
          <w:vertAlign w:val="subscript"/>
          <w:lang w:val="pl-PL"/>
        </w:rPr>
        <w:t>BZ</w:t>
      </w:r>
      <w:r w:rsidRPr="00F50D4C">
        <w:rPr>
          <w:lang w:val="pl-PL"/>
        </w:rPr>
        <w:tab/>
        <w:t xml:space="preserve">– wartość bieżąca netto danej grupy środków trwałych i wartości niematerialnych </w:t>
      </w:r>
      <w:r w:rsidR="004A766E" w:rsidRPr="00F50D4C">
        <w:rPr>
          <w:lang w:val="pl-PL"/>
        </w:rPr>
        <w:br/>
      </w:r>
      <w:r w:rsidRPr="00F50D4C">
        <w:rPr>
          <w:lang w:val="pl-PL"/>
        </w:rPr>
        <w:t>i prawnych na koniec okresu kalkulacyjnego.</w:t>
      </w:r>
    </w:p>
    <w:p w:rsidR="00280BE0" w:rsidRPr="00F50D4C" w:rsidRDefault="00280BE0" w:rsidP="00EB6C89">
      <w:pPr>
        <w:tabs>
          <w:tab w:val="clear" w:pos="567"/>
          <w:tab w:val="left" w:pos="900"/>
        </w:tabs>
        <w:spacing w:before="120" w:line="240" w:lineRule="auto"/>
        <w:ind w:left="900" w:hanging="900"/>
        <w:rPr>
          <w:lang w:val="pl-PL"/>
        </w:rPr>
      </w:pPr>
      <w:r w:rsidRPr="00F50D4C">
        <w:rPr>
          <w:b/>
          <w:lang w:val="pl-PL"/>
        </w:rPr>
        <w:t>WBN</w:t>
      </w:r>
      <w:r w:rsidRPr="00F50D4C">
        <w:rPr>
          <w:b/>
          <w:vertAlign w:val="subscript"/>
          <w:lang w:val="pl-PL"/>
        </w:rPr>
        <w:t>BO</w:t>
      </w:r>
      <w:r w:rsidRPr="00F50D4C">
        <w:rPr>
          <w:lang w:val="pl-PL"/>
        </w:rPr>
        <w:tab/>
        <w:t xml:space="preserve">– wartość bieżąca netto danej grupy środków trwałych i wartości niematerialnych </w:t>
      </w:r>
      <w:r w:rsidR="004A766E" w:rsidRPr="00F50D4C">
        <w:rPr>
          <w:lang w:val="pl-PL"/>
        </w:rPr>
        <w:br/>
      </w:r>
      <w:r w:rsidRPr="00F50D4C">
        <w:rPr>
          <w:lang w:val="pl-PL"/>
        </w:rPr>
        <w:t>i prawnych na początek okresu kalkulacyjnego.</w:t>
      </w:r>
    </w:p>
    <w:p w:rsidR="0014356E" w:rsidRPr="00F50D4C" w:rsidRDefault="0014356E" w:rsidP="00EB6C89">
      <w:pPr>
        <w:tabs>
          <w:tab w:val="clear" w:pos="567"/>
          <w:tab w:val="left" w:pos="360"/>
          <w:tab w:val="left" w:pos="900"/>
          <w:tab w:val="left" w:pos="1440"/>
        </w:tabs>
        <w:spacing w:before="120" w:line="240" w:lineRule="auto"/>
        <w:rPr>
          <w:lang w:val="pl-PL"/>
        </w:rPr>
      </w:pPr>
    </w:p>
    <w:p w:rsidR="00896A09" w:rsidRPr="00F50D4C" w:rsidRDefault="00790EA0" w:rsidP="00EB6C89">
      <w:pPr>
        <w:tabs>
          <w:tab w:val="clear" w:pos="567"/>
          <w:tab w:val="left" w:pos="1440"/>
        </w:tabs>
        <w:spacing w:before="120" w:line="240" w:lineRule="auto"/>
        <w:jc w:val="center"/>
      </w:pPr>
      <w:r w:rsidRPr="00F50D4C">
        <w:rPr>
          <w:position w:val="-12"/>
        </w:rPr>
        <w:object w:dxaOrig="2720" w:dyaOrig="360">
          <v:shape id="_x0000_i1052" type="#_x0000_t75" style="width:189pt;height:24pt" o:ole="">
            <v:imagedata r:id="rId60" o:title=""/>
          </v:shape>
          <o:OLEObject Type="Embed" ProgID="Equation.3" ShapeID="_x0000_i1052" DrawAspect="Content" ObjectID="_1457949428" r:id="rId61"/>
        </w:object>
      </w:r>
    </w:p>
    <w:p w:rsidR="00896A09" w:rsidRPr="00F50D4C" w:rsidRDefault="00790EA0" w:rsidP="00EB6C89">
      <w:pPr>
        <w:tabs>
          <w:tab w:val="clear" w:pos="567"/>
          <w:tab w:val="left" w:pos="1440"/>
        </w:tabs>
        <w:spacing w:before="120" w:line="240" w:lineRule="auto"/>
        <w:jc w:val="center"/>
        <w:rPr>
          <w:lang w:val="pl-PL"/>
        </w:rPr>
      </w:pPr>
      <w:r w:rsidRPr="00F50D4C">
        <w:rPr>
          <w:position w:val="-12"/>
        </w:rPr>
        <w:object w:dxaOrig="2740" w:dyaOrig="360">
          <v:shape id="_x0000_i1053" type="#_x0000_t75" style="width:190.5pt;height:24pt" o:ole="">
            <v:imagedata r:id="rId62" o:title=""/>
          </v:shape>
          <o:OLEObject Type="Embed" ProgID="Equation.3" ShapeID="_x0000_i1053" DrawAspect="Content" ObjectID="_1457949429" r:id="rId63"/>
        </w:object>
      </w:r>
    </w:p>
    <w:p w:rsidR="0014356E" w:rsidRPr="00F50D4C" w:rsidRDefault="0014356E" w:rsidP="00EB6C89">
      <w:pPr>
        <w:tabs>
          <w:tab w:val="clear" w:pos="567"/>
          <w:tab w:val="left" w:pos="360"/>
          <w:tab w:val="left" w:pos="1440"/>
        </w:tabs>
        <w:spacing w:before="120" w:line="240" w:lineRule="auto"/>
        <w:rPr>
          <w:lang w:val="pl-PL"/>
        </w:rPr>
      </w:pPr>
      <w:r w:rsidRPr="00F50D4C">
        <w:rPr>
          <w:lang w:val="pl-PL"/>
        </w:rPr>
        <w:t>gdzie:</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lastRenderedPageBreak/>
        <w:t>W</w:t>
      </w:r>
      <w:r w:rsidR="0034620B" w:rsidRPr="00F50D4C">
        <w:rPr>
          <w:b/>
          <w:vertAlign w:val="subscript"/>
          <w:lang w:val="pl-PL"/>
        </w:rPr>
        <w:t>1</w:t>
      </w:r>
      <w:r w:rsidR="00790EA0" w:rsidRPr="00F50D4C">
        <w:rPr>
          <w:b/>
          <w:vertAlign w:val="subscript"/>
          <w:lang w:val="pl-PL"/>
        </w:rPr>
        <w:t>3</w:t>
      </w:r>
      <w:r w:rsidRPr="00F50D4C">
        <w:rPr>
          <w:lang w:val="pl-PL"/>
        </w:rPr>
        <w:tab/>
        <w:t>– wolumen danej grupy środków trwałych i wartości niematerialnych</w:t>
      </w:r>
      <w:r w:rsidRPr="00F50D4C">
        <w:rPr>
          <w:lang w:val="pl-PL"/>
        </w:rPr>
        <w:br/>
        <w:t xml:space="preserve">i prawnych użytkowanych na dzień 31 grudnia </w:t>
      </w:r>
      <w:r w:rsidR="005B24B6" w:rsidRPr="00F50D4C">
        <w:rPr>
          <w:lang w:val="pl-PL"/>
        </w:rPr>
        <w:t>2013</w:t>
      </w:r>
      <w:r w:rsidRPr="00F50D4C">
        <w:rPr>
          <w:lang w:val="pl-PL"/>
        </w:rPr>
        <w:t xml:space="preserve"> roku,</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C</w:t>
      </w:r>
      <w:r w:rsidR="00665C3F" w:rsidRPr="00F50D4C">
        <w:rPr>
          <w:b/>
          <w:vertAlign w:val="subscript"/>
          <w:lang w:val="pl-PL"/>
        </w:rPr>
        <w:t>1</w:t>
      </w:r>
      <w:r w:rsidR="00790EA0" w:rsidRPr="00F50D4C">
        <w:rPr>
          <w:b/>
          <w:vertAlign w:val="subscript"/>
          <w:lang w:val="pl-PL"/>
        </w:rPr>
        <w:t>3</w:t>
      </w:r>
      <w:r w:rsidRPr="00F50D4C">
        <w:rPr>
          <w:lang w:val="pl-PL"/>
        </w:rPr>
        <w:tab/>
        <w:t xml:space="preserve">– ceny </w:t>
      </w:r>
      <w:r w:rsidR="0038326D" w:rsidRPr="00F50D4C">
        <w:rPr>
          <w:lang w:val="pl-PL"/>
        </w:rPr>
        <w:t xml:space="preserve">obowiązujące </w:t>
      </w:r>
      <w:r w:rsidR="00F22F33" w:rsidRPr="00F50D4C">
        <w:rPr>
          <w:lang w:val="pl-PL"/>
        </w:rPr>
        <w:t xml:space="preserve">na </w:t>
      </w:r>
      <w:r w:rsidR="0038326D" w:rsidRPr="00F50D4C">
        <w:rPr>
          <w:lang w:val="pl-PL"/>
        </w:rPr>
        <w:t xml:space="preserve">koniec roku </w:t>
      </w:r>
      <w:r w:rsidR="005B24B6" w:rsidRPr="00F50D4C">
        <w:rPr>
          <w:lang w:val="pl-PL"/>
        </w:rPr>
        <w:t>2013</w:t>
      </w:r>
      <w:r w:rsidR="0038326D" w:rsidRPr="00F50D4C">
        <w:rPr>
          <w:lang w:val="pl-PL"/>
        </w:rPr>
        <w:t xml:space="preserve"> </w:t>
      </w:r>
      <w:r w:rsidRPr="00F50D4C">
        <w:rPr>
          <w:lang w:val="pl-PL"/>
        </w:rPr>
        <w:t>dostępne na dzień kalkulacji (wprowadzania danych do modelu)</w:t>
      </w:r>
      <w:r w:rsidR="0038326D" w:rsidRPr="00F50D4C">
        <w:rPr>
          <w:lang w:val="pl-PL"/>
        </w:rPr>
        <w:t xml:space="preserve"> </w:t>
      </w:r>
      <w:r w:rsidRPr="00F50D4C">
        <w:rPr>
          <w:lang w:val="pl-PL"/>
        </w:rPr>
        <w:t>w roku</w:t>
      </w:r>
      <w:r w:rsidR="00790EA0" w:rsidRPr="00F50D4C">
        <w:rPr>
          <w:lang w:val="pl-PL"/>
        </w:rPr>
        <w:t>2014</w:t>
      </w:r>
      <w:r w:rsidR="00EF24A5" w:rsidRPr="00F50D4C">
        <w:rPr>
          <w:lang w:val="pl-PL"/>
        </w:rPr>
        <w:t>;</w:t>
      </w:r>
      <w:r w:rsidR="00034FDD"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2013</w:t>
      </w:r>
      <w:r w:rsidR="00C22512" w:rsidRPr="00F50D4C">
        <w:rPr>
          <w:lang w:val="pl-PL"/>
        </w:rPr>
        <w:t>,</w:t>
      </w:r>
      <w:r w:rsidR="005A0C55" w:rsidRPr="00F50D4C">
        <w:rPr>
          <w:lang w:val="pl-PL"/>
        </w:rPr>
        <w:t xml:space="preserve"> obliczone zgodnie z metodologią opisaną poniżej,</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C</w:t>
      </w:r>
      <w:r w:rsidR="00181605" w:rsidRPr="00F50D4C">
        <w:rPr>
          <w:b/>
          <w:vertAlign w:val="subscript"/>
          <w:lang w:val="pl-PL"/>
        </w:rPr>
        <w:t>1</w:t>
      </w:r>
      <w:r w:rsidR="00790EA0" w:rsidRPr="00F50D4C">
        <w:rPr>
          <w:b/>
          <w:vertAlign w:val="subscript"/>
          <w:lang w:val="pl-PL"/>
        </w:rPr>
        <w:t>2</w:t>
      </w:r>
      <w:r w:rsidRPr="00F50D4C">
        <w:rPr>
          <w:lang w:val="pl-PL"/>
        </w:rPr>
        <w:tab/>
      </w:r>
      <w:r w:rsidR="00EE0910" w:rsidRPr="00F50D4C">
        <w:rPr>
          <w:lang w:val="pl-PL"/>
        </w:rPr>
        <w:t xml:space="preserve">- </w:t>
      </w:r>
      <w:r w:rsidR="00763B39" w:rsidRPr="00F50D4C">
        <w:rPr>
          <w:lang w:val="pl-PL"/>
        </w:rPr>
        <w:t xml:space="preserve">ceny obowiązujące na koniec roku </w:t>
      </w:r>
      <w:r w:rsidR="005B24B6" w:rsidRPr="00F50D4C">
        <w:rPr>
          <w:lang w:val="pl-PL"/>
        </w:rPr>
        <w:t>2012</w:t>
      </w:r>
      <w:r w:rsidR="00763B39" w:rsidRPr="00F50D4C">
        <w:rPr>
          <w:lang w:val="pl-PL"/>
        </w:rPr>
        <w:t xml:space="preserve"> dostępne na dzień kalkulacji (wprowadzania danych do modelu) w roku </w:t>
      </w:r>
      <w:r w:rsidR="005B24B6" w:rsidRPr="00F50D4C">
        <w:rPr>
          <w:lang w:val="pl-PL"/>
        </w:rPr>
        <w:t>2013</w:t>
      </w:r>
      <w:r w:rsidR="00EF24A5" w:rsidRPr="00F50D4C">
        <w:rPr>
          <w:lang w:val="pl-PL"/>
        </w:rPr>
        <w:t>;</w:t>
      </w:r>
      <w:r w:rsidR="00034FDD" w:rsidRPr="00F50D4C">
        <w:rPr>
          <w:lang w:val="pl-PL"/>
        </w:rPr>
        <w:t xml:space="preserve"> </w:t>
      </w:r>
      <w:r w:rsidR="00C22512" w:rsidRPr="00F50D4C">
        <w:rPr>
          <w:lang w:val="pl-PL"/>
        </w:rPr>
        <w:t xml:space="preserve">dla HCC: KL_H1120 „Kable miedziane sieci magistralnej” oraz KL_H1130 „Kable miedziane sieci rozdzielczej” przyjęto średnie ceny kabli miedzianych za okres 10 lat poprzedzających koniec roku </w:t>
      </w:r>
      <w:r w:rsidR="005B24B6" w:rsidRPr="00F50D4C">
        <w:rPr>
          <w:lang w:val="pl-PL"/>
        </w:rPr>
        <w:t>2012</w:t>
      </w:r>
      <w:r w:rsidR="00C22512" w:rsidRPr="00F50D4C">
        <w:rPr>
          <w:lang w:val="pl-PL"/>
        </w:rPr>
        <w:t>,</w:t>
      </w:r>
      <w:r w:rsidR="005A0C55" w:rsidRPr="00F50D4C">
        <w:rPr>
          <w:lang w:val="pl-PL"/>
        </w:rPr>
        <w:t xml:space="preserve"> obliczone zgodnie z metodologią opisaną poniżej</w:t>
      </w:r>
      <w:r w:rsidR="00C22512" w:rsidRPr="00F50D4C">
        <w:rPr>
          <w:lang w:val="pl-PL"/>
        </w:rPr>
        <w:t>,</w:t>
      </w:r>
    </w:p>
    <w:p w:rsidR="0014356E" w:rsidRPr="00F50D4C" w:rsidRDefault="00307BC2" w:rsidP="00EB6C89">
      <w:pPr>
        <w:tabs>
          <w:tab w:val="clear" w:pos="567"/>
          <w:tab w:val="left" w:pos="900"/>
        </w:tabs>
        <w:spacing w:before="120" w:line="240" w:lineRule="auto"/>
        <w:ind w:left="900" w:hanging="900"/>
        <w:rPr>
          <w:lang w:val="pl-PL"/>
        </w:rPr>
      </w:pPr>
      <w:r w:rsidRPr="00F50D4C">
        <w:rPr>
          <w:b/>
          <w:lang w:val="pl-PL"/>
        </w:rPr>
        <w:t>K</w:t>
      </w:r>
      <w:r w:rsidRPr="00F50D4C">
        <w:rPr>
          <w:b/>
          <w:vertAlign w:val="subscript"/>
          <w:lang w:val="pl-PL"/>
        </w:rPr>
        <w:t>0</w:t>
      </w:r>
      <w:r w:rsidR="00790EA0" w:rsidRPr="00F50D4C">
        <w:rPr>
          <w:b/>
          <w:vertAlign w:val="subscript"/>
          <w:lang w:val="pl-PL"/>
        </w:rPr>
        <w:t>9</w:t>
      </w:r>
      <w:r w:rsidRPr="00F50D4C">
        <w:rPr>
          <w:b/>
          <w:vertAlign w:val="subscript"/>
          <w:lang w:val="pl-PL"/>
        </w:rPr>
        <w:t>-1</w:t>
      </w:r>
      <w:r w:rsidR="00790EA0" w:rsidRPr="00F50D4C">
        <w:rPr>
          <w:b/>
          <w:vertAlign w:val="subscript"/>
          <w:lang w:val="pl-PL"/>
        </w:rPr>
        <w:t>3</w:t>
      </w:r>
      <w:r w:rsidR="00EE0910" w:rsidRPr="00F50D4C">
        <w:rPr>
          <w:b/>
          <w:vertAlign w:val="subscript"/>
          <w:lang w:val="pl-PL"/>
        </w:rPr>
        <w:tab/>
      </w:r>
      <w:r w:rsidR="0014356E" w:rsidRPr="00F50D4C">
        <w:rPr>
          <w:lang w:val="pl-PL"/>
        </w:rPr>
        <w:t>– średnia arytmetyczna dziennych kursów walut obcych z tabel NBP obowiązujących w</w:t>
      </w:r>
      <w:r w:rsidR="00F7545F" w:rsidRPr="00F50D4C">
        <w:rPr>
          <w:lang w:val="pl-PL"/>
        </w:rPr>
        <w:t xml:space="preserve"> okresie od 1 stycznia 200</w:t>
      </w:r>
      <w:r w:rsidR="00790EA0" w:rsidRPr="00F50D4C">
        <w:rPr>
          <w:lang w:val="pl-PL"/>
        </w:rPr>
        <w:t>9</w:t>
      </w:r>
      <w:r w:rsidR="00F7545F" w:rsidRPr="00F50D4C">
        <w:rPr>
          <w:lang w:val="pl-PL"/>
        </w:rPr>
        <w:t xml:space="preserve"> roku do 31 grudnia </w:t>
      </w:r>
      <w:r w:rsidR="005B24B6" w:rsidRPr="00F50D4C">
        <w:rPr>
          <w:lang w:val="pl-PL"/>
        </w:rPr>
        <w:t>2013</w:t>
      </w:r>
      <w:r w:rsidR="00F7545F" w:rsidRPr="00F50D4C">
        <w:rPr>
          <w:lang w:val="pl-PL"/>
        </w:rPr>
        <w:t xml:space="preserve"> roku</w:t>
      </w:r>
      <w:r w:rsidR="0014356E" w:rsidRPr="00F50D4C">
        <w:rPr>
          <w:lang w:val="pl-PL"/>
        </w:rPr>
        <w:t>,</w:t>
      </w:r>
    </w:p>
    <w:p w:rsidR="0014356E" w:rsidRPr="00F50D4C" w:rsidRDefault="00307BC2" w:rsidP="00EB6C89">
      <w:pPr>
        <w:tabs>
          <w:tab w:val="clear" w:pos="567"/>
          <w:tab w:val="left" w:pos="900"/>
        </w:tabs>
        <w:spacing w:before="120" w:line="240" w:lineRule="auto"/>
        <w:ind w:left="900" w:hanging="900"/>
        <w:rPr>
          <w:lang w:val="pl-PL"/>
        </w:rPr>
      </w:pPr>
      <w:r w:rsidRPr="00F50D4C">
        <w:rPr>
          <w:b/>
          <w:lang w:val="pl-PL"/>
        </w:rPr>
        <w:t>K</w:t>
      </w:r>
      <w:r w:rsidRPr="00F50D4C">
        <w:rPr>
          <w:b/>
          <w:vertAlign w:val="subscript"/>
          <w:lang w:val="pl-PL"/>
        </w:rPr>
        <w:t>0</w:t>
      </w:r>
      <w:r w:rsidR="00790EA0" w:rsidRPr="00F50D4C">
        <w:rPr>
          <w:b/>
          <w:vertAlign w:val="subscript"/>
          <w:lang w:val="pl-PL"/>
        </w:rPr>
        <w:t>8</w:t>
      </w:r>
      <w:r w:rsidRPr="00F50D4C">
        <w:rPr>
          <w:b/>
          <w:vertAlign w:val="subscript"/>
          <w:lang w:val="pl-PL"/>
        </w:rPr>
        <w:t>-</w:t>
      </w:r>
      <w:r w:rsidR="00181605" w:rsidRPr="00F50D4C">
        <w:rPr>
          <w:b/>
          <w:vertAlign w:val="subscript"/>
          <w:lang w:val="pl-PL"/>
        </w:rPr>
        <w:t>1</w:t>
      </w:r>
      <w:r w:rsidR="00790EA0" w:rsidRPr="00F50D4C">
        <w:rPr>
          <w:b/>
          <w:vertAlign w:val="subscript"/>
          <w:lang w:val="pl-PL"/>
        </w:rPr>
        <w:t>2</w:t>
      </w:r>
      <w:r w:rsidR="0014356E" w:rsidRPr="00F50D4C">
        <w:rPr>
          <w:lang w:val="pl-PL"/>
        </w:rPr>
        <w:tab/>
        <w:t xml:space="preserve">– średnia arytmetyczna dziennych kursów walut obcych z tabel NBP obowiązujących w </w:t>
      </w:r>
      <w:r w:rsidR="00F7545F" w:rsidRPr="00F50D4C">
        <w:rPr>
          <w:lang w:val="pl-PL"/>
        </w:rPr>
        <w:t>okresie od 1 stycznia 200</w:t>
      </w:r>
      <w:r w:rsidR="00790EA0" w:rsidRPr="00F50D4C">
        <w:rPr>
          <w:lang w:val="pl-PL"/>
        </w:rPr>
        <w:t>8</w:t>
      </w:r>
      <w:r w:rsidR="00F7545F" w:rsidRPr="00F50D4C">
        <w:rPr>
          <w:lang w:val="pl-PL"/>
        </w:rPr>
        <w:t xml:space="preserve"> roku do 31 grudnia </w:t>
      </w:r>
      <w:r w:rsidR="005B24B6" w:rsidRPr="00F50D4C">
        <w:rPr>
          <w:lang w:val="pl-PL"/>
        </w:rPr>
        <w:t>2012</w:t>
      </w:r>
      <w:r w:rsidR="00F7545F" w:rsidRPr="00F50D4C">
        <w:rPr>
          <w:lang w:val="pl-PL"/>
        </w:rPr>
        <w:t xml:space="preserve"> roku</w:t>
      </w:r>
      <w:r w:rsidR="0014356E" w:rsidRPr="00F50D4C">
        <w:rPr>
          <w:lang w:val="pl-PL"/>
        </w:rPr>
        <w:t>,</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WBB</w:t>
      </w:r>
      <w:r w:rsidRPr="00F50D4C">
        <w:rPr>
          <w:b/>
          <w:vertAlign w:val="subscript"/>
          <w:lang w:val="pl-PL"/>
        </w:rPr>
        <w:t>BZ</w:t>
      </w:r>
      <w:r w:rsidRPr="00F50D4C">
        <w:rPr>
          <w:lang w:val="pl-PL"/>
        </w:rPr>
        <w:tab/>
        <w:t>–</w:t>
      </w:r>
      <w:r w:rsidR="00EE0910" w:rsidRPr="00F50D4C">
        <w:rPr>
          <w:lang w:val="pl-PL"/>
        </w:rPr>
        <w:t xml:space="preserve"> </w:t>
      </w:r>
      <w:r w:rsidRPr="00F50D4C">
        <w:rPr>
          <w:lang w:val="pl-PL"/>
        </w:rPr>
        <w:t xml:space="preserve">wartość bieżąca brutto danej grupy środków trwałych i wartości niematerialnych </w:t>
      </w:r>
      <w:r w:rsidR="004A766E" w:rsidRPr="00F50D4C">
        <w:rPr>
          <w:lang w:val="pl-PL"/>
        </w:rPr>
        <w:br/>
      </w:r>
      <w:r w:rsidRPr="00F50D4C">
        <w:rPr>
          <w:lang w:val="pl-PL"/>
        </w:rPr>
        <w:t>i prawnych na koniec okresu kalkulacyjnego,</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WBB</w:t>
      </w:r>
      <w:r w:rsidRPr="00F50D4C">
        <w:rPr>
          <w:b/>
          <w:vertAlign w:val="subscript"/>
          <w:lang w:val="pl-PL"/>
        </w:rPr>
        <w:t>BO</w:t>
      </w:r>
      <w:r w:rsidRPr="00F50D4C">
        <w:rPr>
          <w:lang w:val="pl-PL"/>
        </w:rPr>
        <w:tab/>
        <w:t xml:space="preserve">–wartość </w:t>
      </w:r>
      <w:r w:rsidR="00EF24A5" w:rsidRPr="00F50D4C">
        <w:rPr>
          <w:lang w:val="pl-PL"/>
        </w:rPr>
        <w:t xml:space="preserve">bieżąca </w:t>
      </w:r>
      <w:r w:rsidRPr="00F50D4C">
        <w:rPr>
          <w:lang w:val="pl-PL"/>
        </w:rPr>
        <w:t xml:space="preserve">brutto danej grupy środków trwałych i wartości niematerialnych </w:t>
      </w:r>
      <w:r w:rsidR="004A766E" w:rsidRPr="00F50D4C">
        <w:rPr>
          <w:lang w:val="pl-PL"/>
        </w:rPr>
        <w:br/>
      </w:r>
      <w:r w:rsidRPr="00F50D4C">
        <w:rPr>
          <w:lang w:val="pl-PL"/>
        </w:rPr>
        <w:t>i prawnych na początek okresu kalkulacyjnego.</w:t>
      </w:r>
    </w:p>
    <w:p w:rsidR="0014356E" w:rsidRPr="00F50D4C" w:rsidRDefault="0014356E" w:rsidP="00EB6C89">
      <w:pPr>
        <w:tabs>
          <w:tab w:val="clear" w:pos="567"/>
          <w:tab w:val="left" w:pos="360"/>
          <w:tab w:val="left" w:pos="1440"/>
        </w:tabs>
        <w:spacing w:before="120" w:line="240" w:lineRule="auto"/>
        <w:rPr>
          <w:lang w:val="pl-PL"/>
        </w:rPr>
      </w:pPr>
    </w:p>
    <w:p w:rsidR="008A7978" w:rsidRPr="00F50D4C" w:rsidRDefault="008A7978" w:rsidP="00EB6C89">
      <w:pPr>
        <w:tabs>
          <w:tab w:val="clear" w:pos="567"/>
          <w:tab w:val="left" w:pos="360"/>
          <w:tab w:val="left" w:pos="1440"/>
        </w:tabs>
        <w:autoSpaceDE w:val="0"/>
        <w:autoSpaceDN w:val="0"/>
        <w:adjustRightInd w:val="0"/>
        <w:spacing w:before="120" w:line="240" w:lineRule="auto"/>
        <w:jc w:val="center"/>
        <w:rPr>
          <w:lang w:val="pl-PL"/>
        </w:rPr>
      </w:pPr>
      <w:r w:rsidRPr="00F50D4C">
        <w:rPr>
          <w:position w:val="-10"/>
        </w:rPr>
        <w:object w:dxaOrig="2400" w:dyaOrig="340">
          <v:shape id="_x0000_i1054" type="#_x0000_t75" style="width:166.5pt;height:23.25pt" o:ole="">
            <v:imagedata r:id="rId64" o:title=""/>
          </v:shape>
          <o:OLEObject Type="Embed" ProgID="Equation.3" ShapeID="_x0000_i1054" DrawAspect="Content" ObjectID="_1457949430" r:id="rId65"/>
        </w:object>
      </w:r>
    </w:p>
    <w:p w:rsidR="0014356E" w:rsidRPr="00F50D4C" w:rsidRDefault="00CB7C0F" w:rsidP="00EB6C89">
      <w:pPr>
        <w:tabs>
          <w:tab w:val="clear" w:pos="567"/>
          <w:tab w:val="left" w:pos="360"/>
          <w:tab w:val="left" w:pos="1440"/>
        </w:tabs>
        <w:autoSpaceDE w:val="0"/>
        <w:autoSpaceDN w:val="0"/>
        <w:adjustRightInd w:val="0"/>
        <w:spacing w:before="120" w:line="240" w:lineRule="auto"/>
        <w:jc w:val="center"/>
        <w:rPr>
          <w:lang w:val="pl-PL"/>
        </w:rPr>
      </w:pPr>
      <w:r w:rsidRPr="00F50D4C">
        <w:rPr>
          <w:position w:val="-10"/>
        </w:rPr>
        <w:object w:dxaOrig="3019" w:dyaOrig="340">
          <v:shape id="_x0000_i1055" type="#_x0000_t75" style="width:210.75pt;height:23.25pt" o:ole="">
            <v:imagedata r:id="rId66" o:title=""/>
          </v:shape>
          <o:OLEObject Type="Embed" ProgID="Equation.3" ShapeID="_x0000_i1055" DrawAspect="Content" ObjectID="_1457949431" r:id="rId67"/>
        </w:object>
      </w:r>
    </w:p>
    <w:p w:rsidR="008D6EA3" w:rsidRPr="00F50D4C" w:rsidRDefault="008D6EA3" w:rsidP="00EB6C89">
      <w:pPr>
        <w:tabs>
          <w:tab w:val="clear" w:pos="567"/>
          <w:tab w:val="left" w:pos="360"/>
          <w:tab w:val="left" w:pos="1440"/>
          <w:tab w:val="num" w:pos="1680"/>
        </w:tabs>
        <w:spacing w:before="120" w:line="240" w:lineRule="auto"/>
        <w:jc w:val="center"/>
        <w:rPr>
          <w:lang w:val="pl-PL"/>
        </w:rPr>
      </w:pPr>
      <w:r w:rsidRPr="00F50D4C">
        <w:rPr>
          <w:position w:val="-12"/>
        </w:rPr>
        <w:object w:dxaOrig="2420" w:dyaOrig="360">
          <v:shape id="_x0000_i1056" type="#_x0000_t75" style="width:168pt;height:24pt" o:ole="">
            <v:imagedata r:id="rId68" o:title=""/>
          </v:shape>
          <o:OLEObject Type="Embed" ProgID="Equation.3" ShapeID="_x0000_i1056" DrawAspect="Content" ObjectID="_1457949432" r:id="rId69"/>
        </w:object>
      </w:r>
    </w:p>
    <w:p w:rsidR="008D6EA3" w:rsidRPr="00F50D4C" w:rsidRDefault="00CB7C0F" w:rsidP="00EB6C89">
      <w:pPr>
        <w:tabs>
          <w:tab w:val="clear" w:pos="567"/>
          <w:tab w:val="left" w:pos="360"/>
          <w:tab w:val="left" w:pos="540"/>
          <w:tab w:val="left" w:pos="1440"/>
        </w:tabs>
        <w:spacing w:before="120" w:line="240" w:lineRule="auto"/>
        <w:jc w:val="center"/>
        <w:rPr>
          <w:lang w:val="pl-PL"/>
        </w:rPr>
      </w:pPr>
      <w:r w:rsidRPr="00F50D4C">
        <w:rPr>
          <w:position w:val="-12"/>
        </w:rPr>
        <w:object w:dxaOrig="3080" w:dyaOrig="360">
          <v:shape id="_x0000_i1057" type="#_x0000_t75" style="width:214.5pt;height:24pt" o:ole="">
            <v:imagedata r:id="rId70" o:title=""/>
          </v:shape>
          <o:OLEObject Type="Embed" ProgID="Equation.3" ShapeID="_x0000_i1057" DrawAspect="Content" ObjectID="_1457949433" r:id="rId71"/>
        </w:object>
      </w:r>
    </w:p>
    <w:p w:rsidR="0014356E" w:rsidRPr="00F50D4C" w:rsidRDefault="0014356E" w:rsidP="00EB6C89">
      <w:pPr>
        <w:tabs>
          <w:tab w:val="clear" w:pos="567"/>
          <w:tab w:val="left" w:pos="180"/>
          <w:tab w:val="left" w:pos="360"/>
          <w:tab w:val="left" w:pos="1440"/>
        </w:tabs>
        <w:spacing w:before="120" w:line="240" w:lineRule="auto"/>
        <w:rPr>
          <w:lang w:val="pl-PL"/>
        </w:rPr>
      </w:pPr>
      <w:r w:rsidRPr="00F50D4C">
        <w:rPr>
          <w:lang w:val="pl-PL"/>
        </w:rPr>
        <w:t>gdzie:</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UB</w:t>
      </w:r>
      <w:r w:rsidRPr="00F50D4C">
        <w:rPr>
          <w:b/>
          <w:vertAlign w:val="subscript"/>
          <w:lang w:val="pl-PL"/>
        </w:rPr>
        <w:t>BZ</w:t>
      </w:r>
      <w:r w:rsidRPr="00F50D4C">
        <w:rPr>
          <w:lang w:val="pl-PL"/>
        </w:rPr>
        <w:tab/>
        <w:t xml:space="preserve"> – umorzenie bieżące danej grupy środków trwałych i wartości niematerialnych </w:t>
      </w:r>
      <w:r w:rsidR="004A766E" w:rsidRPr="00F50D4C">
        <w:rPr>
          <w:lang w:val="pl-PL"/>
        </w:rPr>
        <w:br/>
      </w:r>
      <w:r w:rsidRPr="00F50D4C">
        <w:rPr>
          <w:lang w:val="pl-PL"/>
        </w:rPr>
        <w:t xml:space="preserve">i prawnych na </w:t>
      </w:r>
      <w:r w:rsidR="00CB7C0F" w:rsidRPr="00F50D4C">
        <w:rPr>
          <w:lang w:val="pl-PL"/>
        </w:rPr>
        <w:t>koniec okresu kalkulacyjnego,</w:t>
      </w:r>
    </w:p>
    <w:p w:rsidR="00CB7C0F" w:rsidRPr="00F50D4C" w:rsidRDefault="00CB7C0F" w:rsidP="00EB6C89">
      <w:pPr>
        <w:tabs>
          <w:tab w:val="clear" w:pos="567"/>
          <w:tab w:val="left" w:pos="900"/>
        </w:tabs>
        <w:spacing w:before="120" w:line="240" w:lineRule="auto"/>
        <w:ind w:left="900" w:hanging="900"/>
        <w:rPr>
          <w:lang w:val="pl-PL"/>
        </w:rPr>
      </w:pPr>
      <w:r w:rsidRPr="00F50D4C">
        <w:rPr>
          <w:b/>
          <w:lang w:val="pl-PL"/>
        </w:rPr>
        <w:t>UB</w:t>
      </w:r>
      <w:r w:rsidRPr="00F50D4C">
        <w:rPr>
          <w:b/>
          <w:vertAlign w:val="subscript"/>
          <w:lang w:val="pl-PL"/>
        </w:rPr>
        <w:t>BO</w:t>
      </w:r>
      <w:r w:rsidRPr="00F50D4C">
        <w:rPr>
          <w:lang w:val="pl-PL"/>
        </w:rPr>
        <w:tab/>
        <w:t xml:space="preserve"> – umorzenie bieżące danej grupy środków trwałych i wartości niematerialnych </w:t>
      </w:r>
      <w:r w:rsidR="004A766E" w:rsidRPr="00F50D4C">
        <w:rPr>
          <w:lang w:val="pl-PL"/>
        </w:rPr>
        <w:br/>
      </w:r>
      <w:r w:rsidRPr="00F50D4C">
        <w:rPr>
          <w:lang w:val="pl-PL"/>
        </w:rPr>
        <w:t>i prawnych na początek okresu kalkulacyjnego,</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UH</w:t>
      </w:r>
      <w:r w:rsidR="00CB7C0F" w:rsidRPr="00F50D4C">
        <w:rPr>
          <w:b/>
          <w:vertAlign w:val="subscript"/>
          <w:lang w:val="pl-PL"/>
        </w:rPr>
        <w:t>BZ</w:t>
      </w:r>
      <w:r w:rsidRPr="00F50D4C">
        <w:rPr>
          <w:lang w:val="pl-PL"/>
        </w:rPr>
        <w:tab/>
        <w:t xml:space="preserve">– umorzenie historyczne danej grupy środków trwałych i wartości niematerialnych </w:t>
      </w:r>
      <w:r w:rsidR="004A766E" w:rsidRPr="00F50D4C">
        <w:rPr>
          <w:lang w:val="pl-PL"/>
        </w:rPr>
        <w:br/>
      </w:r>
      <w:r w:rsidRPr="00F50D4C">
        <w:rPr>
          <w:lang w:val="pl-PL"/>
        </w:rPr>
        <w:t xml:space="preserve">i prawnych na </w:t>
      </w:r>
      <w:r w:rsidR="00CB7C0F" w:rsidRPr="00F50D4C">
        <w:rPr>
          <w:lang w:val="pl-PL"/>
        </w:rPr>
        <w:t>koniec okresu kalkulacyjnego</w:t>
      </w:r>
      <w:r w:rsidRPr="00F50D4C">
        <w:rPr>
          <w:lang w:val="pl-PL"/>
        </w:rPr>
        <w:t>,</w:t>
      </w:r>
    </w:p>
    <w:p w:rsidR="00CB7C0F" w:rsidRPr="00F50D4C" w:rsidRDefault="00CB7C0F" w:rsidP="00EB6C89">
      <w:pPr>
        <w:tabs>
          <w:tab w:val="clear" w:pos="567"/>
          <w:tab w:val="left" w:pos="900"/>
        </w:tabs>
        <w:spacing w:before="120" w:line="240" w:lineRule="auto"/>
        <w:ind w:left="900" w:hanging="900"/>
        <w:rPr>
          <w:lang w:val="pl-PL"/>
        </w:rPr>
      </w:pPr>
      <w:r w:rsidRPr="00F50D4C">
        <w:rPr>
          <w:b/>
          <w:lang w:val="pl-PL"/>
        </w:rPr>
        <w:t>UH</w:t>
      </w:r>
      <w:r w:rsidRPr="00F50D4C">
        <w:rPr>
          <w:b/>
          <w:vertAlign w:val="subscript"/>
          <w:lang w:val="pl-PL"/>
        </w:rPr>
        <w:t>BO</w:t>
      </w:r>
      <w:r w:rsidRPr="00F50D4C">
        <w:rPr>
          <w:lang w:val="pl-PL"/>
        </w:rPr>
        <w:tab/>
        <w:t xml:space="preserve">– umorzenie historyczne danej grupy środków trwałych i wartości niematerialnych </w:t>
      </w:r>
      <w:r w:rsidR="004A766E" w:rsidRPr="00F50D4C">
        <w:rPr>
          <w:lang w:val="pl-PL"/>
        </w:rPr>
        <w:br/>
      </w:r>
      <w:r w:rsidRPr="00F50D4C">
        <w:rPr>
          <w:lang w:val="pl-PL"/>
        </w:rPr>
        <w:t>i prawnych na początek okresu kalkulacyjnego,</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WBB</w:t>
      </w:r>
      <w:r w:rsidRPr="00F50D4C">
        <w:rPr>
          <w:b/>
          <w:vertAlign w:val="subscript"/>
          <w:lang w:val="pl-PL"/>
        </w:rPr>
        <w:t>BZ</w:t>
      </w:r>
      <w:r w:rsidRPr="00F50D4C">
        <w:rPr>
          <w:lang w:val="pl-PL"/>
        </w:rPr>
        <w:tab/>
        <w:t xml:space="preserve">– wartość bieżąca brutto danej grupy środków trwałych i wartości niematerialnych </w:t>
      </w:r>
      <w:r w:rsidR="004A766E" w:rsidRPr="00F50D4C">
        <w:rPr>
          <w:lang w:val="pl-PL"/>
        </w:rPr>
        <w:br/>
      </w:r>
      <w:r w:rsidRPr="00F50D4C">
        <w:rPr>
          <w:lang w:val="pl-PL"/>
        </w:rPr>
        <w:t>i prawnych na koniec okresu kalkulacyjnego,</w:t>
      </w:r>
    </w:p>
    <w:p w:rsidR="0014356E" w:rsidRPr="00F50D4C" w:rsidRDefault="0014356E" w:rsidP="00EB6C89">
      <w:pPr>
        <w:tabs>
          <w:tab w:val="clear" w:pos="567"/>
          <w:tab w:val="left" w:pos="900"/>
        </w:tabs>
        <w:spacing w:before="120" w:line="240" w:lineRule="auto"/>
        <w:ind w:left="900" w:hanging="900"/>
        <w:rPr>
          <w:lang w:val="pl-PL"/>
        </w:rPr>
      </w:pPr>
      <w:r w:rsidRPr="00F50D4C">
        <w:rPr>
          <w:b/>
          <w:lang w:val="pl-PL"/>
        </w:rPr>
        <w:t>WBB</w:t>
      </w:r>
      <w:r w:rsidRPr="00F50D4C">
        <w:rPr>
          <w:b/>
          <w:vertAlign w:val="subscript"/>
          <w:lang w:val="pl-PL"/>
        </w:rPr>
        <w:t>BO</w:t>
      </w:r>
      <w:r w:rsidRPr="00F50D4C">
        <w:rPr>
          <w:lang w:val="pl-PL"/>
        </w:rPr>
        <w:tab/>
        <w:t xml:space="preserve">– wartość </w:t>
      </w:r>
      <w:r w:rsidR="00EF24A5" w:rsidRPr="00F50D4C">
        <w:rPr>
          <w:lang w:val="pl-PL"/>
        </w:rPr>
        <w:t xml:space="preserve">bieżąca </w:t>
      </w:r>
      <w:r w:rsidRPr="00F50D4C">
        <w:rPr>
          <w:lang w:val="pl-PL"/>
        </w:rPr>
        <w:t xml:space="preserve">brutto danej grupy środków trwałych i wartości niematerialnych </w:t>
      </w:r>
      <w:r w:rsidR="004A766E" w:rsidRPr="00F50D4C">
        <w:rPr>
          <w:lang w:val="pl-PL"/>
        </w:rPr>
        <w:br/>
      </w:r>
      <w:r w:rsidRPr="00F50D4C">
        <w:rPr>
          <w:lang w:val="pl-PL"/>
        </w:rPr>
        <w:t>i prawnych na początek okresu kalkulacyjnego,</w:t>
      </w:r>
    </w:p>
    <w:p w:rsidR="00392FD4" w:rsidRPr="00F50D4C" w:rsidRDefault="0014356E" w:rsidP="00EB6C89">
      <w:pPr>
        <w:tabs>
          <w:tab w:val="clear" w:pos="567"/>
          <w:tab w:val="left" w:pos="900"/>
        </w:tabs>
        <w:spacing w:before="120" w:line="240" w:lineRule="auto"/>
        <w:ind w:left="902" w:hanging="902"/>
        <w:rPr>
          <w:lang w:val="pl-PL"/>
        </w:rPr>
      </w:pPr>
      <w:r w:rsidRPr="00F50D4C">
        <w:rPr>
          <w:b/>
          <w:lang w:val="pl-PL"/>
        </w:rPr>
        <w:t>WKB</w:t>
      </w:r>
      <w:r w:rsidR="00EF3BA4" w:rsidRPr="00F50D4C">
        <w:rPr>
          <w:b/>
          <w:vertAlign w:val="subscript"/>
          <w:lang w:val="pl-PL"/>
        </w:rPr>
        <w:t>BZ</w:t>
      </w:r>
      <w:r w:rsidRPr="00F50D4C">
        <w:rPr>
          <w:lang w:val="pl-PL"/>
        </w:rPr>
        <w:tab/>
        <w:t xml:space="preserve">– wartość księgowa brutto danej grupy środków trwałych i wartości niematerialnych i prawnych </w:t>
      </w:r>
      <w:r w:rsidR="00EF3BA4" w:rsidRPr="00F50D4C">
        <w:rPr>
          <w:lang w:val="pl-PL"/>
        </w:rPr>
        <w:t>na koniec okresu kalkulacyjnego,</w:t>
      </w:r>
    </w:p>
    <w:p w:rsidR="00EF3BA4" w:rsidRPr="00F50D4C" w:rsidRDefault="00EF3BA4" w:rsidP="00EB6C89">
      <w:pPr>
        <w:tabs>
          <w:tab w:val="clear" w:pos="567"/>
          <w:tab w:val="left" w:pos="900"/>
        </w:tabs>
        <w:spacing w:before="120" w:line="240" w:lineRule="auto"/>
        <w:ind w:left="902" w:hanging="902"/>
        <w:rPr>
          <w:lang w:val="pl-PL"/>
        </w:rPr>
      </w:pPr>
      <w:r w:rsidRPr="00F50D4C">
        <w:rPr>
          <w:b/>
          <w:lang w:val="pl-PL"/>
        </w:rPr>
        <w:t>WKB</w:t>
      </w:r>
      <w:r w:rsidRPr="00F50D4C">
        <w:rPr>
          <w:b/>
          <w:vertAlign w:val="subscript"/>
          <w:lang w:val="pl-PL"/>
        </w:rPr>
        <w:t>BO</w:t>
      </w:r>
      <w:r w:rsidRPr="00F50D4C">
        <w:rPr>
          <w:lang w:val="pl-PL"/>
        </w:rPr>
        <w:tab/>
        <w:t>– wartość księgowa brutto danej grupy środków trwałych i wartości niematerialnych i prawnych na początek okresu kalkulacyjnego.</w:t>
      </w:r>
    </w:p>
    <w:p w:rsidR="00EF3BA4" w:rsidRPr="00F50D4C" w:rsidRDefault="00EF3BA4" w:rsidP="00EB6C89">
      <w:pPr>
        <w:tabs>
          <w:tab w:val="clear" w:pos="567"/>
          <w:tab w:val="left" w:pos="900"/>
        </w:tabs>
        <w:spacing w:before="120" w:line="240" w:lineRule="auto"/>
        <w:ind w:left="900" w:hanging="900"/>
        <w:rPr>
          <w:lang w:val="pl-PL"/>
        </w:rPr>
      </w:pPr>
    </w:p>
    <w:p w:rsidR="005A0C55" w:rsidRPr="00F50D4C" w:rsidRDefault="005E59EB" w:rsidP="00EB6C89">
      <w:pPr>
        <w:tabs>
          <w:tab w:val="clear" w:pos="567"/>
          <w:tab w:val="left" w:pos="0"/>
        </w:tabs>
        <w:spacing w:before="120" w:line="240" w:lineRule="auto"/>
        <w:rPr>
          <w:lang w:val="pl-PL"/>
        </w:rPr>
      </w:pPr>
      <w:r w:rsidRPr="00F50D4C">
        <w:rPr>
          <w:lang w:val="pl-PL"/>
        </w:rPr>
        <w:t xml:space="preserve">Średnie ceny kabli miedzianych za okresy 10 lat poprzedzających koniec roku </w:t>
      </w:r>
      <w:r w:rsidR="005B24B6" w:rsidRPr="00F50D4C">
        <w:rPr>
          <w:lang w:val="pl-PL"/>
        </w:rPr>
        <w:t>2012</w:t>
      </w:r>
      <w:r w:rsidRPr="00F50D4C">
        <w:rPr>
          <w:lang w:val="pl-PL"/>
        </w:rPr>
        <w:t xml:space="preserve"> i roku </w:t>
      </w:r>
      <w:r w:rsidR="005B24B6" w:rsidRPr="00F50D4C">
        <w:rPr>
          <w:lang w:val="pl-PL"/>
        </w:rPr>
        <w:t>2013</w:t>
      </w:r>
      <w:r w:rsidRPr="00F50D4C">
        <w:rPr>
          <w:lang w:val="pl-PL"/>
        </w:rPr>
        <w:t xml:space="preserve"> (odpowiednio dla bilansu otwarcia i bilansu zamknięcia roku </w:t>
      </w:r>
      <w:r w:rsidR="005B24B6" w:rsidRPr="00F50D4C">
        <w:rPr>
          <w:lang w:val="pl-PL"/>
        </w:rPr>
        <w:t>2013</w:t>
      </w:r>
      <w:r w:rsidRPr="00F50D4C">
        <w:rPr>
          <w:lang w:val="pl-PL"/>
        </w:rPr>
        <w:t>) są obliczane według m</w:t>
      </w:r>
      <w:r w:rsidR="0064262D" w:rsidRPr="00F50D4C">
        <w:rPr>
          <w:lang w:val="pl-PL"/>
        </w:rPr>
        <w:t>etodologii obejmującej wykonanie</w:t>
      </w:r>
      <w:r w:rsidRPr="00F50D4C">
        <w:rPr>
          <w:lang w:val="pl-PL"/>
        </w:rPr>
        <w:t xml:space="preserve"> następujących kroków:</w:t>
      </w:r>
    </w:p>
    <w:p w:rsidR="005E59EB" w:rsidRPr="00F50D4C" w:rsidRDefault="005E59EB" w:rsidP="00EB6C89">
      <w:pPr>
        <w:numPr>
          <w:ilvl w:val="0"/>
          <w:numId w:val="49"/>
        </w:numPr>
        <w:tabs>
          <w:tab w:val="clear" w:pos="567"/>
          <w:tab w:val="left" w:pos="0"/>
        </w:tabs>
        <w:spacing w:before="120" w:line="240" w:lineRule="auto"/>
        <w:rPr>
          <w:lang w:val="pl-PL"/>
        </w:rPr>
      </w:pPr>
      <w:r w:rsidRPr="00F50D4C">
        <w:rPr>
          <w:lang w:val="pl-PL"/>
        </w:rPr>
        <w:t xml:space="preserve">obliczenie czasu obowiązywania, wyrażonego w dniach, aneksów do umów </w:t>
      </w:r>
      <w:r w:rsidR="004A766E" w:rsidRPr="00F50D4C">
        <w:rPr>
          <w:lang w:val="pl-PL"/>
        </w:rPr>
        <w:br/>
      </w:r>
      <w:r w:rsidRPr="00F50D4C">
        <w:rPr>
          <w:lang w:val="pl-PL"/>
        </w:rPr>
        <w:t>z dostawcami, określających ceny kabli miedzianych w okresie 10 lat poprzedzających datę na jaką dokonywana jest kalkulacja</w:t>
      </w:r>
      <w:r w:rsidR="008C225D" w:rsidRPr="00F50D4C">
        <w:rPr>
          <w:lang w:val="pl-PL"/>
        </w:rPr>
        <w:t>,</w:t>
      </w:r>
    </w:p>
    <w:p w:rsidR="005E59EB" w:rsidRPr="00F50D4C" w:rsidRDefault="008C225D" w:rsidP="00EB6C89">
      <w:pPr>
        <w:numPr>
          <w:ilvl w:val="0"/>
          <w:numId w:val="49"/>
        </w:numPr>
        <w:tabs>
          <w:tab w:val="clear" w:pos="567"/>
          <w:tab w:val="left" w:pos="0"/>
        </w:tabs>
        <w:spacing w:before="120" w:line="240" w:lineRule="auto"/>
        <w:rPr>
          <w:lang w:val="pl-PL"/>
        </w:rPr>
      </w:pPr>
      <w:r w:rsidRPr="00F50D4C">
        <w:rPr>
          <w:lang w:val="pl-PL"/>
        </w:rPr>
        <w:t xml:space="preserve">dla okresów obowiązywania poszczególnych aneksów wyznaczenie obowiązujących cen poszczególnych typów kabli oraz ceny miedzi surowej na podstawie </w:t>
      </w:r>
      <w:r w:rsidR="0064262D" w:rsidRPr="00F50D4C">
        <w:rPr>
          <w:lang w:val="pl-PL"/>
        </w:rPr>
        <w:t xml:space="preserve">historycznych </w:t>
      </w:r>
      <w:r w:rsidRPr="00F50D4C">
        <w:rPr>
          <w:lang w:val="pl-PL"/>
        </w:rPr>
        <w:t>notowań giełdowych,</w:t>
      </w:r>
    </w:p>
    <w:p w:rsidR="003A19B2" w:rsidRPr="00F50D4C" w:rsidRDefault="003A19B2" w:rsidP="00EB6C89">
      <w:pPr>
        <w:numPr>
          <w:ilvl w:val="0"/>
          <w:numId w:val="49"/>
        </w:numPr>
        <w:tabs>
          <w:tab w:val="clear" w:pos="567"/>
          <w:tab w:val="left" w:pos="0"/>
        </w:tabs>
        <w:spacing w:before="120" w:line="240" w:lineRule="auto"/>
        <w:rPr>
          <w:lang w:val="pl-PL"/>
        </w:rPr>
      </w:pPr>
      <w:r w:rsidRPr="00F50D4C">
        <w:rPr>
          <w:lang w:val="pl-PL"/>
        </w:rPr>
        <w:t xml:space="preserve">obliczenie średniej ceny miedzi surowej w okresie 10 lat poprzedzających datę </w:t>
      </w:r>
      <w:r w:rsidR="004A766E" w:rsidRPr="00F50D4C">
        <w:rPr>
          <w:lang w:val="pl-PL"/>
        </w:rPr>
        <w:br/>
      </w:r>
      <w:r w:rsidRPr="00F50D4C">
        <w:rPr>
          <w:lang w:val="pl-PL"/>
        </w:rPr>
        <w:t xml:space="preserve">na jaką dokonywana jest kalkulacja, ważonej czasem obowiązywania aneksów </w:t>
      </w:r>
      <w:r w:rsidR="004A766E" w:rsidRPr="00F50D4C">
        <w:rPr>
          <w:lang w:val="pl-PL"/>
        </w:rPr>
        <w:br/>
      </w:r>
      <w:r w:rsidRPr="00F50D4C">
        <w:rPr>
          <w:lang w:val="pl-PL"/>
        </w:rPr>
        <w:t>z dostawcami</w:t>
      </w:r>
      <w:r w:rsidR="0060608A" w:rsidRPr="00F50D4C">
        <w:rPr>
          <w:lang w:val="pl-PL"/>
        </w:rPr>
        <w:t>,</w:t>
      </w:r>
    </w:p>
    <w:p w:rsidR="008C225D" w:rsidRPr="00F50D4C" w:rsidRDefault="008C225D" w:rsidP="00EB6C89">
      <w:pPr>
        <w:numPr>
          <w:ilvl w:val="0"/>
          <w:numId w:val="49"/>
        </w:numPr>
        <w:tabs>
          <w:tab w:val="clear" w:pos="567"/>
          <w:tab w:val="left" w:pos="0"/>
        </w:tabs>
        <w:spacing w:before="120" w:line="240" w:lineRule="auto"/>
        <w:rPr>
          <w:lang w:val="pl-PL"/>
        </w:rPr>
      </w:pPr>
      <w:r w:rsidRPr="00F50D4C">
        <w:rPr>
          <w:lang w:val="pl-PL"/>
        </w:rPr>
        <w:t>dla każdego typu kabla, obliczenie parametrów funkcji liniowej pokazującej zależność cen</w:t>
      </w:r>
      <w:r w:rsidR="003A19B2" w:rsidRPr="00F50D4C">
        <w:rPr>
          <w:lang w:val="pl-PL"/>
        </w:rPr>
        <w:t>y</w:t>
      </w:r>
      <w:r w:rsidRPr="00F50D4C">
        <w:rPr>
          <w:lang w:val="pl-PL"/>
        </w:rPr>
        <w:t xml:space="preserve"> kabla od ceny miedzi surowej; kalkulacja dokonywana jest z zastosowaniem metody najmniejszych kwadratów i daje postać funkcji wyrażonej wzorem:</w:t>
      </w:r>
    </w:p>
    <w:p w:rsidR="008C225D" w:rsidRPr="00F50D4C" w:rsidRDefault="008C225D" w:rsidP="00EB6C89">
      <w:pPr>
        <w:tabs>
          <w:tab w:val="clear" w:pos="567"/>
          <w:tab w:val="left" w:pos="0"/>
        </w:tabs>
        <w:spacing w:before="120" w:line="240" w:lineRule="auto"/>
        <w:rPr>
          <w:lang w:val="pl-PL"/>
        </w:rPr>
      </w:pPr>
      <w:r w:rsidRPr="00F50D4C">
        <w:rPr>
          <w:lang w:val="pl-PL"/>
        </w:rPr>
        <w:tab/>
        <w:t>cena kabla [EUR/km] = cena miedzi [EUR/t] * a + b</w:t>
      </w:r>
      <w:r w:rsidR="0064262D" w:rsidRPr="00F50D4C">
        <w:rPr>
          <w:lang w:val="pl-PL"/>
        </w:rPr>
        <w:t>, gdzie:</w:t>
      </w:r>
    </w:p>
    <w:p w:rsidR="003A19B2" w:rsidRPr="00F50D4C" w:rsidRDefault="003A19B2" w:rsidP="00EB6C89">
      <w:pPr>
        <w:tabs>
          <w:tab w:val="clear" w:pos="567"/>
          <w:tab w:val="left" w:pos="0"/>
        </w:tabs>
        <w:spacing w:before="120" w:line="240" w:lineRule="auto"/>
        <w:rPr>
          <w:lang w:val="pl-PL"/>
        </w:rPr>
      </w:pPr>
      <w:r w:rsidRPr="00F50D4C">
        <w:rPr>
          <w:lang w:val="pl-PL"/>
        </w:rPr>
        <w:tab/>
        <w:t>a – parametr określający nachylenie wykresu funkcji liniowej</w:t>
      </w:r>
    </w:p>
    <w:p w:rsidR="003A19B2" w:rsidRPr="00F50D4C" w:rsidRDefault="003A19B2" w:rsidP="00EB6C89">
      <w:pPr>
        <w:tabs>
          <w:tab w:val="clear" w:pos="567"/>
          <w:tab w:val="left" w:pos="0"/>
        </w:tabs>
        <w:spacing w:before="120" w:line="240" w:lineRule="auto"/>
        <w:rPr>
          <w:lang w:val="pl-PL"/>
        </w:rPr>
      </w:pPr>
      <w:r w:rsidRPr="00F50D4C">
        <w:rPr>
          <w:lang w:val="pl-PL"/>
        </w:rPr>
        <w:tab/>
        <w:t>b – parametr określający przesunięcie wykresu funkcji liniowej</w:t>
      </w:r>
    </w:p>
    <w:p w:rsidR="00EF3BA4" w:rsidRPr="00F50D4C" w:rsidRDefault="0060608A" w:rsidP="00EB6C89">
      <w:pPr>
        <w:numPr>
          <w:ilvl w:val="0"/>
          <w:numId w:val="49"/>
        </w:numPr>
        <w:tabs>
          <w:tab w:val="clear" w:pos="567"/>
          <w:tab w:val="left" w:pos="0"/>
        </w:tabs>
        <w:spacing w:before="120" w:line="240" w:lineRule="auto"/>
        <w:rPr>
          <w:lang w:val="pl-PL"/>
        </w:rPr>
      </w:pPr>
      <w:r w:rsidRPr="00F50D4C">
        <w:rPr>
          <w:lang w:val="pl-PL"/>
        </w:rPr>
        <w:t>dla każdego typu kabla, obliczenie jego 10-letniej średniej ceny, przez podstawienie 10-letniej średniej ceny miedzi surowej do wzoru funkcji opisującej zmienność ceny danego typu kabla.</w:t>
      </w:r>
    </w:p>
    <w:sectPr w:rsidR="00EF3BA4" w:rsidRPr="00F50D4C" w:rsidSect="00B92BFC">
      <w:headerReference w:type="default" r:id="rId72"/>
      <w:footerReference w:type="default" r:id="rId73"/>
      <w:headerReference w:type="first" r:id="rId74"/>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24ED" w:rsidRDefault="009E24ED">
      <w:r>
        <w:separator/>
      </w:r>
    </w:p>
  </w:endnote>
  <w:endnote w:type="continuationSeparator" w:id="0">
    <w:p w:rsidR="009E24ED" w:rsidRDefault="009E24E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Verdana">
    <w:panose1 w:val="020B0604030504040204"/>
    <w:charset w:val="EE"/>
    <w:family w:val="swiss"/>
    <w:pitch w:val="variable"/>
    <w:sig w:usb0="20000287" w:usb1="00000000" w:usb2="00000000" w:usb3="00000000" w:csb0="0000019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TT E 2 EC 7 E 68t 00">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EE"/>
    <w:family w:val="swiss"/>
    <w:pitch w:val="variable"/>
    <w:sig w:usb0="A00002EF" w:usb1="4000207B"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ED" w:rsidRPr="00616025" w:rsidRDefault="009E24ED" w:rsidP="00EE4689">
    <w:pPr>
      <w:pStyle w:val="Stopka"/>
      <w:tabs>
        <w:tab w:val="clear" w:pos="4536"/>
        <w:tab w:val="right" w:pos="9000"/>
      </w:tabs>
      <w:spacing w:line="240" w:lineRule="auto"/>
      <w:ind w:right="-45"/>
      <w:jc w:val="left"/>
    </w:pPr>
    <w:r w:rsidRPr="00616025">
      <w:rPr>
        <w:snapToGrid w:val="0"/>
      </w:rPr>
      <w:tab/>
    </w:r>
    <w:r w:rsidR="00977728" w:rsidRPr="00616025">
      <w:rPr>
        <w:snapToGrid w:val="0"/>
      </w:rPr>
      <w:fldChar w:fldCharType="begin"/>
    </w:r>
    <w:r w:rsidRPr="00616025">
      <w:rPr>
        <w:snapToGrid w:val="0"/>
      </w:rPr>
      <w:instrText xml:space="preserve"> PAGE </w:instrText>
    </w:r>
    <w:r w:rsidR="00977728" w:rsidRPr="00616025">
      <w:rPr>
        <w:snapToGrid w:val="0"/>
      </w:rPr>
      <w:fldChar w:fldCharType="separate"/>
    </w:r>
    <w:r w:rsidR="005E2C8D">
      <w:rPr>
        <w:noProof/>
        <w:snapToGrid w:val="0"/>
      </w:rPr>
      <w:t>1</w:t>
    </w:r>
    <w:r w:rsidR="00977728" w:rsidRPr="00616025">
      <w:rPr>
        <w:snapToGrid w:val="0"/>
      </w:rPr>
      <w:fldChar w:fldCharType="end"/>
    </w:r>
    <w:r w:rsidRPr="00616025">
      <w:rPr>
        <w:snapToGrid w:val="0"/>
      </w:rPr>
      <w:t xml:space="preserve"> </w:t>
    </w:r>
    <w:r>
      <w:rPr>
        <w:snapToGrid w:val="0"/>
      </w:rPr>
      <w:t>/</w:t>
    </w:r>
    <w:r w:rsidRPr="00616025">
      <w:rPr>
        <w:snapToGrid w:val="0"/>
      </w:rPr>
      <w:t xml:space="preserve"> </w:t>
    </w:r>
    <w:r w:rsidR="00977728" w:rsidRPr="00616025">
      <w:rPr>
        <w:rStyle w:val="Numerstrony"/>
      </w:rPr>
      <w:fldChar w:fldCharType="begin"/>
    </w:r>
    <w:r w:rsidRPr="00616025">
      <w:rPr>
        <w:rStyle w:val="Numerstrony"/>
      </w:rPr>
      <w:instrText xml:space="preserve"> NUMPAGES </w:instrText>
    </w:r>
    <w:r w:rsidR="00977728" w:rsidRPr="00616025">
      <w:rPr>
        <w:rStyle w:val="Numerstrony"/>
      </w:rPr>
      <w:fldChar w:fldCharType="separate"/>
    </w:r>
    <w:r w:rsidR="005E2C8D">
      <w:rPr>
        <w:rStyle w:val="Numerstrony"/>
        <w:noProof/>
      </w:rPr>
      <w:t>71</w:t>
    </w:r>
    <w:r w:rsidR="00977728" w:rsidRPr="00616025">
      <w:rPr>
        <w:rStyle w:val="Numerstrony"/>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24ED" w:rsidRDefault="009E24ED">
      <w:r>
        <w:separator/>
      </w:r>
    </w:p>
  </w:footnote>
  <w:footnote w:type="continuationSeparator" w:id="0">
    <w:p w:rsidR="009E24ED" w:rsidRDefault="009E24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ED" w:rsidRPr="006F6B9A" w:rsidRDefault="009E24ED">
    <w:pPr>
      <w:pStyle w:val="Nagwek"/>
      <w:tabs>
        <w:tab w:val="clear" w:pos="567"/>
        <w:tab w:val="clear" w:pos="4536"/>
        <w:tab w:val="left" w:pos="6237"/>
      </w:tabs>
      <w:rPr>
        <w:b/>
        <w:i/>
        <w:lang w:val="pl-PL"/>
      </w:rPr>
    </w:pPr>
    <w:r>
      <w:rPr>
        <w:b/>
        <w:i/>
        <w:sz w:val="24"/>
        <w:szCs w:val="24"/>
        <w:lang w:val="pl-PL"/>
      </w:rPr>
      <w:tab/>
    </w:r>
    <w:r>
      <w:rPr>
        <w:b/>
        <w:i/>
        <w:sz w:val="24"/>
        <w:szCs w:val="24"/>
        <w:lang w:val="pl-PL"/>
      </w:rPr>
      <w:tab/>
    </w:r>
    <w:r w:rsidRPr="006F6B9A">
      <w:rPr>
        <w:b/>
        <w:i/>
        <w:sz w:val="24"/>
        <w:szCs w:val="24"/>
        <w:lang w:val="pl-PL"/>
      </w:rPr>
      <w:t>Wersja jawna</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ED" w:rsidRDefault="009E24ED">
    <w:pPr>
      <w:pStyle w:val="Nagwek"/>
    </w:pPr>
    <w:r>
      <w:rPr>
        <w:b/>
        <w:i/>
        <w:sz w:val="24"/>
        <w:szCs w:val="24"/>
        <w:lang w:val="pl-PL"/>
      </w:rPr>
      <w:tab/>
    </w:r>
    <w:r>
      <w:rPr>
        <w:b/>
        <w:i/>
        <w:sz w:val="24"/>
        <w:szCs w:val="24"/>
        <w:lang w:val="pl-PL"/>
      </w:rPr>
      <w:tab/>
    </w:r>
    <w:r>
      <w:rPr>
        <w:b/>
        <w:i/>
        <w:sz w:val="24"/>
        <w:szCs w:val="24"/>
        <w:lang w:val="pl-PL"/>
      </w:rPr>
      <w:tab/>
    </w:r>
    <w:r w:rsidRPr="006F6B9A">
      <w:rPr>
        <w:b/>
        <w:i/>
        <w:sz w:val="24"/>
        <w:szCs w:val="24"/>
        <w:lang w:val="pl-PL"/>
      </w:rPr>
      <w:t>Wersja jawna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7AA2D32"/>
    <w:lvl w:ilvl="0">
      <w:start w:val="1"/>
      <w:numFmt w:val="decimal"/>
      <w:pStyle w:val="Zalacznik"/>
      <w:lvlText w:val="%1."/>
      <w:lvlJc w:val="left"/>
      <w:pPr>
        <w:tabs>
          <w:tab w:val="num" w:pos="1492"/>
        </w:tabs>
        <w:ind w:left="1492" w:hanging="360"/>
      </w:pPr>
    </w:lvl>
  </w:abstractNum>
  <w:abstractNum w:abstractNumId="1">
    <w:nsid w:val="FFFFFF7D"/>
    <w:multiLevelType w:val="singleLevel"/>
    <w:tmpl w:val="3ECEE892"/>
    <w:lvl w:ilvl="0">
      <w:start w:val="1"/>
      <w:numFmt w:val="decimal"/>
      <w:pStyle w:val="Listanumerowana3"/>
      <w:lvlText w:val="%1."/>
      <w:lvlJc w:val="left"/>
      <w:pPr>
        <w:tabs>
          <w:tab w:val="num" w:pos="1209"/>
        </w:tabs>
        <w:ind w:left="1209" w:hanging="360"/>
      </w:pPr>
    </w:lvl>
  </w:abstractNum>
  <w:abstractNum w:abstractNumId="2">
    <w:nsid w:val="FFFFFF7E"/>
    <w:multiLevelType w:val="singleLevel"/>
    <w:tmpl w:val="C6E866A6"/>
    <w:lvl w:ilvl="0">
      <w:start w:val="1"/>
      <w:numFmt w:val="decimal"/>
      <w:pStyle w:val="TABELAK"/>
      <w:lvlText w:val="%1."/>
      <w:lvlJc w:val="left"/>
      <w:pPr>
        <w:tabs>
          <w:tab w:val="num" w:pos="926"/>
        </w:tabs>
        <w:ind w:left="926" w:hanging="360"/>
      </w:pPr>
    </w:lvl>
  </w:abstractNum>
  <w:abstractNum w:abstractNumId="3">
    <w:nsid w:val="FFFFFF7F"/>
    <w:multiLevelType w:val="singleLevel"/>
    <w:tmpl w:val="5412B414"/>
    <w:lvl w:ilvl="0">
      <w:start w:val="1"/>
      <w:numFmt w:val="decimal"/>
      <w:pStyle w:val="AAFrameAddress"/>
      <w:lvlText w:val="%1."/>
      <w:lvlJc w:val="left"/>
      <w:pPr>
        <w:tabs>
          <w:tab w:val="num" w:pos="643"/>
        </w:tabs>
        <w:ind w:left="643" w:hanging="360"/>
      </w:pPr>
    </w:lvl>
  </w:abstractNum>
  <w:abstractNum w:abstractNumId="4">
    <w:nsid w:val="FFFFFF80"/>
    <w:multiLevelType w:val="singleLevel"/>
    <w:tmpl w:val="B20E4398"/>
    <w:lvl w:ilvl="0">
      <w:start w:val="1"/>
      <w:numFmt w:val="bullet"/>
      <w:pStyle w:val="Listanumerowana2"/>
      <w:lvlText w:val=""/>
      <w:lvlJc w:val="left"/>
      <w:pPr>
        <w:tabs>
          <w:tab w:val="num" w:pos="1492"/>
        </w:tabs>
        <w:ind w:left="1492" w:hanging="360"/>
      </w:pPr>
      <w:rPr>
        <w:rFonts w:ascii="Symbol" w:hAnsi="Symbol" w:cs="Symbol" w:hint="default"/>
      </w:rPr>
    </w:lvl>
  </w:abstractNum>
  <w:abstractNum w:abstractNumId="5">
    <w:nsid w:val="FFFFFF81"/>
    <w:multiLevelType w:val="singleLevel"/>
    <w:tmpl w:val="6CD8F9FE"/>
    <w:lvl w:ilvl="0">
      <w:start w:val="1"/>
      <w:numFmt w:val="bullet"/>
      <w:pStyle w:val="AANumbering"/>
      <w:lvlText w:val=""/>
      <w:lvlJc w:val="left"/>
      <w:pPr>
        <w:tabs>
          <w:tab w:val="num" w:pos="1209"/>
        </w:tabs>
        <w:ind w:left="1209" w:hanging="360"/>
      </w:pPr>
      <w:rPr>
        <w:rFonts w:ascii="Symbol" w:hAnsi="Symbol" w:cs="Symbol" w:hint="default"/>
      </w:rPr>
    </w:lvl>
  </w:abstractNum>
  <w:abstractNum w:abstractNumId="6">
    <w:nsid w:val="FFFFFF82"/>
    <w:multiLevelType w:val="singleLevel"/>
    <w:tmpl w:val="A54CD91C"/>
    <w:lvl w:ilvl="0">
      <w:start w:val="1"/>
      <w:numFmt w:val="bullet"/>
      <w:pStyle w:val="Tekstpodstawowy3"/>
      <w:lvlText w:val=""/>
      <w:lvlJc w:val="left"/>
      <w:pPr>
        <w:tabs>
          <w:tab w:val="num" w:pos="926"/>
        </w:tabs>
        <w:ind w:left="926" w:hanging="360"/>
      </w:pPr>
      <w:rPr>
        <w:rFonts w:ascii="Symbol" w:hAnsi="Symbol" w:cs="Symbol" w:hint="default"/>
      </w:rPr>
    </w:lvl>
  </w:abstractNum>
  <w:abstractNum w:abstractNumId="7">
    <w:nsid w:val="FFFFFF88"/>
    <w:multiLevelType w:val="singleLevel"/>
    <w:tmpl w:val="9B98A79E"/>
    <w:lvl w:ilvl="0">
      <w:start w:val="1"/>
      <w:numFmt w:val="decimal"/>
      <w:pStyle w:val="podrozdzia"/>
      <w:lvlText w:val="%1."/>
      <w:lvlJc w:val="left"/>
      <w:pPr>
        <w:tabs>
          <w:tab w:val="num" w:pos="360"/>
        </w:tabs>
        <w:ind w:left="360" w:hanging="360"/>
      </w:pPr>
    </w:lvl>
  </w:abstractNum>
  <w:abstractNum w:abstractNumId="8">
    <w:nsid w:val="FFFFFF89"/>
    <w:multiLevelType w:val="singleLevel"/>
    <w:tmpl w:val="EEF49D26"/>
    <w:lvl w:ilvl="0">
      <w:start w:val="1"/>
      <w:numFmt w:val="bullet"/>
      <w:pStyle w:val="Listanumerowana4"/>
      <w:lvlText w:val=""/>
      <w:lvlJc w:val="left"/>
      <w:pPr>
        <w:tabs>
          <w:tab w:val="num" w:pos="360"/>
        </w:tabs>
        <w:ind w:left="360" w:hanging="360"/>
      </w:pPr>
      <w:rPr>
        <w:rFonts w:ascii="Symbol" w:hAnsi="Symbol" w:cs="Symbol" w:hint="default"/>
      </w:rPr>
    </w:lvl>
  </w:abstractNum>
  <w:abstractNum w:abstractNumId="9">
    <w:nsid w:val="007F4602"/>
    <w:multiLevelType w:val="hybridMultilevel"/>
    <w:tmpl w:val="F84E70AA"/>
    <w:lvl w:ilvl="0" w:tplc="3EA49078">
      <w:start w:val="1"/>
      <w:numFmt w:val="bullet"/>
      <w:lvlText w:val="-"/>
      <w:lvlJc w:val="left"/>
      <w:pPr>
        <w:tabs>
          <w:tab w:val="num" w:pos="340"/>
        </w:tabs>
        <w:ind w:left="340" w:hanging="340"/>
      </w:pPr>
      <w:rPr>
        <w:rFonts w:ascii="Verdana" w:hAnsi="Verdana"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nsid w:val="00D230A0"/>
    <w:multiLevelType w:val="hybridMultilevel"/>
    <w:tmpl w:val="6A360C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01A25A2E"/>
    <w:multiLevelType w:val="hybridMultilevel"/>
    <w:tmpl w:val="AB7AF340"/>
    <w:lvl w:ilvl="0" w:tplc="3EA49078">
      <w:start w:val="1"/>
      <w:numFmt w:val="bullet"/>
      <w:lvlText w:val="-"/>
      <w:lvlJc w:val="left"/>
      <w:pPr>
        <w:tabs>
          <w:tab w:val="num" w:pos="1600"/>
        </w:tabs>
        <w:ind w:left="1600" w:hanging="340"/>
      </w:pPr>
      <w:rPr>
        <w:rFonts w:ascii="Verdana" w:hAnsi="Verdana" w:hint="default"/>
        <w:sz w:val="20"/>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2">
    <w:nsid w:val="08BC3754"/>
    <w:multiLevelType w:val="multilevel"/>
    <w:tmpl w:val="7BC23ABE"/>
    <w:lvl w:ilvl="0">
      <w:start w:val="2"/>
      <w:numFmt w:val="decimal"/>
      <w:lvlText w:val="%1"/>
      <w:lvlJc w:val="left"/>
      <w:pPr>
        <w:ind w:left="405" w:hanging="40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nsid w:val="0986169C"/>
    <w:multiLevelType w:val="hybridMultilevel"/>
    <w:tmpl w:val="03A2990A"/>
    <w:lvl w:ilvl="0" w:tplc="FFFFFFFF">
      <w:start w:val="1"/>
      <w:numFmt w:val="bullet"/>
      <w:lvlText w:val=""/>
      <w:lvlJc w:val="left"/>
      <w:pPr>
        <w:tabs>
          <w:tab w:val="num" w:pos="1080"/>
        </w:tabs>
        <w:ind w:left="1080" w:hanging="360"/>
      </w:pPr>
      <w:rPr>
        <w:rFonts w:ascii="Symbol" w:hAnsi="Symbol" w:cs="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14">
    <w:nsid w:val="098724BC"/>
    <w:multiLevelType w:val="hybridMultilevel"/>
    <w:tmpl w:val="06648BAA"/>
    <w:lvl w:ilvl="0" w:tplc="04150001">
      <w:start w:val="1"/>
      <w:numFmt w:val="bullet"/>
      <w:lvlText w:val=""/>
      <w:lvlJc w:val="left"/>
      <w:pPr>
        <w:tabs>
          <w:tab w:val="num" w:pos="1713"/>
        </w:tabs>
        <w:ind w:left="1713" w:hanging="360"/>
      </w:pPr>
      <w:rPr>
        <w:rFonts w:ascii="Symbol" w:hAnsi="Symbol" w:hint="default"/>
      </w:rPr>
    </w:lvl>
    <w:lvl w:ilvl="1" w:tplc="04150003" w:tentative="1">
      <w:start w:val="1"/>
      <w:numFmt w:val="bullet"/>
      <w:lvlText w:val="o"/>
      <w:lvlJc w:val="left"/>
      <w:pPr>
        <w:tabs>
          <w:tab w:val="num" w:pos="2433"/>
        </w:tabs>
        <w:ind w:left="2433" w:hanging="360"/>
      </w:pPr>
      <w:rPr>
        <w:rFonts w:ascii="Courier New" w:hAnsi="Courier New" w:cs="Courier New" w:hint="default"/>
      </w:rPr>
    </w:lvl>
    <w:lvl w:ilvl="2" w:tplc="04150005" w:tentative="1">
      <w:start w:val="1"/>
      <w:numFmt w:val="bullet"/>
      <w:lvlText w:val=""/>
      <w:lvlJc w:val="left"/>
      <w:pPr>
        <w:tabs>
          <w:tab w:val="num" w:pos="3153"/>
        </w:tabs>
        <w:ind w:left="3153" w:hanging="360"/>
      </w:pPr>
      <w:rPr>
        <w:rFonts w:ascii="Wingdings" w:hAnsi="Wingdings" w:hint="default"/>
      </w:rPr>
    </w:lvl>
    <w:lvl w:ilvl="3" w:tplc="04150001" w:tentative="1">
      <w:start w:val="1"/>
      <w:numFmt w:val="bullet"/>
      <w:lvlText w:val=""/>
      <w:lvlJc w:val="left"/>
      <w:pPr>
        <w:tabs>
          <w:tab w:val="num" w:pos="3873"/>
        </w:tabs>
        <w:ind w:left="3873" w:hanging="360"/>
      </w:pPr>
      <w:rPr>
        <w:rFonts w:ascii="Symbol" w:hAnsi="Symbol" w:hint="default"/>
      </w:rPr>
    </w:lvl>
    <w:lvl w:ilvl="4" w:tplc="04150003" w:tentative="1">
      <w:start w:val="1"/>
      <w:numFmt w:val="bullet"/>
      <w:lvlText w:val="o"/>
      <w:lvlJc w:val="left"/>
      <w:pPr>
        <w:tabs>
          <w:tab w:val="num" w:pos="4593"/>
        </w:tabs>
        <w:ind w:left="4593" w:hanging="360"/>
      </w:pPr>
      <w:rPr>
        <w:rFonts w:ascii="Courier New" w:hAnsi="Courier New" w:cs="Courier New" w:hint="default"/>
      </w:rPr>
    </w:lvl>
    <w:lvl w:ilvl="5" w:tplc="04150005" w:tentative="1">
      <w:start w:val="1"/>
      <w:numFmt w:val="bullet"/>
      <w:lvlText w:val=""/>
      <w:lvlJc w:val="left"/>
      <w:pPr>
        <w:tabs>
          <w:tab w:val="num" w:pos="5313"/>
        </w:tabs>
        <w:ind w:left="5313" w:hanging="360"/>
      </w:pPr>
      <w:rPr>
        <w:rFonts w:ascii="Wingdings" w:hAnsi="Wingdings" w:hint="default"/>
      </w:rPr>
    </w:lvl>
    <w:lvl w:ilvl="6" w:tplc="04150001" w:tentative="1">
      <w:start w:val="1"/>
      <w:numFmt w:val="bullet"/>
      <w:lvlText w:val=""/>
      <w:lvlJc w:val="left"/>
      <w:pPr>
        <w:tabs>
          <w:tab w:val="num" w:pos="6033"/>
        </w:tabs>
        <w:ind w:left="6033" w:hanging="360"/>
      </w:pPr>
      <w:rPr>
        <w:rFonts w:ascii="Symbol" w:hAnsi="Symbol" w:hint="default"/>
      </w:rPr>
    </w:lvl>
    <w:lvl w:ilvl="7" w:tplc="04150003" w:tentative="1">
      <w:start w:val="1"/>
      <w:numFmt w:val="bullet"/>
      <w:lvlText w:val="o"/>
      <w:lvlJc w:val="left"/>
      <w:pPr>
        <w:tabs>
          <w:tab w:val="num" w:pos="6753"/>
        </w:tabs>
        <w:ind w:left="6753" w:hanging="360"/>
      </w:pPr>
      <w:rPr>
        <w:rFonts w:ascii="Courier New" w:hAnsi="Courier New" w:cs="Courier New" w:hint="default"/>
      </w:rPr>
    </w:lvl>
    <w:lvl w:ilvl="8" w:tplc="04150005" w:tentative="1">
      <w:start w:val="1"/>
      <w:numFmt w:val="bullet"/>
      <w:lvlText w:val=""/>
      <w:lvlJc w:val="left"/>
      <w:pPr>
        <w:tabs>
          <w:tab w:val="num" w:pos="7473"/>
        </w:tabs>
        <w:ind w:left="7473" w:hanging="360"/>
      </w:pPr>
      <w:rPr>
        <w:rFonts w:ascii="Wingdings" w:hAnsi="Wingdings" w:hint="default"/>
      </w:rPr>
    </w:lvl>
  </w:abstractNum>
  <w:abstractNum w:abstractNumId="15">
    <w:nsid w:val="0B7716CF"/>
    <w:multiLevelType w:val="multilevel"/>
    <w:tmpl w:val="C8AAAD2E"/>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1134"/>
        </w:tabs>
        <w:ind w:left="1134" w:hanging="23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Restart w:val="0"/>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nsid w:val="0D3135FC"/>
    <w:multiLevelType w:val="multilevel"/>
    <w:tmpl w:val="EBB64D90"/>
    <w:numStyleLink w:val="StylPunktowane2"/>
  </w:abstractNum>
  <w:abstractNum w:abstractNumId="17">
    <w:nsid w:val="15C54FF7"/>
    <w:multiLevelType w:val="hybridMultilevel"/>
    <w:tmpl w:val="18BA1270"/>
    <w:lvl w:ilvl="0" w:tplc="04150001">
      <w:start w:val="1"/>
      <w:numFmt w:val="bullet"/>
      <w:lvlText w:val=""/>
      <w:lvlJc w:val="left"/>
      <w:pPr>
        <w:tabs>
          <w:tab w:val="num" w:pos="1080"/>
        </w:tabs>
        <w:ind w:left="1080" w:hanging="360"/>
      </w:pPr>
      <w:rPr>
        <w:rFonts w:ascii="Symbol" w:hAnsi="Symbol"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18">
    <w:nsid w:val="1AD17316"/>
    <w:multiLevelType w:val="hybridMultilevel"/>
    <w:tmpl w:val="EC46D4D2"/>
    <w:lvl w:ilvl="0" w:tplc="2EDE82F2">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9">
    <w:nsid w:val="1CF51F9E"/>
    <w:multiLevelType w:val="hybridMultilevel"/>
    <w:tmpl w:val="E9EA49CE"/>
    <w:lvl w:ilvl="0" w:tplc="0415000F">
      <w:start w:val="1"/>
      <w:numFmt w:val="decimal"/>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20">
    <w:nsid w:val="1DCE14AE"/>
    <w:multiLevelType w:val="multilevel"/>
    <w:tmpl w:val="EF1E058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201B752C"/>
    <w:multiLevelType w:val="hybridMultilevel"/>
    <w:tmpl w:val="DE005D52"/>
    <w:lvl w:ilvl="0" w:tplc="2ACC4A54">
      <w:start w:val="1"/>
      <w:numFmt w:val="bullet"/>
      <w:lvlText w:val=""/>
      <w:lvlJc w:val="left"/>
      <w:pPr>
        <w:tabs>
          <w:tab w:val="num" w:pos="360"/>
        </w:tabs>
        <w:ind w:left="36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nsid w:val="29F97599"/>
    <w:multiLevelType w:val="hybridMultilevel"/>
    <w:tmpl w:val="5B7869F8"/>
    <w:lvl w:ilvl="0" w:tplc="F340A710">
      <w:start w:val="1"/>
      <w:numFmt w:val="bullet"/>
      <w:lvlText w:val="–"/>
      <w:lvlJc w:val="left"/>
      <w:pPr>
        <w:tabs>
          <w:tab w:val="num" w:pos="1620"/>
        </w:tabs>
        <w:ind w:left="1620" w:hanging="360"/>
      </w:pPr>
      <w:rPr>
        <w:rFonts w:ascii="Times New Roman" w:hAnsi="Times New Roman" w:cs="Times New Roman" w:hint="default"/>
      </w:rPr>
    </w:lvl>
    <w:lvl w:ilvl="1" w:tplc="04150003" w:tentative="1">
      <w:start w:val="1"/>
      <w:numFmt w:val="bullet"/>
      <w:lvlText w:val="o"/>
      <w:lvlJc w:val="left"/>
      <w:pPr>
        <w:tabs>
          <w:tab w:val="num" w:pos="2340"/>
        </w:tabs>
        <w:ind w:left="2340" w:hanging="360"/>
      </w:pPr>
      <w:rPr>
        <w:rFonts w:ascii="Courier New" w:hAnsi="Courier New" w:cs="Courier New" w:hint="default"/>
      </w:rPr>
    </w:lvl>
    <w:lvl w:ilvl="2" w:tplc="04150005" w:tentative="1">
      <w:start w:val="1"/>
      <w:numFmt w:val="bullet"/>
      <w:lvlText w:val=""/>
      <w:lvlJc w:val="left"/>
      <w:pPr>
        <w:tabs>
          <w:tab w:val="num" w:pos="3060"/>
        </w:tabs>
        <w:ind w:left="3060" w:hanging="360"/>
      </w:pPr>
      <w:rPr>
        <w:rFonts w:ascii="Wingdings" w:hAnsi="Wingdings" w:hint="default"/>
      </w:rPr>
    </w:lvl>
    <w:lvl w:ilvl="3" w:tplc="04150001" w:tentative="1">
      <w:start w:val="1"/>
      <w:numFmt w:val="bullet"/>
      <w:lvlText w:val=""/>
      <w:lvlJc w:val="left"/>
      <w:pPr>
        <w:tabs>
          <w:tab w:val="num" w:pos="3780"/>
        </w:tabs>
        <w:ind w:left="3780" w:hanging="360"/>
      </w:pPr>
      <w:rPr>
        <w:rFonts w:ascii="Symbol" w:hAnsi="Symbol" w:hint="default"/>
      </w:rPr>
    </w:lvl>
    <w:lvl w:ilvl="4" w:tplc="04150003" w:tentative="1">
      <w:start w:val="1"/>
      <w:numFmt w:val="bullet"/>
      <w:lvlText w:val="o"/>
      <w:lvlJc w:val="left"/>
      <w:pPr>
        <w:tabs>
          <w:tab w:val="num" w:pos="4500"/>
        </w:tabs>
        <w:ind w:left="4500" w:hanging="360"/>
      </w:pPr>
      <w:rPr>
        <w:rFonts w:ascii="Courier New" w:hAnsi="Courier New" w:cs="Courier New" w:hint="default"/>
      </w:rPr>
    </w:lvl>
    <w:lvl w:ilvl="5" w:tplc="04150005" w:tentative="1">
      <w:start w:val="1"/>
      <w:numFmt w:val="bullet"/>
      <w:lvlText w:val=""/>
      <w:lvlJc w:val="left"/>
      <w:pPr>
        <w:tabs>
          <w:tab w:val="num" w:pos="5220"/>
        </w:tabs>
        <w:ind w:left="5220" w:hanging="360"/>
      </w:pPr>
      <w:rPr>
        <w:rFonts w:ascii="Wingdings" w:hAnsi="Wingdings" w:hint="default"/>
      </w:rPr>
    </w:lvl>
    <w:lvl w:ilvl="6" w:tplc="04150001" w:tentative="1">
      <w:start w:val="1"/>
      <w:numFmt w:val="bullet"/>
      <w:lvlText w:val=""/>
      <w:lvlJc w:val="left"/>
      <w:pPr>
        <w:tabs>
          <w:tab w:val="num" w:pos="5940"/>
        </w:tabs>
        <w:ind w:left="5940" w:hanging="360"/>
      </w:pPr>
      <w:rPr>
        <w:rFonts w:ascii="Symbol" w:hAnsi="Symbol" w:hint="default"/>
      </w:rPr>
    </w:lvl>
    <w:lvl w:ilvl="7" w:tplc="04150003" w:tentative="1">
      <w:start w:val="1"/>
      <w:numFmt w:val="bullet"/>
      <w:lvlText w:val="o"/>
      <w:lvlJc w:val="left"/>
      <w:pPr>
        <w:tabs>
          <w:tab w:val="num" w:pos="6660"/>
        </w:tabs>
        <w:ind w:left="6660" w:hanging="360"/>
      </w:pPr>
      <w:rPr>
        <w:rFonts w:ascii="Courier New" w:hAnsi="Courier New" w:cs="Courier New" w:hint="default"/>
      </w:rPr>
    </w:lvl>
    <w:lvl w:ilvl="8" w:tplc="04150005" w:tentative="1">
      <w:start w:val="1"/>
      <w:numFmt w:val="bullet"/>
      <w:lvlText w:val=""/>
      <w:lvlJc w:val="left"/>
      <w:pPr>
        <w:tabs>
          <w:tab w:val="num" w:pos="7380"/>
        </w:tabs>
        <w:ind w:left="7380" w:hanging="360"/>
      </w:pPr>
      <w:rPr>
        <w:rFonts w:ascii="Wingdings" w:hAnsi="Wingdings" w:hint="default"/>
      </w:rPr>
    </w:lvl>
  </w:abstractNum>
  <w:abstractNum w:abstractNumId="23">
    <w:nsid w:val="2DB9498F"/>
    <w:multiLevelType w:val="hybridMultilevel"/>
    <w:tmpl w:val="FCC8304A"/>
    <w:lvl w:ilvl="0" w:tplc="44E67D58">
      <w:start w:val="1"/>
      <w:numFmt w:val="decimal"/>
      <w:lvlText w:val="%1."/>
      <w:lvlJc w:val="left"/>
      <w:pPr>
        <w:tabs>
          <w:tab w:val="num" w:pos="567"/>
        </w:tabs>
        <w:ind w:left="567" w:hanging="56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nsid w:val="300A33A6"/>
    <w:multiLevelType w:val="hybridMultilevel"/>
    <w:tmpl w:val="33D04210"/>
    <w:lvl w:ilvl="0" w:tplc="FFFFFFFF">
      <w:start w:val="1"/>
      <w:numFmt w:val="bullet"/>
      <w:lvlText w:val=""/>
      <w:lvlJc w:val="left"/>
      <w:pPr>
        <w:tabs>
          <w:tab w:val="num" w:pos="1437"/>
        </w:tabs>
        <w:ind w:left="1437" w:hanging="360"/>
      </w:pPr>
      <w:rPr>
        <w:rFonts w:ascii="Symbol" w:hAnsi="Symbol" w:cs="Symbol" w:hint="default"/>
      </w:rPr>
    </w:lvl>
    <w:lvl w:ilvl="1" w:tplc="FFFFFFFF">
      <w:start w:val="1"/>
      <w:numFmt w:val="bullet"/>
      <w:lvlText w:val="o"/>
      <w:lvlJc w:val="left"/>
      <w:pPr>
        <w:tabs>
          <w:tab w:val="num" w:pos="2157"/>
        </w:tabs>
        <w:ind w:left="2157" w:hanging="360"/>
      </w:pPr>
      <w:rPr>
        <w:rFonts w:ascii="Courier New" w:hAnsi="Courier New" w:cs="Courier New" w:hint="default"/>
      </w:rPr>
    </w:lvl>
    <w:lvl w:ilvl="2" w:tplc="FFFFFFFF">
      <w:start w:val="1"/>
      <w:numFmt w:val="bullet"/>
      <w:lvlText w:val=""/>
      <w:lvlJc w:val="left"/>
      <w:pPr>
        <w:tabs>
          <w:tab w:val="num" w:pos="2877"/>
        </w:tabs>
        <w:ind w:left="2877" w:hanging="360"/>
      </w:pPr>
      <w:rPr>
        <w:rFonts w:ascii="Wingdings" w:hAnsi="Wingdings" w:cs="Wingdings" w:hint="default"/>
      </w:rPr>
    </w:lvl>
    <w:lvl w:ilvl="3" w:tplc="FFFFFFFF">
      <w:start w:val="1"/>
      <w:numFmt w:val="bullet"/>
      <w:lvlText w:val=""/>
      <w:lvlJc w:val="left"/>
      <w:pPr>
        <w:tabs>
          <w:tab w:val="num" w:pos="3597"/>
        </w:tabs>
        <w:ind w:left="3597" w:hanging="360"/>
      </w:pPr>
      <w:rPr>
        <w:rFonts w:ascii="Symbol" w:hAnsi="Symbol" w:cs="Symbol" w:hint="default"/>
      </w:rPr>
    </w:lvl>
    <w:lvl w:ilvl="4" w:tplc="FFFFFFFF">
      <w:start w:val="1"/>
      <w:numFmt w:val="bullet"/>
      <w:lvlText w:val="o"/>
      <w:lvlJc w:val="left"/>
      <w:pPr>
        <w:tabs>
          <w:tab w:val="num" w:pos="4317"/>
        </w:tabs>
        <w:ind w:left="4317" w:hanging="360"/>
      </w:pPr>
      <w:rPr>
        <w:rFonts w:ascii="Courier New" w:hAnsi="Courier New" w:cs="Courier New" w:hint="default"/>
      </w:rPr>
    </w:lvl>
    <w:lvl w:ilvl="5" w:tplc="FFFFFFFF">
      <w:start w:val="1"/>
      <w:numFmt w:val="bullet"/>
      <w:lvlText w:val=""/>
      <w:lvlJc w:val="left"/>
      <w:pPr>
        <w:tabs>
          <w:tab w:val="num" w:pos="5037"/>
        </w:tabs>
        <w:ind w:left="5037" w:hanging="360"/>
      </w:pPr>
      <w:rPr>
        <w:rFonts w:ascii="Wingdings" w:hAnsi="Wingdings" w:cs="Wingdings" w:hint="default"/>
      </w:rPr>
    </w:lvl>
    <w:lvl w:ilvl="6" w:tplc="FFFFFFFF">
      <w:start w:val="1"/>
      <w:numFmt w:val="bullet"/>
      <w:lvlText w:val=""/>
      <w:lvlJc w:val="left"/>
      <w:pPr>
        <w:tabs>
          <w:tab w:val="num" w:pos="5757"/>
        </w:tabs>
        <w:ind w:left="5757" w:hanging="360"/>
      </w:pPr>
      <w:rPr>
        <w:rFonts w:ascii="Symbol" w:hAnsi="Symbol" w:cs="Symbol" w:hint="default"/>
      </w:rPr>
    </w:lvl>
    <w:lvl w:ilvl="7" w:tplc="FFFFFFFF">
      <w:start w:val="1"/>
      <w:numFmt w:val="bullet"/>
      <w:lvlText w:val="o"/>
      <w:lvlJc w:val="left"/>
      <w:pPr>
        <w:tabs>
          <w:tab w:val="num" w:pos="6477"/>
        </w:tabs>
        <w:ind w:left="6477" w:hanging="360"/>
      </w:pPr>
      <w:rPr>
        <w:rFonts w:ascii="Courier New" w:hAnsi="Courier New" w:cs="Courier New" w:hint="default"/>
      </w:rPr>
    </w:lvl>
    <w:lvl w:ilvl="8" w:tplc="FFFFFFFF">
      <w:start w:val="1"/>
      <w:numFmt w:val="bullet"/>
      <w:lvlText w:val=""/>
      <w:lvlJc w:val="left"/>
      <w:pPr>
        <w:tabs>
          <w:tab w:val="num" w:pos="7197"/>
        </w:tabs>
        <w:ind w:left="7197" w:hanging="360"/>
      </w:pPr>
      <w:rPr>
        <w:rFonts w:ascii="Wingdings" w:hAnsi="Wingdings" w:cs="Wingdings" w:hint="default"/>
      </w:rPr>
    </w:lvl>
  </w:abstractNum>
  <w:abstractNum w:abstractNumId="25">
    <w:nsid w:val="325473D2"/>
    <w:multiLevelType w:val="hybridMultilevel"/>
    <w:tmpl w:val="805227DE"/>
    <w:lvl w:ilvl="0" w:tplc="F340A710">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36286A8E"/>
    <w:multiLevelType w:val="hybridMultilevel"/>
    <w:tmpl w:val="AB8EFCC6"/>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7">
    <w:nsid w:val="36923F27"/>
    <w:multiLevelType w:val="multilevel"/>
    <w:tmpl w:val="32FA18BA"/>
    <w:lvl w:ilvl="0">
      <w:start w:val="4"/>
      <w:numFmt w:val="decimal"/>
      <w:pStyle w:val="Styl2"/>
      <w:lvlText w:val="%1"/>
      <w:lvlJc w:val="left"/>
      <w:pPr>
        <w:tabs>
          <w:tab w:val="num" w:pos="574"/>
        </w:tabs>
        <w:ind w:left="574" w:hanging="432"/>
      </w:pPr>
      <w:rPr>
        <w:rFonts w:ascii="Arial" w:hAnsi="Arial" w:hint="default"/>
        <w:b w:val="0"/>
        <w:i w:val="0"/>
        <w:sz w:val="28"/>
        <w:szCs w:val="28"/>
      </w:rPr>
    </w:lvl>
    <w:lvl w:ilvl="1">
      <w:start w:val="1"/>
      <w:numFmt w:val="decimal"/>
      <w:lvlText w:val="%1.%2"/>
      <w:lvlJc w:val="left"/>
      <w:pPr>
        <w:tabs>
          <w:tab w:val="num" w:pos="576"/>
        </w:tabs>
        <w:ind w:left="576" w:hanging="576"/>
      </w:pPr>
      <w:rPr>
        <w:rFonts w:ascii="Arial" w:hAnsi="Arial" w:hint="default"/>
        <w:b w:val="0"/>
        <w:i w:val="0"/>
        <w:sz w:val="28"/>
        <w:szCs w:val="28"/>
      </w:rPr>
    </w:lvl>
    <w:lvl w:ilvl="2">
      <w:start w:val="1"/>
      <w:numFmt w:val="decimal"/>
      <w:lvlText w:val="%1.%2.%3"/>
      <w:lvlJc w:val="left"/>
      <w:pPr>
        <w:tabs>
          <w:tab w:val="num" w:pos="794"/>
        </w:tabs>
        <w:ind w:left="720" w:hanging="720"/>
      </w:pPr>
      <w:rPr>
        <w:rFonts w:hint="default"/>
      </w:rPr>
    </w:lvl>
    <w:lvl w:ilvl="3">
      <w:start w:val="1"/>
      <w:numFmt w:val="decimal"/>
      <w:pStyle w:val="Nagwek4"/>
      <w:lvlText w:val="%1.%2.%3.%4"/>
      <w:lvlJc w:val="left"/>
      <w:pPr>
        <w:tabs>
          <w:tab w:val="num" w:pos="1764"/>
        </w:tabs>
        <w:ind w:left="1764" w:hanging="864"/>
      </w:pPr>
      <w:rPr>
        <w:rFonts w:ascii="Arial" w:hAnsi="Arial" w:hint="default"/>
        <w:b/>
        <w:i w:val="0"/>
        <w:sz w:val="24"/>
        <w:szCs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38666B2E"/>
    <w:multiLevelType w:val="hybridMultilevel"/>
    <w:tmpl w:val="44BA149C"/>
    <w:lvl w:ilvl="0" w:tplc="35960E00">
      <w:start w:val="1"/>
      <w:numFmt w:val="bullet"/>
      <w:lvlText w:val="-"/>
      <w:lvlJc w:val="left"/>
      <w:pPr>
        <w:tabs>
          <w:tab w:val="num" w:pos="1068"/>
        </w:tabs>
        <w:ind w:left="1068" w:hanging="360"/>
      </w:pPr>
      <w:rPr>
        <w:rFonts w:ascii="Arial" w:hAnsi="Arial" w:hint="default"/>
      </w:rPr>
    </w:lvl>
    <w:lvl w:ilvl="1" w:tplc="91529D06" w:tentative="1">
      <w:start w:val="1"/>
      <w:numFmt w:val="bullet"/>
      <w:lvlText w:val="o"/>
      <w:lvlJc w:val="left"/>
      <w:pPr>
        <w:tabs>
          <w:tab w:val="num" w:pos="1788"/>
        </w:tabs>
        <w:ind w:left="1788" w:hanging="360"/>
      </w:pPr>
      <w:rPr>
        <w:rFonts w:ascii="Courier New" w:hAnsi="Courier New" w:cs="Courier New" w:hint="default"/>
      </w:rPr>
    </w:lvl>
    <w:lvl w:ilvl="2" w:tplc="73ACEAFC" w:tentative="1">
      <w:start w:val="1"/>
      <w:numFmt w:val="bullet"/>
      <w:lvlText w:val=""/>
      <w:lvlJc w:val="left"/>
      <w:pPr>
        <w:tabs>
          <w:tab w:val="num" w:pos="2508"/>
        </w:tabs>
        <w:ind w:left="2508" w:hanging="360"/>
      </w:pPr>
      <w:rPr>
        <w:rFonts w:ascii="Wingdings" w:hAnsi="Wingdings" w:hint="default"/>
      </w:rPr>
    </w:lvl>
    <w:lvl w:ilvl="3" w:tplc="4F3AF368" w:tentative="1">
      <w:start w:val="1"/>
      <w:numFmt w:val="bullet"/>
      <w:lvlText w:val=""/>
      <w:lvlJc w:val="left"/>
      <w:pPr>
        <w:tabs>
          <w:tab w:val="num" w:pos="3228"/>
        </w:tabs>
        <w:ind w:left="3228" w:hanging="360"/>
      </w:pPr>
      <w:rPr>
        <w:rFonts w:ascii="Symbol" w:hAnsi="Symbol" w:hint="default"/>
      </w:rPr>
    </w:lvl>
    <w:lvl w:ilvl="4" w:tplc="9210DA54" w:tentative="1">
      <w:start w:val="1"/>
      <w:numFmt w:val="bullet"/>
      <w:lvlText w:val="o"/>
      <w:lvlJc w:val="left"/>
      <w:pPr>
        <w:tabs>
          <w:tab w:val="num" w:pos="3948"/>
        </w:tabs>
        <w:ind w:left="3948" w:hanging="360"/>
      </w:pPr>
      <w:rPr>
        <w:rFonts w:ascii="Courier New" w:hAnsi="Courier New" w:cs="Courier New" w:hint="default"/>
      </w:rPr>
    </w:lvl>
    <w:lvl w:ilvl="5" w:tplc="8B14EDF0" w:tentative="1">
      <w:start w:val="1"/>
      <w:numFmt w:val="bullet"/>
      <w:lvlText w:val=""/>
      <w:lvlJc w:val="left"/>
      <w:pPr>
        <w:tabs>
          <w:tab w:val="num" w:pos="4668"/>
        </w:tabs>
        <w:ind w:left="4668" w:hanging="360"/>
      </w:pPr>
      <w:rPr>
        <w:rFonts w:ascii="Wingdings" w:hAnsi="Wingdings" w:hint="default"/>
      </w:rPr>
    </w:lvl>
    <w:lvl w:ilvl="6" w:tplc="A7FCF5A0" w:tentative="1">
      <w:start w:val="1"/>
      <w:numFmt w:val="bullet"/>
      <w:lvlText w:val=""/>
      <w:lvlJc w:val="left"/>
      <w:pPr>
        <w:tabs>
          <w:tab w:val="num" w:pos="5388"/>
        </w:tabs>
        <w:ind w:left="5388" w:hanging="360"/>
      </w:pPr>
      <w:rPr>
        <w:rFonts w:ascii="Symbol" w:hAnsi="Symbol" w:hint="default"/>
      </w:rPr>
    </w:lvl>
    <w:lvl w:ilvl="7" w:tplc="986E519C" w:tentative="1">
      <w:start w:val="1"/>
      <w:numFmt w:val="bullet"/>
      <w:lvlText w:val="o"/>
      <w:lvlJc w:val="left"/>
      <w:pPr>
        <w:tabs>
          <w:tab w:val="num" w:pos="6108"/>
        </w:tabs>
        <w:ind w:left="6108" w:hanging="360"/>
      </w:pPr>
      <w:rPr>
        <w:rFonts w:ascii="Courier New" w:hAnsi="Courier New" w:cs="Courier New" w:hint="default"/>
      </w:rPr>
    </w:lvl>
    <w:lvl w:ilvl="8" w:tplc="2AF8E666" w:tentative="1">
      <w:start w:val="1"/>
      <w:numFmt w:val="bullet"/>
      <w:lvlText w:val=""/>
      <w:lvlJc w:val="left"/>
      <w:pPr>
        <w:tabs>
          <w:tab w:val="num" w:pos="6828"/>
        </w:tabs>
        <w:ind w:left="6828" w:hanging="360"/>
      </w:pPr>
      <w:rPr>
        <w:rFonts w:ascii="Wingdings" w:hAnsi="Wingdings" w:hint="default"/>
      </w:rPr>
    </w:lvl>
  </w:abstractNum>
  <w:abstractNum w:abstractNumId="29">
    <w:nsid w:val="39744C0B"/>
    <w:multiLevelType w:val="hybridMultilevel"/>
    <w:tmpl w:val="067409FC"/>
    <w:lvl w:ilvl="0" w:tplc="DE782DFC">
      <w:start w:val="1"/>
      <w:numFmt w:val="bullet"/>
      <w:lvlText w:val=""/>
      <w:lvlJc w:val="left"/>
      <w:pPr>
        <w:tabs>
          <w:tab w:val="num" w:pos="1713"/>
        </w:tabs>
        <w:ind w:left="1713" w:hanging="360"/>
      </w:pPr>
      <w:rPr>
        <w:rFonts w:ascii="Symbol" w:hAnsi="Symbol" w:hint="default"/>
      </w:rPr>
    </w:lvl>
    <w:lvl w:ilvl="1" w:tplc="04150003" w:tentative="1">
      <w:start w:val="1"/>
      <w:numFmt w:val="bullet"/>
      <w:lvlText w:val="o"/>
      <w:lvlJc w:val="left"/>
      <w:pPr>
        <w:tabs>
          <w:tab w:val="num" w:pos="2433"/>
        </w:tabs>
        <w:ind w:left="2433" w:hanging="360"/>
      </w:pPr>
      <w:rPr>
        <w:rFonts w:ascii="Courier New" w:hAnsi="Courier New" w:cs="Courier New" w:hint="default"/>
      </w:rPr>
    </w:lvl>
    <w:lvl w:ilvl="2" w:tplc="04150005" w:tentative="1">
      <w:start w:val="1"/>
      <w:numFmt w:val="bullet"/>
      <w:lvlText w:val=""/>
      <w:lvlJc w:val="left"/>
      <w:pPr>
        <w:tabs>
          <w:tab w:val="num" w:pos="3153"/>
        </w:tabs>
        <w:ind w:left="3153" w:hanging="360"/>
      </w:pPr>
      <w:rPr>
        <w:rFonts w:ascii="Wingdings" w:hAnsi="Wingdings" w:hint="default"/>
      </w:rPr>
    </w:lvl>
    <w:lvl w:ilvl="3" w:tplc="04150001" w:tentative="1">
      <w:start w:val="1"/>
      <w:numFmt w:val="bullet"/>
      <w:lvlText w:val=""/>
      <w:lvlJc w:val="left"/>
      <w:pPr>
        <w:tabs>
          <w:tab w:val="num" w:pos="3873"/>
        </w:tabs>
        <w:ind w:left="3873" w:hanging="360"/>
      </w:pPr>
      <w:rPr>
        <w:rFonts w:ascii="Symbol" w:hAnsi="Symbol" w:hint="default"/>
      </w:rPr>
    </w:lvl>
    <w:lvl w:ilvl="4" w:tplc="04150003" w:tentative="1">
      <w:start w:val="1"/>
      <w:numFmt w:val="bullet"/>
      <w:lvlText w:val="o"/>
      <w:lvlJc w:val="left"/>
      <w:pPr>
        <w:tabs>
          <w:tab w:val="num" w:pos="4593"/>
        </w:tabs>
        <w:ind w:left="4593" w:hanging="360"/>
      </w:pPr>
      <w:rPr>
        <w:rFonts w:ascii="Courier New" w:hAnsi="Courier New" w:cs="Courier New" w:hint="default"/>
      </w:rPr>
    </w:lvl>
    <w:lvl w:ilvl="5" w:tplc="04150005" w:tentative="1">
      <w:start w:val="1"/>
      <w:numFmt w:val="bullet"/>
      <w:lvlText w:val=""/>
      <w:lvlJc w:val="left"/>
      <w:pPr>
        <w:tabs>
          <w:tab w:val="num" w:pos="5313"/>
        </w:tabs>
        <w:ind w:left="5313" w:hanging="360"/>
      </w:pPr>
      <w:rPr>
        <w:rFonts w:ascii="Wingdings" w:hAnsi="Wingdings" w:hint="default"/>
      </w:rPr>
    </w:lvl>
    <w:lvl w:ilvl="6" w:tplc="04150001" w:tentative="1">
      <w:start w:val="1"/>
      <w:numFmt w:val="bullet"/>
      <w:lvlText w:val=""/>
      <w:lvlJc w:val="left"/>
      <w:pPr>
        <w:tabs>
          <w:tab w:val="num" w:pos="6033"/>
        </w:tabs>
        <w:ind w:left="6033" w:hanging="360"/>
      </w:pPr>
      <w:rPr>
        <w:rFonts w:ascii="Symbol" w:hAnsi="Symbol" w:hint="default"/>
      </w:rPr>
    </w:lvl>
    <w:lvl w:ilvl="7" w:tplc="04150003" w:tentative="1">
      <w:start w:val="1"/>
      <w:numFmt w:val="bullet"/>
      <w:lvlText w:val="o"/>
      <w:lvlJc w:val="left"/>
      <w:pPr>
        <w:tabs>
          <w:tab w:val="num" w:pos="6753"/>
        </w:tabs>
        <w:ind w:left="6753" w:hanging="360"/>
      </w:pPr>
      <w:rPr>
        <w:rFonts w:ascii="Courier New" w:hAnsi="Courier New" w:cs="Courier New" w:hint="default"/>
      </w:rPr>
    </w:lvl>
    <w:lvl w:ilvl="8" w:tplc="04150005" w:tentative="1">
      <w:start w:val="1"/>
      <w:numFmt w:val="bullet"/>
      <w:lvlText w:val=""/>
      <w:lvlJc w:val="left"/>
      <w:pPr>
        <w:tabs>
          <w:tab w:val="num" w:pos="7473"/>
        </w:tabs>
        <w:ind w:left="7473" w:hanging="360"/>
      </w:pPr>
      <w:rPr>
        <w:rFonts w:ascii="Wingdings" w:hAnsi="Wingdings" w:hint="default"/>
      </w:rPr>
    </w:lvl>
  </w:abstractNum>
  <w:abstractNum w:abstractNumId="30">
    <w:nsid w:val="39F11F19"/>
    <w:multiLevelType w:val="hybridMultilevel"/>
    <w:tmpl w:val="5A8620B0"/>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
      <w:lvlJc w:val="left"/>
      <w:pPr>
        <w:tabs>
          <w:tab w:val="num" w:pos="1440"/>
        </w:tabs>
        <w:ind w:left="1440" w:hanging="360"/>
      </w:pPr>
      <w:rPr>
        <w:rFonts w:ascii="Symbol" w:hAnsi="Symbol"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1">
    <w:nsid w:val="3A297125"/>
    <w:multiLevelType w:val="singleLevel"/>
    <w:tmpl w:val="D090A1E6"/>
    <w:lvl w:ilvl="0">
      <w:start w:val="1"/>
      <w:numFmt w:val="bullet"/>
      <w:pStyle w:val="Listapunktowana5"/>
      <w:lvlText w:val=""/>
      <w:lvlJc w:val="left"/>
      <w:pPr>
        <w:tabs>
          <w:tab w:val="num" w:pos="283"/>
        </w:tabs>
        <w:ind w:left="283" w:hanging="283"/>
      </w:pPr>
      <w:rPr>
        <w:rFonts w:ascii="Symbol" w:hAnsi="Symbol" w:cs="Symbol" w:hint="default"/>
      </w:rPr>
    </w:lvl>
  </w:abstractNum>
  <w:abstractNum w:abstractNumId="32">
    <w:nsid w:val="3C815AEA"/>
    <w:multiLevelType w:val="multilevel"/>
    <w:tmpl w:val="1FDA4A4E"/>
    <w:lvl w:ilvl="0">
      <w:start w:val="3"/>
      <w:numFmt w:val="decimal"/>
      <w:lvlText w:val="%1"/>
      <w:lvlJc w:val="left"/>
      <w:pPr>
        <w:ind w:left="885" w:hanging="885"/>
      </w:pPr>
      <w:rPr>
        <w:rFonts w:hint="default"/>
      </w:rPr>
    </w:lvl>
    <w:lvl w:ilvl="1">
      <w:start w:val="1"/>
      <w:numFmt w:val="decimal"/>
      <w:lvlText w:val="%1.%2"/>
      <w:lvlJc w:val="left"/>
      <w:pPr>
        <w:ind w:left="885" w:hanging="885"/>
      </w:pPr>
      <w:rPr>
        <w:rFonts w:hint="default"/>
      </w:rPr>
    </w:lvl>
    <w:lvl w:ilvl="2">
      <w:start w:val="11"/>
      <w:numFmt w:val="decimal"/>
      <w:lvlText w:val="%1.%2.%3"/>
      <w:lvlJc w:val="left"/>
      <w:pPr>
        <w:ind w:left="885" w:hanging="88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3">
    <w:nsid w:val="3CDF71EE"/>
    <w:multiLevelType w:val="hybridMultilevel"/>
    <w:tmpl w:val="34D068D4"/>
    <w:lvl w:ilvl="0" w:tplc="7F068D6A">
      <w:start w:val="1"/>
      <w:numFmt w:val="bullet"/>
      <w:lvlText w:val=""/>
      <w:lvlJc w:val="left"/>
      <w:pPr>
        <w:tabs>
          <w:tab w:val="num" w:pos="283"/>
        </w:tabs>
        <w:ind w:left="283" w:hanging="283"/>
      </w:pPr>
      <w:rPr>
        <w:rFonts w:ascii="Symbol" w:hAnsi="Symbol" w:cs="Symbol" w:hint="default"/>
      </w:rPr>
    </w:lvl>
    <w:lvl w:ilvl="1" w:tplc="A1129734">
      <w:start w:val="1"/>
      <w:numFmt w:val="bullet"/>
      <w:lvlText w:val="o"/>
      <w:lvlJc w:val="left"/>
      <w:pPr>
        <w:tabs>
          <w:tab w:val="num" w:pos="1440"/>
        </w:tabs>
        <w:ind w:left="1440" w:hanging="360"/>
      </w:pPr>
      <w:rPr>
        <w:rFonts w:ascii="Courier New" w:hAnsi="Courier New" w:cs="Courier New" w:hint="default"/>
      </w:rPr>
    </w:lvl>
    <w:lvl w:ilvl="2" w:tplc="50F2B1B8">
      <w:start w:val="1"/>
      <w:numFmt w:val="bullet"/>
      <w:lvlText w:val=""/>
      <w:lvlJc w:val="left"/>
      <w:pPr>
        <w:tabs>
          <w:tab w:val="num" w:pos="2160"/>
        </w:tabs>
        <w:ind w:left="2160" w:hanging="360"/>
      </w:pPr>
      <w:rPr>
        <w:rFonts w:ascii="Wingdings" w:hAnsi="Wingdings" w:cs="Wingdings" w:hint="default"/>
      </w:rPr>
    </w:lvl>
    <w:lvl w:ilvl="3" w:tplc="84C851A8">
      <w:start w:val="1"/>
      <w:numFmt w:val="bullet"/>
      <w:lvlText w:val=""/>
      <w:lvlJc w:val="left"/>
      <w:pPr>
        <w:tabs>
          <w:tab w:val="num" w:pos="2880"/>
        </w:tabs>
        <w:ind w:left="2880" w:hanging="360"/>
      </w:pPr>
      <w:rPr>
        <w:rFonts w:ascii="Symbol" w:hAnsi="Symbol" w:cs="Symbol" w:hint="default"/>
      </w:rPr>
    </w:lvl>
    <w:lvl w:ilvl="4" w:tplc="F5821B98">
      <w:start w:val="1"/>
      <w:numFmt w:val="bullet"/>
      <w:lvlText w:val="o"/>
      <w:lvlJc w:val="left"/>
      <w:pPr>
        <w:tabs>
          <w:tab w:val="num" w:pos="3600"/>
        </w:tabs>
        <w:ind w:left="3600" w:hanging="360"/>
      </w:pPr>
      <w:rPr>
        <w:rFonts w:ascii="Courier New" w:hAnsi="Courier New" w:cs="Courier New" w:hint="default"/>
      </w:rPr>
    </w:lvl>
    <w:lvl w:ilvl="5" w:tplc="EF786578">
      <w:start w:val="1"/>
      <w:numFmt w:val="bullet"/>
      <w:lvlText w:val=""/>
      <w:lvlJc w:val="left"/>
      <w:pPr>
        <w:tabs>
          <w:tab w:val="num" w:pos="4320"/>
        </w:tabs>
        <w:ind w:left="4320" w:hanging="360"/>
      </w:pPr>
      <w:rPr>
        <w:rFonts w:ascii="Wingdings" w:hAnsi="Wingdings" w:cs="Wingdings" w:hint="default"/>
      </w:rPr>
    </w:lvl>
    <w:lvl w:ilvl="6" w:tplc="3D728AFC">
      <w:start w:val="1"/>
      <w:numFmt w:val="bullet"/>
      <w:lvlText w:val=""/>
      <w:lvlJc w:val="left"/>
      <w:pPr>
        <w:tabs>
          <w:tab w:val="num" w:pos="5040"/>
        </w:tabs>
        <w:ind w:left="5040" w:hanging="360"/>
      </w:pPr>
      <w:rPr>
        <w:rFonts w:ascii="Symbol" w:hAnsi="Symbol" w:cs="Symbol" w:hint="default"/>
      </w:rPr>
    </w:lvl>
    <w:lvl w:ilvl="7" w:tplc="8A8E01EA">
      <w:start w:val="1"/>
      <w:numFmt w:val="bullet"/>
      <w:lvlText w:val="o"/>
      <w:lvlJc w:val="left"/>
      <w:pPr>
        <w:tabs>
          <w:tab w:val="num" w:pos="5760"/>
        </w:tabs>
        <w:ind w:left="5760" w:hanging="360"/>
      </w:pPr>
      <w:rPr>
        <w:rFonts w:ascii="Courier New" w:hAnsi="Courier New" w:cs="Courier New" w:hint="default"/>
      </w:rPr>
    </w:lvl>
    <w:lvl w:ilvl="8" w:tplc="C49C0980">
      <w:start w:val="1"/>
      <w:numFmt w:val="bullet"/>
      <w:lvlText w:val=""/>
      <w:lvlJc w:val="left"/>
      <w:pPr>
        <w:tabs>
          <w:tab w:val="num" w:pos="6480"/>
        </w:tabs>
        <w:ind w:left="6480" w:hanging="360"/>
      </w:pPr>
      <w:rPr>
        <w:rFonts w:ascii="Wingdings" w:hAnsi="Wingdings" w:cs="Wingdings" w:hint="default"/>
      </w:rPr>
    </w:lvl>
  </w:abstractNum>
  <w:abstractNum w:abstractNumId="34">
    <w:nsid w:val="3DD7315A"/>
    <w:multiLevelType w:val="hybridMultilevel"/>
    <w:tmpl w:val="280CC3C8"/>
    <w:lvl w:ilvl="0" w:tplc="FFFFFFFF">
      <w:start w:val="1"/>
      <w:numFmt w:val="decimal"/>
      <w:pStyle w:val="MIKNagwek21"/>
      <w:lvlText w:val="%1."/>
      <w:lvlJc w:val="left"/>
      <w:pPr>
        <w:tabs>
          <w:tab w:val="num" w:pos="567"/>
        </w:tabs>
        <w:ind w:left="567" w:hanging="567"/>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5">
    <w:nsid w:val="3DE81FA8"/>
    <w:multiLevelType w:val="multilevel"/>
    <w:tmpl w:val="D7FEC874"/>
    <w:lvl w:ilvl="0">
      <w:start w:val="1"/>
      <w:numFmt w:val="decimal"/>
      <w:pStyle w:val="MIKNagwek1"/>
      <w:lvlText w:val="%1."/>
      <w:lvlJc w:val="left"/>
      <w:pPr>
        <w:tabs>
          <w:tab w:val="num" w:pos="1134"/>
        </w:tabs>
        <w:ind w:left="1134" w:hanging="1134"/>
      </w:pPr>
      <w:rPr>
        <w:rFonts w:hint="default"/>
      </w:rPr>
    </w:lvl>
    <w:lvl w:ilvl="1">
      <w:start w:val="1"/>
      <w:numFmt w:val="decimal"/>
      <w:pStyle w:val="MIKNagwek1"/>
      <w:lvlText w:val="%1.%2."/>
      <w:lvlJc w:val="left"/>
      <w:pPr>
        <w:tabs>
          <w:tab w:val="num" w:pos="1134"/>
        </w:tabs>
        <w:ind w:left="1134" w:hanging="1134"/>
      </w:pPr>
      <w:rPr>
        <w:rFonts w:hint="default"/>
      </w:rPr>
    </w:lvl>
    <w:lvl w:ilvl="2">
      <w:start w:val="1"/>
      <w:numFmt w:val="decimal"/>
      <w:pStyle w:val="MIKNagwek2"/>
      <w:lvlText w:val="%1.%2.%3."/>
      <w:lvlJc w:val="left"/>
      <w:pPr>
        <w:tabs>
          <w:tab w:val="num" w:pos="2127"/>
        </w:tabs>
        <w:ind w:left="2127" w:hanging="1134"/>
      </w:pPr>
      <w:rPr>
        <w:rFonts w:hint="default"/>
        <w:lang w:val="pl-PL"/>
      </w:rPr>
    </w:lvl>
    <w:lvl w:ilvl="3">
      <w:start w:val="1"/>
      <w:numFmt w:val="decimal"/>
      <w:lvlText w:val="%1.%2.%3.%4."/>
      <w:lvlJc w:val="left"/>
      <w:pPr>
        <w:tabs>
          <w:tab w:val="num" w:pos="1134"/>
        </w:tabs>
        <w:ind w:left="1134" w:hanging="23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Restart w:val="0"/>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nsid w:val="3E771C57"/>
    <w:multiLevelType w:val="multilevel"/>
    <w:tmpl w:val="EBB64D90"/>
    <w:numStyleLink w:val="StylPunktowane2"/>
  </w:abstractNum>
  <w:abstractNum w:abstractNumId="37">
    <w:nsid w:val="419A6C64"/>
    <w:multiLevelType w:val="hybridMultilevel"/>
    <w:tmpl w:val="F38CFADA"/>
    <w:lvl w:ilvl="0" w:tplc="54BE7186">
      <w:start w:val="1"/>
      <w:numFmt w:val="bullet"/>
      <w:lvlText w:val=""/>
      <w:lvlJc w:val="left"/>
      <w:pPr>
        <w:tabs>
          <w:tab w:val="num" w:pos="720"/>
        </w:tabs>
        <w:ind w:left="720" w:hanging="360"/>
      </w:pPr>
      <w:rPr>
        <w:rFonts w:ascii="Symbol" w:hAnsi="Symbol" w:cs="Symbol" w:hint="default"/>
      </w:rPr>
    </w:lvl>
    <w:lvl w:ilvl="1" w:tplc="B790C690">
      <w:start w:val="1"/>
      <w:numFmt w:val="bullet"/>
      <w:lvlText w:val="o"/>
      <w:lvlJc w:val="left"/>
      <w:pPr>
        <w:tabs>
          <w:tab w:val="num" w:pos="1440"/>
        </w:tabs>
        <w:ind w:left="1440" w:hanging="360"/>
      </w:pPr>
      <w:rPr>
        <w:rFonts w:ascii="Courier New" w:hAnsi="Courier New" w:cs="Courier New" w:hint="default"/>
      </w:rPr>
    </w:lvl>
    <w:lvl w:ilvl="2" w:tplc="2248717A">
      <w:start w:val="1"/>
      <w:numFmt w:val="bullet"/>
      <w:lvlText w:val=""/>
      <w:lvlJc w:val="left"/>
      <w:pPr>
        <w:tabs>
          <w:tab w:val="num" w:pos="2160"/>
        </w:tabs>
        <w:ind w:left="2160" w:hanging="360"/>
      </w:pPr>
      <w:rPr>
        <w:rFonts w:ascii="Wingdings" w:hAnsi="Wingdings" w:cs="Wingdings" w:hint="default"/>
      </w:rPr>
    </w:lvl>
    <w:lvl w:ilvl="3" w:tplc="EB8A9336">
      <w:start w:val="1"/>
      <w:numFmt w:val="bullet"/>
      <w:lvlText w:val=""/>
      <w:lvlJc w:val="left"/>
      <w:pPr>
        <w:tabs>
          <w:tab w:val="num" w:pos="2880"/>
        </w:tabs>
        <w:ind w:left="2880" w:hanging="360"/>
      </w:pPr>
      <w:rPr>
        <w:rFonts w:ascii="Symbol" w:hAnsi="Symbol" w:cs="Symbol" w:hint="default"/>
      </w:rPr>
    </w:lvl>
    <w:lvl w:ilvl="4" w:tplc="EFA897CE">
      <w:start w:val="1"/>
      <w:numFmt w:val="bullet"/>
      <w:lvlText w:val="o"/>
      <w:lvlJc w:val="left"/>
      <w:pPr>
        <w:tabs>
          <w:tab w:val="num" w:pos="3600"/>
        </w:tabs>
        <w:ind w:left="3600" w:hanging="360"/>
      </w:pPr>
      <w:rPr>
        <w:rFonts w:ascii="Courier New" w:hAnsi="Courier New" w:cs="Courier New" w:hint="default"/>
      </w:rPr>
    </w:lvl>
    <w:lvl w:ilvl="5" w:tplc="3D30BF1E">
      <w:start w:val="1"/>
      <w:numFmt w:val="bullet"/>
      <w:lvlText w:val=""/>
      <w:lvlJc w:val="left"/>
      <w:pPr>
        <w:tabs>
          <w:tab w:val="num" w:pos="4320"/>
        </w:tabs>
        <w:ind w:left="4320" w:hanging="360"/>
      </w:pPr>
      <w:rPr>
        <w:rFonts w:ascii="Wingdings" w:hAnsi="Wingdings" w:cs="Wingdings" w:hint="default"/>
      </w:rPr>
    </w:lvl>
    <w:lvl w:ilvl="6" w:tplc="5ED481CE">
      <w:start w:val="1"/>
      <w:numFmt w:val="bullet"/>
      <w:lvlText w:val=""/>
      <w:lvlJc w:val="left"/>
      <w:pPr>
        <w:tabs>
          <w:tab w:val="num" w:pos="5040"/>
        </w:tabs>
        <w:ind w:left="5040" w:hanging="360"/>
      </w:pPr>
      <w:rPr>
        <w:rFonts w:ascii="Symbol" w:hAnsi="Symbol" w:cs="Symbol" w:hint="default"/>
      </w:rPr>
    </w:lvl>
    <w:lvl w:ilvl="7" w:tplc="56C2C414">
      <w:start w:val="1"/>
      <w:numFmt w:val="bullet"/>
      <w:lvlText w:val="o"/>
      <w:lvlJc w:val="left"/>
      <w:pPr>
        <w:tabs>
          <w:tab w:val="num" w:pos="5760"/>
        </w:tabs>
        <w:ind w:left="5760" w:hanging="360"/>
      </w:pPr>
      <w:rPr>
        <w:rFonts w:ascii="Courier New" w:hAnsi="Courier New" w:cs="Courier New" w:hint="default"/>
      </w:rPr>
    </w:lvl>
    <w:lvl w:ilvl="8" w:tplc="F05CAF52">
      <w:start w:val="1"/>
      <w:numFmt w:val="bullet"/>
      <w:lvlText w:val=""/>
      <w:lvlJc w:val="left"/>
      <w:pPr>
        <w:tabs>
          <w:tab w:val="num" w:pos="6480"/>
        </w:tabs>
        <w:ind w:left="6480" w:hanging="360"/>
      </w:pPr>
      <w:rPr>
        <w:rFonts w:ascii="Wingdings" w:hAnsi="Wingdings" w:cs="Wingdings" w:hint="default"/>
      </w:rPr>
    </w:lvl>
  </w:abstractNum>
  <w:abstractNum w:abstractNumId="38">
    <w:nsid w:val="461F6372"/>
    <w:multiLevelType w:val="hybridMultilevel"/>
    <w:tmpl w:val="4CDAA494"/>
    <w:lvl w:ilvl="0" w:tplc="FFFFFFFF">
      <w:start w:val="1"/>
      <w:numFmt w:val="bullet"/>
      <w:pStyle w:val="Styl1"/>
      <w:lvlText w:val=""/>
      <w:lvlJc w:val="left"/>
      <w:pPr>
        <w:tabs>
          <w:tab w:val="num" w:pos="1080"/>
        </w:tabs>
        <w:ind w:left="1080" w:hanging="360"/>
      </w:pPr>
      <w:rPr>
        <w:rFonts w:ascii="Symbol" w:hAnsi="Symbol" w:cs="Symbol" w:hint="default"/>
      </w:rPr>
    </w:lvl>
    <w:lvl w:ilvl="1" w:tplc="FFFFFFFF">
      <w:start w:val="3"/>
      <w:numFmt w:val="decimal"/>
      <w:lvlText w:val="%2."/>
      <w:lvlJc w:val="left"/>
      <w:pPr>
        <w:tabs>
          <w:tab w:val="num" w:pos="680"/>
        </w:tabs>
        <w:ind w:left="680" w:hanging="340"/>
      </w:pPr>
      <w:rPr>
        <w:rFonts w:hint="default"/>
      </w:rPr>
    </w:lvl>
    <w:lvl w:ilvl="2" w:tplc="FFFFFFFF">
      <w:start w:val="1"/>
      <w:numFmt w:val="decimal"/>
      <w:lvlText w:val="%3."/>
      <w:lvlJc w:val="left"/>
      <w:pPr>
        <w:tabs>
          <w:tab w:val="num" w:pos="2500"/>
        </w:tabs>
        <w:ind w:left="2500" w:hanging="340"/>
      </w:pPr>
      <w:rPr>
        <w:rFonts w:hint="default"/>
        <w:sz w:val="26"/>
        <w:szCs w:val="26"/>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39">
    <w:nsid w:val="467701F0"/>
    <w:multiLevelType w:val="multilevel"/>
    <w:tmpl w:val="001C6FA2"/>
    <w:lvl w:ilvl="0">
      <w:start w:val="1"/>
      <w:numFmt w:val="bullet"/>
      <w:lvlText w:val=""/>
      <w:lvlJc w:val="left"/>
      <w:pPr>
        <w:tabs>
          <w:tab w:val="num" w:pos="1320"/>
        </w:tabs>
        <w:ind w:left="1320" w:hanging="360"/>
      </w:pPr>
      <w:rPr>
        <w:rFonts w:ascii="Symbol" w:hAnsi="Symbol" w:hint="default"/>
        <w:sz w:val="22"/>
      </w:rPr>
    </w:lvl>
    <w:lvl w:ilvl="1">
      <w:start w:val="1"/>
      <w:numFmt w:val="bullet"/>
      <w:lvlText w:val="o"/>
      <w:lvlJc w:val="left"/>
      <w:pPr>
        <w:tabs>
          <w:tab w:val="num" w:pos="2040"/>
        </w:tabs>
        <w:ind w:left="2040" w:hanging="360"/>
      </w:pPr>
      <w:rPr>
        <w:rFonts w:ascii="Courier New" w:hAnsi="Courier New" w:cs="Courier New" w:hint="default"/>
      </w:rPr>
    </w:lvl>
    <w:lvl w:ilvl="2">
      <w:start w:val="1"/>
      <w:numFmt w:val="bullet"/>
      <w:lvlText w:val=""/>
      <w:lvlJc w:val="left"/>
      <w:pPr>
        <w:tabs>
          <w:tab w:val="num" w:pos="2760"/>
        </w:tabs>
        <w:ind w:left="2760" w:hanging="360"/>
      </w:pPr>
      <w:rPr>
        <w:rFonts w:ascii="Wingdings" w:hAnsi="Wingdings" w:hint="default"/>
      </w:rPr>
    </w:lvl>
    <w:lvl w:ilvl="3">
      <w:start w:val="1"/>
      <w:numFmt w:val="bullet"/>
      <w:lvlText w:val=""/>
      <w:lvlJc w:val="left"/>
      <w:pPr>
        <w:tabs>
          <w:tab w:val="num" w:pos="3480"/>
        </w:tabs>
        <w:ind w:left="3480" w:hanging="360"/>
      </w:pPr>
      <w:rPr>
        <w:rFonts w:ascii="Symbol" w:hAnsi="Symbol" w:hint="default"/>
      </w:rPr>
    </w:lvl>
    <w:lvl w:ilvl="4">
      <w:start w:val="1"/>
      <w:numFmt w:val="bullet"/>
      <w:lvlText w:val="o"/>
      <w:lvlJc w:val="left"/>
      <w:pPr>
        <w:tabs>
          <w:tab w:val="num" w:pos="4200"/>
        </w:tabs>
        <w:ind w:left="4200" w:hanging="360"/>
      </w:pPr>
      <w:rPr>
        <w:rFonts w:ascii="Courier New" w:hAnsi="Courier New" w:cs="Courier New" w:hint="default"/>
      </w:rPr>
    </w:lvl>
    <w:lvl w:ilvl="5">
      <w:start w:val="1"/>
      <w:numFmt w:val="bullet"/>
      <w:lvlText w:val=""/>
      <w:lvlJc w:val="left"/>
      <w:pPr>
        <w:tabs>
          <w:tab w:val="num" w:pos="4920"/>
        </w:tabs>
        <w:ind w:left="4920" w:hanging="360"/>
      </w:pPr>
      <w:rPr>
        <w:rFonts w:ascii="Wingdings" w:hAnsi="Wingdings" w:hint="default"/>
      </w:rPr>
    </w:lvl>
    <w:lvl w:ilvl="6">
      <w:start w:val="1"/>
      <w:numFmt w:val="bullet"/>
      <w:lvlText w:val=""/>
      <w:lvlJc w:val="left"/>
      <w:pPr>
        <w:tabs>
          <w:tab w:val="num" w:pos="5640"/>
        </w:tabs>
        <w:ind w:left="5640" w:hanging="360"/>
      </w:pPr>
      <w:rPr>
        <w:rFonts w:ascii="Symbol" w:hAnsi="Symbol" w:hint="default"/>
      </w:rPr>
    </w:lvl>
    <w:lvl w:ilvl="7">
      <w:start w:val="1"/>
      <w:numFmt w:val="bullet"/>
      <w:lvlText w:val="o"/>
      <w:lvlJc w:val="left"/>
      <w:pPr>
        <w:tabs>
          <w:tab w:val="num" w:pos="6360"/>
        </w:tabs>
        <w:ind w:left="6360" w:hanging="360"/>
      </w:pPr>
      <w:rPr>
        <w:rFonts w:ascii="Courier New" w:hAnsi="Courier New" w:cs="Courier New" w:hint="default"/>
      </w:rPr>
    </w:lvl>
    <w:lvl w:ilvl="8">
      <w:start w:val="1"/>
      <w:numFmt w:val="bullet"/>
      <w:lvlText w:val=""/>
      <w:lvlJc w:val="left"/>
      <w:pPr>
        <w:tabs>
          <w:tab w:val="num" w:pos="7080"/>
        </w:tabs>
        <w:ind w:left="7080" w:hanging="360"/>
      </w:pPr>
      <w:rPr>
        <w:rFonts w:ascii="Wingdings" w:hAnsi="Wingdings" w:hint="default"/>
      </w:rPr>
    </w:lvl>
  </w:abstractNum>
  <w:abstractNum w:abstractNumId="40">
    <w:nsid w:val="46AC6A76"/>
    <w:multiLevelType w:val="hybridMultilevel"/>
    <w:tmpl w:val="1C681BEE"/>
    <w:lvl w:ilvl="0" w:tplc="4D2E3B42">
      <w:start w:val="1"/>
      <w:numFmt w:val="decimal"/>
      <w:lvlText w:val="%1."/>
      <w:lvlJc w:val="left"/>
      <w:pPr>
        <w:tabs>
          <w:tab w:val="num" w:pos="1068"/>
        </w:tabs>
        <w:ind w:left="1068" w:hanging="360"/>
      </w:pPr>
      <w:rPr>
        <w:rFonts w:hint="default"/>
        <w:b w:val="0"/>
        <w:i w:val="0"/>
      </w:rPr>
    </w:lvl>
    <w:lvl w:ilvl="1" w:tplc="847CF586" w:tentative="1">
      <w:start w:val="1"/>
      <w:numFmt w:val="lowerLetter"/>
      <w:lvlText w:val="%2."/>
      <w:lvlJc w:val="left"/>
      <w:pPr>
        <w:tabs>
          <w:tab w:val="num" w:pos="1440"/>
        </w:tabs>
        <w:ind w:left="1440" w:hanging="360"/>
      </w:pPr>
    </w:lvl>
    <w:lvl w:ilvl="2" w:tplc="E86CF708"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41">
    <w:nsid w:val="470E2E77"/>
    <w:multiLevelType w:val="multilevel"/>
    <w:tmpl w:val="84B6B12A"/>
    <w:lvl w:ilvl="0">
      <w:start w:val="1"/>
      <w:numFmt w:val="decimal"/>
      <w:pStyle w:val="Plandokumentu"/>
      <w:lvlText w:val="TABELA %1"/>
      <w:lvlJc w:val="left"/>
      <w:pPr>
        <w:tabs>
          <w:tab w:val="num" w:pos="1970"/>
        </w:tabs>
        <w:ind w:firstLine="17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2">
    <w:nsid w:val="4A47508B"/>
    <w:multiLevelType w:val="multilevel"/>
    <w:tmpl w:val="C200EC4A"/>
    <w:lvl w:ilvl="0">
      <w:start w:val="1"/>
      <w:numFmt w:val="none"/>
      <w:lvlText w:val=""/>
      <w:lvlJc w:val="left"/>
      <w:pPr>
        <w:tabs>
          <w:tab w:val="num" w:pos="574"/>
        </w:tabs>
        <w:ind w:left="574"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94"/>
        </w:tabs>
        <w:ind w:left="720" w:hanging="720"/>
      </w:pPr>
      <w:rPr>
        <w:rFonts w:hint="default"/>
      </w:rPr>
    </w:lvl>
    <w:lvl w:ilvl="3">
      <w:start w:val="1"/>
      <w:numFmt w:val="decimal"/>
      <w:pStyle w:val="Nagwek3"/>
      <w:lvlText w:val="%1%2.%3.%4."/>
      <w:lvlJc w:val="left"/>
      <w:pPr>
        <w:tabs>
          <w:tab w:val="num" w:pos="1764"/>
        </w:tabs>
        <w:ind w:left="17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4F524732"/>
    <w:multiLevelType w:val="multilevel"/>
    <w:tmpl w:val="130AE47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4">
    <w:nsid w:val="565F3FEF"/>
    <w:multiLevelType w:val="hybridMultilevel"/>
    <w:tmpl w:val="05E683EA"/>
    <w:lvl w:ilvl="0" w:tplc="3418F8EC">
      <w:numFmt w:val="bullet"/>
      <w:lvlText w:val="-"/>
      <w:lvlJc w:val="left"/>
      <w:pPr>
        <w:tabs>
          <w:tab w:val="num" w:pos="1065"/>
        </w:tabs>
        <w:ind w:left="1065" w:hanging="360"/>
      </w:pPr>
      <w:rPr>
        <w:rFonts w:ascii="Times New Roman" w:eastAsia="Times New Roman" w:hAnsi="Times New Roman" w:hint="default"/>
      </w:rPr>
    </w:lvl>
    <w:lvl w:ilvl="1" w:tplc="2E70D424">
      <w:start w:val="1"/>
      <w:numFmt w:val="bullet"/>
      <w:lvlText w:val="o"/>
      <w:lvlJc w:val="left"/>
      <w:pPr>
        <w:tabs>
          <w:tab w:val="num" w:pos="1440"/>
        </w:tabs>
        <w:ind w:left="1440" w:hanging="360"/>
      </w:pPr>
      <w:rPr>
        <w:rFonts w:ascii="Courier New" w:hAnsi="Courier New" w:cs="Courier New" w:hint="default"/>
      </w:rPr>
    </w:lvl>
    <w:lvl w:ilvl="2" w:tplc="2124E66E">
      <w:start w:val="1"/>
      <w:numFmt w:val="bullet"/>
      <w:lvlText w:val=""/>
      <w:lvlJc w:val="left"/>
      <w:pPr>
        <w:tabs>
          <w:tab w:val="num" w:pos="2160"/>
        </w:tabs>
        <w:ind w:left="2160" w:hanging="360"/>
      </w:pPr>
      <w:rPr>
        <w:rFonts w:ascii="Wingdings" w:hAnsi="Wingdings" w:cs="Wingdings" w:hint="default"/>
      </w:rPr>
    </w:lvl>
    <w:lvl w:ilvl="3" w:tplc="A3709A26">
      <w:start w:val="1"/>
      <w:numFmt w:val="bullet"/>
      <w:lvlText w:val=""/>
      <w:lvlJc w:val="left"/>
      <w:pPr>
        <w:tabs>
          <w:tab w:val="num" w:pos="2880"/>
        </w:tabs>
        <w:ind w:left="2880" w:hanging="360"/>
      </w:pPr>
      <w:rPr>
        <w:rFonts w:ascii="Symbol" w:hAnsi="Symbol" w:cs="Symbol" w:hint="default"/>
      </w:rPr>
    </w:lvl>
    <w:lvl w:ilvl="4" w:tplc="18D65144">
      <w:start w:val="1"/>
      <w:numFmt w:val="bullet"/>
      <w:lvlText w:val="o"/>
      <w:lvlJc w:val="left"/>
      <w:pPr>
        <w:tabs>
          <w:tab w:val="num" w:pos="3600"/>
        </w:tabs>
        <w:ind w:left="3600" w:hanging="360"/>
      </w:pPr>
      <w:rPr>
        <w:rFonts w:ascii="Courier New" w:hAnsi="Courier New" w:cs="Courier New" w:hint="default"/>
      </w:rPr>
    </w:lvl>
    <w:lvl w:ilvl="5" w:tplc="FB3A6E9C">
      <w:start w:val="1"/>
      <w:numFmt w:val="bullet"/>
      <w:lvlText w:val=""/>
      <w:lvlJc w:val="left"/>
      <w:pPr>
        <w:tabs>
          <w:tab w:val="num" w:pos="4320"/>
        </w:tabs>
        <w:ind w:left="4320" w:hanging="360"/>
      </w:pPr>
      <w:rPr>
        <w:rFonts w:ascii="Wingdings" w:hAnsi="Wingdings" w:cs="Wingdings" w:hint="default"/>
      </w:rPr>
    </w:lvl>
    <w:lvl w:ilvl="6" w:tplc="BCCC4EF6">
      <w:start w:val="1"/>
      <w:numFmt w:val="bullet"/>
      <w:lvlText w:val=""/>
      <w:lvlJc w:val="left"/>
      <w:pPr>
        <w:tabs>
          <w:tab w:val="num" w:pos="5040"/>
        </w:tabs>
        <w:ind w:left="5040" w:hanging="360"/>
      </w:pPr>
      <w:rPr>
        <w:rFonts w:ascii="Symbol" w:hAnsi="Symbol" w:cs="Symbol" w:hint="default"/>
      </w:rPr>
    </w:lvl>
    <w:lvl w:ilvl="7" w:tplc="97587862">
      <w:start w:val="1"/>
      <w:numFmt w:val="bullet"/>
      <w:lvlText w:val="o"/>
      <w:lvlJc w:val="left"/>
      <w:pPr>
        <w:tabs>
          <w:tab w:val="num" w:pos="5760"/>
        </w:tabs>
        <w:ind w:left="5760" w:hanging="360"/>
      </w:pPr>
      <w:rPr>
        <w:rFonts w:ascii="Courier New" w:hAnsi="Courier New" w:cs="Courier New" w:hint="default"/>
      </w:rPr>
    </w:lvl>
    <w:lvl w:ilvl="8" w:tplc="D018B240">
      <w:start w:val="1"/>
      <w:numFmt w:val="bullet"/>
      <w:lvlText w:val=""/>
      <w:lvlJc w:val="left"/>
      <w:pPr>
        <w:tabs>
          <w:tab w:val="num" w:pos="6480"/>
        </w:tabs>
        <w:ind w:left="6480" w:hanging="360"/>
      </w:pPr>
      <w:rPr>
        <w:rFonts w:ascii="Wingdings" w:hAnsi="Wingdings" w:cs="Wingdings" w:hint="default"/>
      </w:rPr>
    </w:lvl>
  </w:abstractNum>
  <w:abstractNum w:abstractNumId="45">
    <w:nsid w:val="57511349"/>
    <w:multiLevelType w:val="hybridMultilevel"/>
    <w:tmpl w:val="9BFA47FA"/>
    <w:lvl w:ilvl="0" w:tplc="D2662EEE">
      <w:start w:val="1"/>
      <w:numFmt w:val="bullet"/>
      <w:lvlText w:val="–"/>
      <w:lvlJc w:val="left"/>
      <w:pPr>
        <w:tabs>
          <w:tab w:val="num" w:pos="720"/>
        </w:tabs>
        <w:ind w:left="720" w:hanging="360"/>
      </w:pPr>
      <w:rPr>
        <w:rFonts w:ascii="Times New Roman" w:hAnsi="Times New Roman" w:cs="Times New Roman" w:hint="default"/>
      </w:rPr>
    </w:lvl>
    <w:lvl w:ilvl="1" w:tplc="04150003">
      <w:start w:val="1"/>
      <w:numFmt w:val="bullet"/>
      <w:lvlText w:val=""/>
      <w:lvlJc w:val="left"/>
      <w:pPr>
        <w:tabs>
          <w:tab w:val="num" w:pos="1440"/>
        </w:tabs>
        <w:ind w:left="1440" w:hanging="360"/>
      </w:pPr>
      <w:rPr>
        <w:rFonts w:ascii="Symbol" w:hAnsi="Symbol" w:hint="default"/>
        <w:sz w:val="20"/>
      </w:rPr>
    </w:lvl>
    <w:lvl w:ilvl="2" w:tplc="04150005">
      <w:start w:val="1"/>
      <w:numFmt w:val="decimal"/>
      <w:lvlText w:val="%3."/>
      <w:lvlJc w:val="left"/>
      <w:pPr>
        <w:tabs>
          <w:tab w:val="num" w:pos="2160"/>
        </w:tabs>
        <w:ind w:left="2160" w:hanging="360"/>
      </w:pPr>
      <w:rPr>
        <w:rFont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6">
    <w:nsid w:val="5C8F2F44"/>
    <w:multiLevelType w:val="hybridMultilevel"/>
    <w:tmpl w:val="E692FAE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nsid w:val="5EE122DC"/>
    <w:multiLevelType w:val="multilevel"/>
    <w:tmpl w:val="EBB64D90"/>
    <w:styleLink w:val="StylPunktowane2"/>
    <w:lvl w:ilvl="0">
      <w:start w:val="1"/>
      <w:numFmt w:val="bullet"/>
      <w:lvlText w:val=""/>
      <w:lvlJc w:val="left"/>
      <w:pPr>
        <w:tabs>
          <w:tab w:val="num" w:pos="1320"/>
        </w:tabs>
        <w:ind w:left="1320" w:hanging="360"/>
      </w:pPr>
      <w:rPr>
        <w:rFonts w:ascii="Symbol" w:hAnsi="Symbol" w:hint="default"/>
        <w:sz w:val="22"/>
      </w:rPr>
    </w:lvl>
    <w:lvl w:ilvl="1">
      <w:start w:val="1"/>
      <w:numFmt w:val="bullet"/>
      <w:lvlText w:val="-"/>
      <w:lvlJc w:val="left"/>
      <w:pPr>
        <w:tabs>
          <w:tab w:val="num" w:pos="2040"/>
        </w:tabs>
        <w:ind w:left="2040" w:hanging="360"/>
      </w:pPr>
      <w:rPr>
        <w:rFonts w:ascii="Arial" w:hAnsi="Arial" w:hint="default"/>
      </w:rPr>
    </w:lvl>
    <w:lvl w:ilvl="2">
      <w:start w:val="1"/>
      <w:numFmt w:val="bullet"/>
      <w:lvlText w:val=""/>
      <w:lvlJc w:val="left"/>
      <w:pPr>
        <w:tabs>
          <w:tab w:val="num" w:pos="2760"/>
        </w:tabs>
        <w:ind w:left="2760" w:hanging="360"/>
      </w:pPr>
      <w:rPr>
        <w:rFonts w:ascii="Wingdings" w:hAnsi="Wingdings" w:hint="default"/>
      </w:rPr>
    </w:lvl>
    <w:lvl w:ilvl="3">
      <w:start w:val="1"/>
      <w:numFmt w:val="bullet"/>
      <w:lvlText w:val=""/>
      <w:lvlJc w:val="left"/>
      <w:pPr>
        <w:tabs>
          <w:tab w:val="num" w:pos="3480"/>
        </w:tabs>
        <w:ind w:left="3480" w:hanging="360"/>
      </w:pPr>
      <w:rPr>
        <w:rFonts w:ascii="Symbol" w:hAnsi="Symbol" w:hint="default"/>
      </w:rPr>
    </w:lvl>
    <w:lvl w:ilvl="4">
      <w:start w:val="1"/>
      <w:numFmt w:val="bullet"/>
      <w:lvlText w:val="o"/>
      <w:lvlJc w:val="left"/>
      <w:pPr>
        <w:tabs>
          <w:tab w:val="num" w:pos="4200"/>
        </w:tabs>
        <w:ind w:left="4200" w:hanging="360"/>
      </w:pPr>
      <w:rPr>
        <w:rFonts w:ascii="Courier New" w:hAnsi="Courier New" w:cs="Courier New" w:hint="default"/>
      </w:rPr>
    </w:lvl>
    <w:lvl w:ilvl="5">
      <w:start w:val="1"/>
      <w:numFmt w:val="bullet"/>
      <w:lvlText w:val=""/>
      <w:lvlJc w:val="left"/>
      <w:pPr>
        <w:tabs>
          <w:tab w:val="num" w:pos="4920"/>
        </w:tabs>
        <w:ind w:left="4920" w:hanging="360"/>
      </w:pPr>
      <w:rPr>
        <w:rFonts w:ascii="Wingdings" w:hAnsi="Wingdings" w:hint="default"/>
      </w:rPr>
    </w:lvl>
    <w:lvl w:ilvl="6">
      <w:start w:val="1"/>
      <w:numFmt w:val="bullet"/>
      <w:lvlText w:val=""/>
      <w:lvlJc w:val="left"/>
      <w:pPr>
        <w:tabs>
          <w:tab w:val="num" w:pos="5640"/>
        </w:tabs>
        <w:ind w:left="5640" w:hanging="360"/>
      </w:pPr>
      <w:rPr>
        <w:rFonts w:ascii="Symbol" w:hAnsi="Symbol" w:hint="default"/>
      </w:rPr>
    </w:lvl>
    <w:lvl w:ilvl="7">
      <w:start w:val="1"/>
      <w:numFmt w:val="bullet"/>
      <w:lvlText w:val="o"/>
      <w:lvlJc w:val="left"/>
      <w:pPr>
        <w:tabs>
          <w:tab w:val="num" w:pos="6360"/>
        </w:tabs>
        <w:ind w:left="6360" w:hanging="360"/>
      </w:pPr>
      <w:rPr>
        <w:rFonts w:ascii="Courier New" w:hAnsi="Courier New" w:cs="Courier New" w:hint="default"/>
      </w:rPr>
    </w:lvl>
    <w:lvl w:ilvl="8">
      <w:start w:val="1"/>
      <w:numFmt w:val="bullet"/>
      <w:lvlText w:val=""/>
      <w:lvlJc w:val="left"/>
      <w:pPr>
        <w:tabs>
          <w:tab w:val="num" w:pos="7080"/>
        </w:tabs>
        <w:ind w:left="7080" w:hanging="360"/>
      </w:pPr>
      <w:rPr>
        <w:rFonts w:ascii="Wingdings" w:hAnsi="Wingdings" w:hint="default"/>
      </w:rPr>
    </w:lvl>
  </w:abstractNum>
  <w:abstractNum w:abstractNumId="48">
    <w:nsid w:val="6A5F036C"/>
    <w:multiLevelType w:val="hybridMultilevel"/>
    <w:tmpl w:val="D7BAB052"/>
    <w:lvl w:ilvl="0" w:tplc="16727168">
      <w:start w:val="1"/>
      <w:numFmt w:val="decimal"/>
      <w:pStyle w:val="StylWyrwnanydorodkaInterliniaDokadnie13pt"/>
      <w:lvlText w:val="Załącznik %1."/>
      <w:lvlJc w:val="left"/>
      <w:pPr>
        <w:tabs>
          <w:tab w:val="num" w:pos="737"/>
        </w:tabs>
        <w:ind w:left="1304" w:hanging="567"/>
      </w:pPr>
      <w:rPr>
        <w:rFonts w:ascii="Arial" w:hAnsi="Arial" w:cs="Arial" w:hint="default"/>
        <w:b/>
        <w:bCs/>
      </w:rPr>
    </w:lvl>
    <w:lvl w:ilvl="1" w:tplc="FF8678BE">
      <w:start w:val="1"/>
      <w:numFmt w:val="lowerLetter"/>
      <w:lvlText w:val="%2."/>
      <w:lvlJc w:val="left"/>
      <w:pPr>
        <w:tabs>
          <w:tab w:val="num" w:pos="1440"/>
        </w:tabs>
        <w:ind w:left="1440" w:hanging="360"/>
      </w:pPr>
    </w:lvl>
    <w:lvl w:ilvl="2" w:tplc="ADD8A8EC">
      <w:start w:val="1"/>
      <w:numFmt w:val="lowerRoman"/>
      <w:lvlText w:val="%3."/>
      <w:lvlJc w:val="right"/>
      <w:pPr>
        <w:tabs>
          <w:tab w:val="num" w:pos="2160"/>
        </w:tabs>
        <w:ind w:left="2160" w:hanging="180"/>
      </w:pPr>
    </w:lvl>
    <w:lvl w:ilvl="3" w:tplc="F362838A">
      <w:start w:val="1"/>
      <w:numFmt w:val="decimal"/>
      <w:lvlText w:val="%4."/>
      <w:lvlJc w:val="left"/>
      <w:pPr>
        <w:tabs>
          <w:tab w:val="num" w:pos="2880"/>
        </w:tabs>
        <w:ind w:left="2880" w:hanging="360"/>
      </w:pPr>
    </w:lvl>
    <w:lvl w:ilvl="4" w:tplc="D3E6DF30">
      <w:start w:val="1"/>
      <w:numFmt w:val="lowerLetter"/>
      <w:lvlText w:val="%5."/>
      <w:lvlJc w:val="left"/>
      <w:pPr>
        <w:tabs>
          <w:tab w:val="num" w:pos="3600"/>
        </w:tabs>
        <w:ind w:left="3600" w:hanging="360"/>
      </w:pPr>
    </w:lvl>
    <w:lvl w:ilvl="5" w:tplc="EB14073C">
      <w:start w:val="1"/>
      <w:numFmt w:val="lowerRoman"/>
      <w:lvlText w:val="%6."/>
      <w:lvlJc w:val="right"/>
      <w:pPr>
        <w:tabs>
          <w:tab w:val="num" w:pos="4320"/>
        </w:tabs>
        <w:ind w:left="4320" w:hanging="180"/>
      </w:pPr>
    </w:lvl>
    <w:lvl w:ilvl="6" w:tplc="E3943922">
      <w:start w:val="1"/>
      <w:numFmt w:val="decimal"/>
      <w:lvlText w:val="%7."/>
      <w:lvlJc w:val="left"/>
      <w:pPr>
        <w:tabs>
          <w:tab w:val="num" w:pos="5040"/>
        </w:tabs>
        <w:ind w:left="5040" w:hanging="360"/>
      </w:pPr>
    </w:lvl>
    <w:lvl w:ilvl="7" w:tplc="5F12972A">
      <w:start w:val="1"/>
      <w:numFmt w:val="lowerLetter"/>
      <w:lvlText w:val="%8."/>
      <w:lvlJc w:val="left"/>
      <w:pPr>
        <w:tabs>
          <w:tab w:val="num" w:pos="5760"/>
        </w:tabs>
        <w:ind w:left="5760" w:hanging="360"/>
      </w:pPr>
    </w:lvl>
    <w:lvl w:ilvl="8" w:tplc="A060141A">
      <w:start w:val="1"/>
      <w:numFmt w:val="lowerRoman"/>
      <w:lvlText w:val="%9."/>
      <w:lvlJc w:val="right"/>
      <w:pPr>
        <w:tabs>
          <w:tab w:val="num" w:pos="6480"/>
        </w:tabs>
        <w:ind w:left="6480" w:hanging="180"/>
      </w:pPr>
    </w:lvl>
  </w:abstractNum>
  <w:abstractNum w:abstractNumId="49">
    <w:nsid w:val="6AA343BA"/>
    <w:multiLevelType w:val="hybridMultilevel"/>
    <w:tmpl w:val="FFB8F372"/>
    <w:lvl w:ilvl="0" w:tplc="CC92B8AE">
      <w:start w:val="1"/>
      <w:numFmt w:val="bullet"/>
      <w:lvlText w:val=""/>
      <w:lvlJc w:val="left"/>
      <w:pPr>
        <w:tabs>
          <w:tab w:val="num" w:pos="1080"/>
        </w:tabs>
        <w:ind w:left="1080" w:hanging="360"/>
      </w:pPr>
      <w:rPr>
        <w:rFonts w:ascii="Symbol" w:hAnsi="Symbol" w:cs="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50">
    <w:nsid w:val="70646B89"/>
    <w:multiLevelType w:val="multilevel"/>
    <w:tmpl w:val="74C419A2"/>
    <w:lvl w:ilvl="0">
      <w:start w:val="1"/>
      <w:numFmt w:val="decimal"/>
      <w:lvlText w:val="%1."/>
      <w:lvlJc w:val="left"/>
      <w:pPr>
        <w:ind w:left="360" w:hanging="360"/>
      </w:pPr>
      <w:rPr>
        <w:rFonts w:hint="default"/>
      </w:rPr>
    </w:lvl>
    <w:lvl w:ilvl="1">
      <w:start w:val="1"/>
      <w:numFmt w:val="none"/>
      <w:lvlText w:val="2.1 "/>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nsid w:val="7196483F"/>
    <w:multiLevelType w:val="hybridMultilevel"/>
    <w:tmpl w:val="D16EF3BC"/>
    <w:lvl w:ilvl="0" w:tplc="FFFFFFFF">
      <w:start w:val="1"/>
      <w:numFmt w:val="decimal"/>
      <w:pStyle w:val="ASSchemat"/>
      <w:lvlText w:val="Schemat %1."/>
      <w:lvlJc w:val="left"/>
      <w:pPr>
        <w:tabs>
          <w:tab w:val="num" w:pos="1134"/>
        </w:tabs>
        <w:ind w:left="1134" w:hanging="1134"/>
      </w:pPr>
      <w:rPr>
        <w:rFonts w:ascii="Arial" w:hAnsi="Arial" w:cs="Arial" w:hint="default"/>
        <w:b/>
        <w:bCs/>
        <w:i w:val="0"/>
        <w:iCs w:val="0"/>
        <w:sz w:val="22"/>
        <w:szCs w:val="22"/>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2">
    <w:nsid w:val="73B23AFD"/>
    <w:multiLevelType w:val="hybridMultilevel"/>
    <w:tmpl w:val="3856C108"/>
    <w:lvl w:ilvl="0" w:tplc="F45E74CC">
      <w:start w:val="1"/>
      <w:numFmt w:val="decimal"/>
      <w:lvlText w:val="%1)"/>
      <w:lvlJc w:val="left"/>
      <w:pPr>
        <w:tabs>
          <w:tab w:val="num" w:pos="540"/>
        </w:tabs>
        <w:ind w:left="540" w:hanging="420"/>
      </w:pPr>
      <w:rPr>
        <w:rFonts w:hint="default"/>
      </w:rPr>
    </w:lvl>
    <w:lvl w:ilvl="1" w:tplc="04150019" w:tentative="1">
      <w:start w:val="1"/>
      <w:numFmt w:val="lowerLetter"/>
      <w:lvlText w:val="%2."/>
      <w:lvlJc w:val="left"/>
      <w:pPr>
        <w:tabs>
          <w:tab w:val="num" w:pos="1200"/>
        </w:tabs>
        <w:ind w:left="1200" w:hanging="360"/>
      </w:pPr>
    </w:lvl>
    <w:lvl w:ilvl="2" w:tplc="0415001B" w:tentative="1">
      <w:start w:val="1"/>
      <w:numFmt w:val="lowerRoman"/>
      <w:lvlText w:val="%3."/>
      <w:lvlJc w:val="right"/>
      <w:pPr>
        <w:tabs>
          <w:tab w:val="num" w:pos="1920"/>
        </w:tabs>
        <w:ind w:left="1920" w:hanging="180"/>
      </w:pPr>
    </w:lvl>
    <w:lvl w:ilvl="3" w:tplc="0415000F" w:tentative="1">
      <w:start w:val="1"/>
      <w:numFmt w:val="decimal"/>
      <w:lvlText w:val="%4."/>
      <w:lvlJc w:val="left"/>
      <w:pPr>
        <w:tabs>
          <w:tab w:val="num" w:pos="2640"/>
        </w:tabs>
        <w:ind w:left="2640" w:hanging="360"/>
      </w:pPr>
    </w:lvl>
    <w:lvl w:ilvl="4" w:tplc="04150019" w:tentative="1">
      <w:start w:val="1"/>
      <w:numFmt w:val="lowerLetter"/>
      <w:lvlText w:val="%5."/>
      <w:lvlJc w:val="left"/>
      <w:pPr>
        <w:tabs>
          <w:tab w:val="num" w:pos="3360"/>
        </w:tabs>
        <w:ind w:left="3360" w:hanging="360"/>
      </w:pPr>
    </w:lvl>
    <w:lvl w:ilvl="5" w:tplc="0415001B" w:tentative="1">
      <w:start w:val="1"/>
      <w:numFmt w:val="lowerRoman"/>
      <w:lvlText w:val="%6."/>
      <w:lvlJc w:val="right"/>
      <w:pPr>
        <w:tabs>
          <w:tab w:val="num" w:pos="4080"/>
        </w:tabs>
        <w:ind w:left="4080" w:hanging="180"/>
      </w:pPr>
    </w:lvl>
    <w:lvl w:ilvl="6" w:tplc="0415000F" w:tentative="1">
      <w:start w:val="1"/>
      <w:numFmt w:val="decimal"/>
      <w:lvlText w:val="%7."/>
      <w:lvlJc w:val="left"/>
      <w:pPr>
        <w:tabs>
          <w:tab w:val="num" w:pos="4800"/>
        </w:tabs>
        <w:ind w:left="4800" w:hanging="360"/>
      </w:pPr>
    </w:lvl>
    <w:lvl w:ilvl="7" w:tplc="04150019" w:tentative="1">
      <w:start w:val="1"/>
      <w:numFmt w:val="lowerLetter"/>
      <w:lvlText w:val="%8."/>
      <w:lvlJc w:val="left"/>
      <w:pPr>
        <w:tabs>
          <w:tab w:val="num" w:pos="5520"/>
        </w:tabs>
        <w:ind w:left="5520" w:hanging="360"/>
      </w:pPr>
    </w:lvl>
    <w:lvl w:ilvl="8" w:tplc="0415001B" w:tentative="1">
      <w:start w:val="1"/>
      <w:numFmt w:val="lowerRoman"/>
      <w:lvlText w:val="%9."/>
      <w:lvlJc w:val="right"/>
      <w:pPr>
        <w:tabs>
          <w:tab w:val="num" w:pos="6240"/>
        </w:tabs>
        <w:ind w:left="6240" w:hanging="180"/>
      </w:pPr>
    </w:lvl>
  </w:abstractNum>
  <w:abstractNum w:abstractNumId="53">
    <w:nsid w:val="7F77501F"/>
    <w:multiLevelType w:val="hybridMultilevel"/>
    <w:tmpl w:val="AC1EABF6"/>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num w:numId="1">
    <w:abstractNumId w:val="27"/>
  </w:num>
  <w:num w:numId="2">
    <w:abstractNumId w:val="8"/>
  </w:num>
  <w:num w:numId="3">
    <w:abstractNumId w:val="1"/>
  </w:num>
  <w:num w:numId="4">
    <w:abstractNumId w:val="6"/>
  </w:num>
  <w:num w:numId="5">
    <w:abstractNumId w:val="5"/>
  </w:num>
  <w:num w:numId="6">
    <w:abstractNumId w:val="7"/>
  </w:num>
  <w:num w:numId="7">
    <w:abstractNumId w:val="3"/>
  </w:num>
  <w:num w:numId="8">
    <w:abstractNumId w:val="2"/>
  </w:num>
  <w:num w:numId="9">
    <w:abstractNumId w:val="0"/>
  </w:num>
  <w:num w:numId="10">
    <w:abstractNumId w:val="4"/>
  </w:num>
  <w:num w:numId="11">
    <w:abstractNumId w:val="38"/>
  </w:num>
  <w:num w:numId="12">
    <w:abstractNumId w:val="43"/>
  </w:num>
  <w:num w:numId="13">
    <w:abstractNumId w:val="13"/>
  </w:num>
  <w:num w:numId="14">
    <w:abstractNumId w:val="37"/>
  </w:num>
  <w:num w:numId="15">
    <w:abstractNumId w:val="53"/>
  </w:num>
  <w:num w:numId="16">
    <w:abstractNumId w:val="24"/>
  </w:num>
  <w:num w:numId="17">
    <w:abstractNumId w:val="49"/>
  </w:num>
  <w:num w:numId="18">
    <w:abstractNumId w:val="33"/>
  </w:num>
  <w:num w:numId="19">
    <w:abstractNumId w:val="31"/>
  </w:num>
  <w:num w:numId="20">
    <w:abstractNumId w:val="41"/>
  </w:num>
  <w:num w:numId="21">
    <w:abstractNumId w:val="48"/>
  </w:num>
  <w:num w:numId="22">
    <w:abstractNumId w:val="44"/>
  </w:num>
  <w:num w:numId="23">
    <w:abstractNumId w:val="42"/>
  </w:num>
  <w:num w:numId="24">
    <w:abstractNumId w:val="23"/>
  </w:num>
  <w:num w:numId="25">
    <w:abstractNumId w:val="34"/>
  </w:num>
  <w:num w:numId="26">
    <w:abstractNumId w:val="35"/>
  </w:num>
  <w:num w:numId="27">
    <w:abstractNumId w:val="28"/>
  </w:num>
  <w:num w:numId="28">
    <w:abstractNumId w:val="30"/>
  </w:num>
  <w:num w:numId="29">
    <w:abstractNumId w:val="18"/>
  </w:num>
  <w:num w:numId="30">
    <w:abstractNumId w:val="11"/>
  </w:num>
  <w:num w:numId="31">
    <w:abstractNumId w:val="17"/>
  </w:num>
  <w:num w:numId="32">
    <w:abstractNumId w:val="15"/>
  </w:num>
  <w:num w:numId="33">
    <w:abstractNumId w:val="14"/>
  </w:num>
  <w:num w:numId="34">
    <w:abstractNumId w:val="29"/>
  </w:num>
  <w:num w:numId="35">
    <w:abstractNumId w:val="26"/>
  </w:num>
  <w:num w:numId="36">
    <w:abstractNumId w:val="51"/>
  </w:num>
  <w:num w:numId="37">
    <w:abstractNumId w:val="40"/>
  </w:num>
  <w:num w:numId="38">
    <w:abstractNumId w:val="47"/>
  </w:num>
  <w:num w:numId="39">
    <w:abstractNumId w:val="36"/>
  </w:num>
  <w:num w:numId="40">
    <w:abstractNumId w:val="9"/>
  </w:num>
  <w:num w:numId="41">
    <w:abstractNumId w:val="45"/>
  </w:num>
  <w:num w:numId="42">
    <w:abstractNumId w:val="22"/>
  </w:num>
  <w:num w:numId="43">
    <w:abstractNumId w:val="39"/>
  </w:num>
  <w:num w:numId="44">
    <w:abstractNumId w:val="21"/>
  </w:num>
  <w:num w:numId="45">
    <w:abstractNumId w:val="19"/>
  </w:num>
  <w:num w:numId="46">
    <w:abstractNumId w:val="46"/>
  </w:num>
  <w:num w:numId="47">
    <w:abstractNumId w:val="52"/>
  </w:num>
  <w:num w:numId="48">
    <w:abstractNumId w:val="20"/>
  </w:num>
  <w:num w:numId="49">
    <w:abstractNumId w:val="10"/>
  </w:num>
  <w:num w:numId="50">
    <w:abstractNumId w:val="35"/>
  </w:num>
  <w:num w:numId="51">
    <w:abstractNumId w:val="16"/>
  </w:num>
  <w:num w:numId="52">
    <w:abstractNumId w:val="6"/>
  </w:num>
  <w:num w:numId="53">
    <w:abstractNumId w:val="50"/>
  </w:num>
  <w:num w:numId="54">
    <w:abstractNumId w:val="12"/>
  </w:num>
  <w:num w:numId="55">
    <w:abstractNumId w:val="25"/>
  </w:num>
  <w:num w:numId="56">
    <w:abstractNumId w:val="32"/>
  </w:num>
  <w:num w:numId="57">
    <w:abstractNumId w:val="35"/>
    <w:lvlOverride w:ilvl="0">
      <w:startOverride w:val="3"/>
    </w:lvlOverride>
    <w:lvlOverride w:ilvl="1">
      <w:startOverride w:val="1"/>
    </w:lvlOverride>
    <w:lvlOverride w:ilvl="2">
      <w:startOverride w:val="12"/>
    </w:lvlOverride>
  </w:num>
  <w:num w:numId="58">
    <w:abstractNumId w:val="35"/>
    <w:lvlOverride w:ilvl="0">
      <w:startOverride w:val="3"/>
    </w:lvlOverride>
    <w:lvlOverride w:ilvl="1">
      <w:startOverride w:val="1"/>
    </w:lvlOverride>
    <w:lvlOverride w:ilvl="2">
      <w:startOverride w:val="12"/>
    </w:lvlOverride>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00"/>
  <w:activeWritingStyle w:appName="MSWord" w:lang="pl-PL" w:vendorID="12" w:dllVersion="512" w:checkStyle="1"/>
  <w:proofState w:spelling="clean"/>
  <w:stylePaneFormatFilter w:val="3F01"/>
  <w:documentProtection w:edit="readOnly" w:formatting="1" w:enforcement="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B92BFC"/>
    <w:rsid w:val="000024B9"/>
    <w:rsid w:val="000043A4"/>
    <w:rsid w:val="00004E2C"/>
    <w:rsid w:val="00005611"/>
    <w:rsid w:val="000068ED"/>
    <w:rsid w:val="0000694E"/>
    <w:rsid w:val="00007E98"/>
    <w:rsid w:val="00011948"/>
    <w:rsid w:val="0001206A"/>
    <w:rsid w:val="000222C5"/>
    <w:rsid w:val="00023104"/>
    <w:rsid w:val="00024AFE"/>
    <w:rsid w:val="000266AD"/>
    <w:rsid w:val="00026CA0"/>
    <w:rsid w:val="0003090B"/>
    <w:rsid w:val="000331B5"/>
    <w:rsid w:val="00034708"/>
    <w:rsid w:val="00034FDD"/>
    <w:rsid w:val="00035E8A"/>
    <w:rsid w:val="00036E51"/>
    <w:rsid w:val="0004011F"/>
    <w:rsid w:val="000413C0"/>
    <w:rsid w:val="0004166C"/>
    <w:rsid w:val="00041E79"/>
    <w:rsid w:val="00042BF8"/>
    <w:rsid w:val="00042D20"/>
    <w:rsid w:val="0004448C"/>
    <w:rsid w:val="00045D7A"/>
    <w:rsid w:val="00046306"/>
    <w:rsid w:val="000502C1"/>
    <w:rsid w:val="0005040C"/>
    <w:rsid w:val="00051AF9"/>
    <w:rsid w:val="000527B8"/>
    <w:rsid w:val="0005436C"/>
    <w:rsid w:val="00056B27"/>
    <w:rsid w:val="0006055F"/>
    <w:rsid w:val="00060B19"/>
    <w:rsid w:val="00061222"/>
    <w:rsid w:val="00063B06"/>
    <w:rsid w:val="000642C9"/>
    <w:rsid w:val="000653E8"/>
    <w:rsid w:val="00065C26"/>
    <w:rsid w:val="00071AB1"/>
    <w:rsid w:val="00073A57"/>
    <w:rsid w:val="00073C78"/>
    <w:rsid w:val="00073F4F"/>
    <w:rsid w:val="00080E00"/>
    <w:rsid w:val="000814B8"/>
    <w:rsid w:val="00082261"/>
    <w:rsid w:val="00082D8B"/>
    <w:rsid w:val="000846D7"/>
    <w:rsid w:val="00086E9D"/>
    <w:rsid w:val="000944A9"/>
    <w:rsid w:val="000A088C"/>
    <w:rsid w:val="000A2641"/>
    <w:rsid w:val="000A7008"/>
    <w:rsid w:val="000A7856"/>
    <w:rsid w:val="000B207E"/>
    <w:rsid w:val="000B40E3"/>
    <w:rsid w:val="000B4B59"/>
    <w:rsid w:val="000B5433"/>
    <w:rsid w:val="000B5680"/>
    <w:rsid w:val="000C3AEA"/>
    <w:rsid w:val="000C3B0A"/>
    <w:rsid w:val="000C747E"/>
    <w:rsid w:val="000D3BCD"/>
    <w:rsid w:val="000D4448"/>
    <w:rsid w:val="000D4E30"/>
    <w:rsid w:val="000E316B"/>
    <w:rsid w:val="000E3214"/>
    <w:rsid w:val="000E438A"/>
    <w:rsid w:val="000E4725"/>
    <w:rsid w:val="000E55AE"/>
    <w:rsid w:val="000E6748"/>
    <w:rsid w:val="000E6F1F"/>
    <w:rsid w:val="000F29AA"/>
    <w:rsid w:val="000F3086"/>
    <w:rsid w:val="00102037"/>
    <w:rsid w:val="0010515B"/>
    <w:rsid w:val="00106045"/>
    <w:rsid w:val="001101A1"/>
    <w:rsid w:val="00110256"/>
    <w:rsid w:val="00111775"/>
    <w:rsid w:val="001172DE"/>
    <w:rsid w:val="001230D1"/>
    <w:rsid w:val="00123688"/>
    <w:rsid w:val="001237A8"/>
    <w:rsid w:val="00127A18"/>
    <w:rsid w:val="00130135"/>
    <w:rsid w:val="001326EF"/>
    <w:rsid w:val="00132A5C"/>
    <w:rsid w:val="00134ACB"/>
    <w:rsid w:val="00134C5B"/>
    <w:rsid w:val="00135B88"/>
    <w:rsid w:val="001367B9"/>
    <w:rsid w:val="00137AD6"/>
    <w:rsid w:val="00140F98"/>
    <w:rsid w:val="0014356E"/>
    <w:rsid w:val="00143BD1"/>
    <w:rsid w:val="001447C0"/>
    <w:rsid w:val="001455E2"/>
    <w:rsid w:val="001460A7"/>
    <w:rsid w:val="001474A7"/>
    <w:rsid w:val="00147533"/>
    <w:rsid w:val="00150F56"/>
    <w:rsid w:val="00151FC5"/>
    <w:rsid w:val="00154CDD"/>
    <w:rsid w:val="00156A10"/>
    <w:rsid w:val="00156DD7"/>
    <w:rsid w:val="00157E63"/>
    <w:rsid w:val="001603B2"/>
    <w:rsid w:val="001608F1"/>
    <w:rsid w:val="00164CA1"/>
    <w:rsid w:val="00165BFA"/>
    <w:rsid w:val="00170730"/>
    <w:rsid w:val="00170957"/>
    <w:rsid w:val="00173603"/>
    <w:rsid w:val="001763D4"/>
    <w:rsid w:val="00176F82"/>
    <w:rsid w:val="0017717E"/>
    <w:rsid w:val="00180218"/>
    <w:rsid w:val="00180EEC"/>
    <w:rsid w:val="00181605"/>
    <w:rsid w:val="00181D1E"/>
    <w:rsid w:val="00182A0D"/>
    <w:rsid w:val="00183706"/>
    <w:rsid w:val="00184AAB"/>
    <w:rsid w:val="0019047B"/>
    <w:rsid w:val="00191CCC"/>
    <w:rsid w:val="001925CC"/>
    <w:rsid w:val="001936AC"/>
    <w:rsid w:val="00194AF4"/>
    <w:rsid w:val="00196E20"/>
    <w:rsid w:val="00196E60"/>
    <w:rsid w:val="001976B4"/>
    <w:rsid w:val="001A2FA4"/>
    <w:rsid w:val="001A5AB8"/>
    <w:rsid w:val="001A7488"/>
    <w:rsid w:val="001A7C99"/>
    <w:rsid w:val="001B582B"/>
    <w:rsid w:val="001C2590"/>
    <w:rsid w:val="001C3AA4"/>
    <w:rsid w:val="001C3E34"/>
    <w:rsid w:val="001C4718"/>
    <w:rsid w:val="001C471C"/>
    <w:rsid w:val="001D046C"/>
    <w:rsid w:val="001D2AA4"/>
    <w:rsid w:val="001D2F8D"/>
    <w:rsid w:val="001D5456"/>
    <w:rsid w:val="001D5530"/>
    <w:rsid w:val="001D56FC"/>
    <w:rsid w:val="001D5E18"/>
    <w:rsid w:val="001D7585"/>
    <w:rsid w:val="001D7FE4"/>
    <w:rsid w:val="001E041D"/>
    <w:rsid w:val="001E07E5"/>
    <w:rsid w:val="001E0D07"/>
    <w:rsid w:val="001E2A14"/>
    <w:rsid w:val="001E632C"/>
    <w:rsid w:val="001F2C0F"/>
    <w:rsid w:val="001F4730"/>
    <w:rsid w:val="0020392D"/>
    <w:rsid w:val="002040F1"/>
    <w:rsid w:val="002052AC"/>
    <w:rsid w:val="00205824"/>
    <w:rsid w:val="00207CED"/>
    <w:rsid w:val="0021025C"/>
    <w:rsid w:val="00212132"/>
    <w:rsid w:val="00216BCC"/>
    <w:rsid w:val="00217DC0"/>
    <w:rsid w:val="0022177C"/>
    <w:rsid w:val="00224F78"/>
    <w:rsid w:val="002271A5"/>
    <w:rsid w:val="00227CE4"/>
    <w:rsid w:val="00231589"/>
    <w:rsid w:val="002323E4"/>
    <w:rsid w:val="002422FF"/>
    <w:rsid w:val="0024259A"/>
    <w:rsid w:val="00243FDD"/>
    <w:rsid w:val="0025043B"/>
    <w:rsid w:val="00253A28"/>
    <w:rsid w:val="00253D00"/>
    <w:rsid w:val="002565BA"/>
    <w:rsid w:val="002631F2"/>
    <w:rsid w:val="00264250"/>
    <w:rsid w:val="00264C66"/>
    <w:rsid w:val="002658B5"/>
    <w:rsid w:val="0027033D"/>
    <w:rsid w:val="00270736"/>
    <w:rsid w:val="00274200"/>
    <w:rsid w:val="00274499"/>
    <w:rsid w:val="002746A9"/>
    <w:rsid w:val="002762A3"/>
    <w:rsid w:val="00280BE0"/>
    <w:rsid w:val="00281A9E"/>
    <w:rsid w:val="00281CE9"/>
    <w:rsid w:val="002847CA"/>
    <w:rsid w:val="00285D96"/>
    <w:rsid w:val="00287FA8"/>
    <w:rsid w:val="0029561D"/>
    <w:rsid w:val="00295E97"/>
    <w:rsid w:val="00296936"/>
    <w:rsid w:val="00297008"/>
    <w:rsid w:val="002A0213"/>
    <w:rsid w:val="002A0544"/>
    <w:rsid w:val="002A0C2C"/>
    <w:rsid w:val="002A1948"/>
    <w:rsid w:val="002A3D95"/>
    <w:rsid w:val="002A56FC"/>
    <w:rsid w:val="002A68B9"/>
    <w:rsid w:val="002A6994"/>
    <w:rsid w:val="002B16C6"/>
    <w:rsid w:val="002B1C0F"/>
    <w:rsid w:val="002B1EF6"/>
    <w:rsid w:val="002B2AD0"/>
    <w:rsid w:val="002C4FF2"/>
    <w:rsid w:val="002C794C"/>
    <w:rsid w:val="002C7F8A"/>
    <w:rsid w:val="002D07E2"/>
    <w:rsid w:val="002D12F6"/>
    <w:rsid w:val="002D25F7"/>
    <w:rsid w:val="002D3C05"/>
    <w:rsid w:val="002D4A6C"/>
    <w:rsid w:val="002D58B5"/>
    <w:rsid w:val="002D67C9"/>
    <w:rsid w:val="002D6A28"/>
    <w:rsid w:val="002D6C2D"/>
    <w:rsid w:val="002D766B"/>
    <w:rsid w:val="002E331E"/>
    <w:rsid w:val="002F1E2B"/>
    <w:rsid w:val="002F42E5"/>
    <w:rsid w:val="002F5AC0"/>
    <w:rsid w:val="002F6B12"/>
    <w:rsid w:val="003004FC"/>
    <w:rsid w:val="003027C4"/>
    <w:rsid w:val="003035B9"/>
    <w:rsid w:val="00304D3A"/>
    <w:rsid w:val="0030531F"/>
    <w:rsid w:val="00305D55"/>
    <w:rsid w:val="00306577"/>
    <w:rsid w:val="003072CB"/>
    <w:rsid w:val="00307693"/>
    <w:rsid w:val="00307BC2"/>
    <w:rsid w:val="003104E7"/>
    <w:rsid w:val="003132A7"/>
    <w:rsid w:val="003143B3"/>
    <w:rsid w:val="00316F5B"/>
    <w:rsid w:val="00317632"/>
    <w:rsid w:val="0032239E"/>
    <w:rsid w:val="00324417"/>
    <w:rsid w:val="00330038"/>
    <w:rsid w:val="0033048F"/>
    <w:rsid w:val="00330985"/>
    <w:rsid w:val="00333E9E"/>
    <w:rsid w:val="003342A1"/>
    <w:rsid w:val="0033441F"/>
    <w:rsid w:val="003357DF"/>
    <w:rsid w:val="003369BE"/>
    <w:rsid w:val="00336BB8"/>
    <w:rsid w:val="003404ED"/>
    <w:rsid w:val="00343291"/>
    <w:rsid w:val="003454B6"/>
    <w:rsid w:val="003458BF"/>
    <w:rsid w:val="0034620B"/>
    <w:rsid w:val="00346416"/>
    <w:rsid w:val="00350642"/>
    <w:rsid w:val="00350CAA"/>
    <w:rsid w:val="003512E1"/>
    <w:rsid w:val="003512F0"/>
    <w:rsid w:val="0035209B"/>
    <w:rsid w:val="0035364C"/>
    <w:rsid w:val="0035377F"/>
    <w:rsid w:val="00354DA9"/>
    <w:rsid w:val="003550A4"/>
    <w:rsid w:val="00356539"/>
    <w:rsid w:val="003573B0"/>
    <w:rsid w:val="00363819"/>
    <w:rsid w:val="00367357"/>
    <w:rsid w:val="00374B9B"/>
    <w:rsid w:val="00375FC1"/>
    <w:rsid w:val="00376705"/>
    <w:rsid w:val="00376EBC"/>
    <w:rsid w:val="0038043B"/>
    <w:rsid w:val="0038326D"/>
    <w:rsid w:val="00383F42"/>
    <w:rsid w:val="003876A9"/>
    <w:rsid w:val="00392152"/>
    <w:rsid w:val="00392ED1"/>
    <w:rsid w:val="00392FD4"/>
    <w:rsid w:val="00394BED"/>
    <w:rsid w:val="003973D2"/>
    <w:rsid w:val="003A00CF"/>
    <w:rsid w:val="003A04C7"/>
    <w:rsid w:val="003A19B2"/>
    <w:rsid w:val="003A1E70"/>
    <w:rsid w:val="003A389A"/>
    <w:rsid w:val="003A38E6"/>
    <w:rsid w:val="003A3A54"/>
    <w:rsid w:val="003A50BB"/>
    <w:rsid w:val="003A55AD"/>
    <w:rsid w:val="003A5B6E"/>
    <w:rsid w:val="003A7779"/>
    <w:rsid w:val="003B100F"/>
    <w:rsid w:val="003B11BE"/>
    <w:rsid w:val="003B21EE"/>
    <w:rsid w:val="003B2C96"/>
    <w:rsid w:val="003B55AB"/>
    <w:rsid w:val="003C114A"/>
    <w:rsid w:val="003C39C4"/>
    <w:rsid w:val="003C67C4"/>
    <w:rsid w:val="003C6BD7"/>
    <w:rsid w:val="003D163B"/>
    <w:rsid w:val="003D2C27"/>
    <w:rsid w:val="003D6700"/>
    <w:rsid w:val="003E3721"/>
    <w:rsid w:val="003E431B"/>
    <w:rsid w:val="003E5A5E"/>
    <w:rsid w:val="003E675D"/>
    <w:rsid w:val="003E6993"/>
    <w:rsid w:val="003E74EB"/>
    <w:rsid w:val="003F18A2"/>
    <w:rsid w:val="003F2B5A"/>
    <w:rsid w:val="003F5B22"/>
    <w:rsid w:val="00404D48"/>
    <w:rsid w:val="00406D66"/>
    <w:rsid w:val="00407CF5"/>
    <w:rsid w:val="0041002A"/>
    <w:rsid w:val="004142AB"/>
    <w:rsid w:val="00416FC7"/>
    <w:rsid w:val="00420212"/>
    <w:rsid w:val="00423C37"/>
    <w:rsid w:val="0042417B"/>
    <w:rsid w:val="0043008C"/>
    <w:rsid w:val="00430921"/>
    <w:rsid w:val="00430CD9"/>
    <w:rsid w:val="00432D68"/>
    <w:rsid w:val="00436F44"/>
    <w:rsid w:val="00440BF2"/>
    <w:rsid w:val="00442642"/>
    <w:rsid w:val="004443DE"/>
    <w:rsid w:val="004454C1"/>
    <w:rsid w:val="004558AF"/>
    <w:rsid w:val="00457E0E"/>
    <w:rsid w:val="004613BB"/>
    <w:rsid w:val="0046219A"/>
    <w:rsid w:val="00466C42"/>
    <w:rsid w:val="004721B1"/>
    <w:rsid w:val="004741BB"/>
    <w:rsid w:val="004808B8"/>
    <w:rsid w:val="00481BB2"/>
    <w:rsid w:val="00482C0A"/>
    <w:rsid w:val="00482F9D"/>
    <w:rsid w:val="00486CFF"/>
    <w:rsid w:val="00490CA1"/>
    <w:rsid w:val="0049268C"/>
    <w:rsid w:val="0049492E"/>
    <w:rsid w:val="004A1507"/>
    <w:rsid w:val="004A40A1"/>
    <w:rsid w:val="004A477D"/>
    <w:rsid w:val="004A7010"/>
    <w:rsid w:val="004A766E"/>
    <w:rsid w:val="004B0B30"/>
    <w:rsid w:val="004B308A"/>
    <w:rsid w:val="004B32C3"/>
    <w:rsid w:val="004B344C"/>
    <w:rsid w:val="004B761A"/>
    <w:rsid w:val="004C2C65"/>
    <w:rsid w:val="004C4266"/>
    <w:rsid w:val="004C6054"/>
    <w:rsid w:val="004C776D"/>
    <w:rsid w:val="004D15AD"/>
    <w:rsid w:val="004D20A3"/>
    <w:rsid w:val="004D700C"/>
    <w:rsid w:val="004D7B64"/>
    <w:rsid w:val="004E02CB"/>
    <w:rsid w:val="004E15A8"/>
    <w:rsid w:val="004E2BE8"/>
    <w:rsid w:val="004E3240"/>
    <w:rsid w:val="004E6168"/>
    <w:rsid w:val="004F018E"/>
    <w:rsid w:val="004F0806"/>
    <w:rsid w:val="004F09C3"/>
    <w:rsid w:val="004F1498"/>
    <w:rsid w:val="004F2C38"/>
    <w:rsid w:val="004F49C7"/>
    <w:rsid w:val="004F5150"/>
    <w:rsid w:val="005034B9"/>
    <w:rsid w:val="00503DF8"/>
    <w:rsid w:val="00505954"/>
    <w:rsid w:val="005103E5"/>
    <w:rsid w:val="00510CFD"/>
    <w:rsid w:val="00512BC8"/>
    <w:rsid w:val="00515136"/>
    <w:rsid w:val="0051786A"/>
    <w:rsid w:val="00525FA9"/>
    <w:rsid w:val="00526860"/>
    <w:rsid w:val="00526E44"/>
    <w:rsid w:val="00531075"/>
    <w:rsid w:val="0053204C"/>
    <w:rsid w:val="00536080"/>
    <w:rsid w:val="0054063A"/>
    <w:rsid w:val="005432A4"/>
    <w:rsid w:val="00546F15"/>
    <w:rsid w:val="00547390"/>
    <w:rsid w:val="005476BC"/>
    <w:rsid w:val="00551F46"/>
    <w:rsid w:val="005523A9"/>
    <w:rsid w:val="00553DF2"/>
    <w:rsid w:val="00555D80"/>
    <w:rsid w:val="00561845"/>
    <w:rsid w:val="00562E1D"/>
    <w:rsid w:val="005636D8"/>
    <w:rsid w:val="00564CA9"/>
    <w:rsid w:val="00564FD5"/>
    <w:rsid w:val="00570380"/>
    <w:rsid w:val="00570702"/>
    <w:rsid w:val="00570843"/>
    <w:rsid w:val="0057115E"/>
    <w:rsid w:val="005716CF"/>
    <w:rsid w:val="00573B3D"/>
    <w:rsid w:val="005815FA"/>
    <w:rsid w:val="00581A3B"/>
    <w:rsid w:val="00581B03"/>
    <w:rsid w:val="0058657B"/>
    <w:rsid w:val="0059067B"/>
    <w:rsid w:val="00590873"/>
    <w:rsid w:val="00591856"/>
    <w:rsid w:val="00593057"/>
    <w:rsid w:val="00594853"/>
    <w:rsid w:val="00594A83"/>
    <w:rsid w:val="005A0B01"/>
    <w:rsid w:val="005A0C55"/>
    <w:rsid w:val="005A20A7"/>
    <w:rsid w:val="005A4FBC"/>
    <w:rsid w:val="005A504D"/>
    <w:rsid w:val="005A51A9"/>
    <w:rsid w:val="005A6093"/>
    <w:rsid w:val="005A625E"/>
    <w:rsid w:val="005A68C3"/>
    <w:rsid w:val="005B2127"/>
    <w:rsid w:val="005B24B6"/>
    <w:rsid w:val="005B3E5B"/>
    <w:rsid w:val="005B3FBB"/>
    <w:rsid w:val="005B4C13"/>
    <w:rsid w:val="005B524C"/>
    <w:rsid w:val="005B7A97"/>
    <w:rsid w:val="005C143E"/>
    <w:rsid w:val="005C1802"/>
    <w:rsid w:val="005C3750"/>
    <w:rsid w:val="005C3F2A"/>
    <w:rsid w:val="005C43FF"/>
    <w:rsid w:val="005C45B8"/>
    <w:rsid w:val="005C6087"/>
    <w:rsid w:val="005C6417"/>
    <w:rsid w:val="005D13BA"/>
    <w:rsid w:val="005D3ECA"/>
    <w:rsid w:val="005D4137"/>
    <w:rsid w:val="005E2A70"/>
    <w:rsid w:val="005E2ADA"/>
    <w:rsid w:val="005E2C8D"/>
    <w:rsid w:val="005E3DB8"/>
    <w:rsid w:val="005E4830"/>
    <w:rsid w:val="005E49DE"/>
    <w:rsid w:val="005E59EB"/>
    <w:rsid w:val="005E5C82"/>
    <w:rsid w:val="005E5FF3"/>
    <w:rsid w:val="005F0DA7"/>
    <w:rsid w:val="005F1ADC"/>
    <w:rsid w:val="005F2413"/>
    <w:rsid w:val="005F4566"/>
    <w:rsid w:val="005F4672"/>
    <w:rsid w:val="005F535B"/>
    <w:rsid w:val="006013CD"/>
    <w:rsid w:val="00602AC5"/>
    <w:rsid w:val="0060608A"/>
    <w:rsid w:val="006106C8"/>
    <w:rsid w:val="006115C3"/>
    <w:rsid w:val="006133F0"/>
    <w:rsid w:val="00613F2F"/>
    <w:rsid w:val="0061688B"/>
    <w:rsid w:val="006172FB"/>
    <w:rsid w:val="0062528B"/>
    <w:rsid w:val="00625D06"/>
    <w:rsid w:val="00632072"/>
    <w:rsid w:val="0063372F"/>
    <w:rsid w:val="00635B8A"/>
    <w:rsid w:val="00636916"/>
    <w:rsid w:val="00636C70"/>
    <w:rsid w:val="00637361"/>
    <w:rsid w:val="00637F65"/>
    <w:rsid w:val="00640B11"/>
    <w:rsid w:val="0064262D"/>
    <w:rsid w:val="00645406"/>
    <w:rsid w:val="00646783"/>
    <w:rsid w:val="00651CF3"/>
    <w:rsid w:val="00651F2B"/>
    <w:rsid w:val="0065405C"/>
    <w:rsid w:val="00655003"/>
    <w:rsid w:val="00656EB2"/>
    <w:rsid w:val="00657E76"/>
    <w:rsid w:val="00660DBD"/>
    <w:rsid w:val="006615B8"/>
    <w:rsid w:val="00664976"/>
    <w:rsid w:val="00664992"/>
    <w:rsid w:val="00665C3F"/>
    <w:rsid w:val="0066690B"/>
    <w:rsid w:val="00670219"/>
    <w:rsid w:val="00672507"/>
    <w:rsid w:val="00672739"/>
    <w:rsid w:val="006736D9"/>
    <w:rsid w:val="006741BF"/>
    <w:rsid w:val="006749A2"/>
    <w:rsid w:val="006757AD"/>
    <w:rsid w:val="006763C9"/>
    <w:rsid w:val="00677B97"/>
    <w:rsid w:val="00683D43"/>
    <w:rsid w:val="00684148"/>
    <w:rsid w:val="00684C4F"/>
    <w:rsid w:val="006856D5"/>
    <w:rsid w:val="006864AD"/>
    <w:rsid w:val="006873A2"/>
    <w:rsid w:val="00690234"/>
    <w:rsid w:val="00691C7B"/>
    <w:rsid w:val="006923B3"/>
    <w:rsid w:val="00692A69"/>
    <w:rsid w:val="00694563"/>
    <w:rsid w:val="0069537A"/>
    <w:rsid w:val="00695901"/>
    <w:rsid w:val="00695FD4"/>
    <w:rsid w:val="006A140A"/>
    <w:rsid w:val="006A301B"/>
    <w:rsid w:val="006A572C"/>
    <w:rsid w:val="006A7198"/>
    <w:rsid w:val="006A7CCB"/>
    <w:rsid w:val="006A7FBF"/>
    <w:rsid w:val="006B0211"/>
    <w:rsid w:val="006B25DA"/>
    <w:rsid w:val="006B2C46"/>
    <w:rsid w:val="006B2EA5"/>
    <w:rsid w:val="006B31CF"/>
    <w:rsid w:val="006B346C"/>
    <w:rsid w:val="006B458D"/>
    <w:rsid w:val="006B737A"/>
    <w:rsid w:val="006C6FC6"/>
    <w:rsid w:val="006D4A88"/>
    <w:rsid w:val="006E08C0"/>
    <w:rsid w:val="006E0CBE"/>
    <w:rsid w:val="006E396B"/>
    <w:rsid w:val="006E3C6F"/>
    <w:rsid w:val="006E3F02"/>
    <w:rsid w:val="006E4960"/>
    <w:rsid w:val="006E5186"/>
    <w:rsid w:val="006E583D"/>
    <w:rsid w:val="006F261E"/>
    <w:rsid w:val="006F41A6"/>
    <w:rsid w:val="006F60E0"/>
    <w:rsid w:val="006F63C5"/>
    <w:rsid w:val="006F678A"/>
    <w:rsid w:val="006F6B9A"/>
    <w:rsid w:val="007007CB"/>
    <w:rsid w:val="0070082B"/>
    <w:rsid w:val="007013B4"/>
    <w:rsid w:val="007139C8"/>
    <w:rsid w:val="00731541"/>
    <w:rsid w:val="00732977"/>
    <w:rsid w:val="00733332"/>
    <w:rsid w:val="00733414"/>
    <w:rsid w:val="00733AF9"/>
    <w:rsid w:val="0073439F"/>
    <w:rsid w:val="00734F6B"/>
    <w:rsid w:val="007356C6"/>
    <w:rsid w:val="00735855"/>
    <w:rsid w:val="0074309E"/>
    <w:rsid w:val="00747494"/>
    <w:rsid w:val="007478EE"/>
    <w:rsid w:val="00752917"/>
    <w:rsid w:val="00752BFC"/>
    <w:rsid w:val="00753916"/>
    <w:rsid w:val="007560E4"/>
    <w:rsid w:val="007602D4"/>
    <w:rsid w:val="00763B39"/>
    <w:rsid w:val="007666D8"/>
    <w:rsid w:val="00767339"/>
    <w:rsid w:val="00770726"/>
    <w:rsid w:val="00771295"/>
    <w:rsid w:val="007713D8"/>
    <w:rsid w:val="00771730"/>
    <w:rsid w:val="00772921"/>
    <w:rsid w:val="00772BBD"/>
    <w:rsid w:val="00774248"/>
    <w:rsid w:val="00774AE3"/>
    <w:rsid w:val="007756A0"/>
    <w:rsid w:val="007756C8"/>
    <w:rsid w:val="00775C9D"/>
    <w:rsid w:val="00776030"/>
    <w:rsid w:val="00776D75"/>
    <w:rsid w:val="007800C3"/>
    <w:rsid w:val="0078022B"/>
    <w:rsid w:val="00780726"/>
    <w:rsid w:val="00780EB5"/>
    <w:rsid w:val="00781688"/>
    <w:rsid w:val="00782CEB"/>
    <w:rsid w:val="007833CC"/>
    <w:rsid w:val="00783B00"/>
    <w:rsid w:val="0078455A"/>
    <w:rsid w:val="007871F7"/>
    <w:rsid w:val="007873F7"/>
    <w:rsid w:val="00790EA0"/>
    <w:rsid w:val="007916C0"/>
    <w:rsid w:val="00792A2A"/>
    <w:rsid w:val="00793E02"/>
    <w:rsid w:val="007968B5"/>
    <w:rsid w:val="007A0949"/>
    <w:rsid w:val="007A0A9B"/>
    <w:rsid w:val="007A0AB1"/>
    <w:rsid w:val="007A0C7A"/>
    <w:rsid w:val="007A2F0A"/>
    <w:rsid w:val="007A44F7"/>
    <w:rsid w:val="007A5E58"/>
    <w:rsid w:val="007A7677"/>
    <w:rsid w:val="007A7F1F"/>
    <w:rsid w:val="007B1FCD"/>
    <w:rsid w:val="007B3D6F"/>
    <w:rsid w:val="007B5A40"/>
    <w:rsid w:val="007B6A7C"/>
    <w:rsid w:val="007B76DD"/>
    <w:rsid w:val="007B7ABB"/>
    <w:rsid w:val="007C1C5F"/>
    <w:rsid w:val="007C327D"/>
    <w:rsid w:val="007C3EF8"/>
    <w:rsid w:val="007C57B4"/>
    <w:rsid w:val="007D1F00"/>
    <w:rsid w:val="007D26A3"/>
    <w:rsid w:val="007D2732"/>
    <w:rsid w:val="007E3BC9"/>
    <w:rsid w:val="007E6622"/>
    <w:rsid w:val="007F29D3"/>
    <w:rsid w:val="007F4E3F"/>
    <w:rsid w:val="007F7BF5"/>
    <w:rsid w:val="008004AD"/>
    <w:rsid w:val="00801092"/>
    <w:rsid w:val="00802720"/>
    <w:rsid w:val="00811F94"/>
    <w:rsid w:val="008121EB"/>
    <w:rsid w:val="00814865"/>
    <w:rsid w:val="00817301"/>
    <w:rsid w:val="0082425E"/>
    <w:rsid w:val="00825278"/>
    <w:rsid w:val="008275B6"/>
    <w:rsid w:val="00830BD0"/>
    <w:rsid w:val="00832418"/>
    <w:rsid w:val="00832A41"/>
    <w:rsid w:val="00832EAC"/>
    <w:rsid w:val="00837A2F"/>
    <w:rsid w:val="00837B03"/>
    <w:rsid w:val="00837CB3"/>
    <w:rsid w:val="008400D0"/>
    <w:rsid w:val="00841BF6"/>
    <w:rsid w:val="00841D1E"/>
    <w:rsid w:val="008508DF"/>
    <w:rsid w:val="00852413"/>
    <w:rsid w:val="00852731"/>
    <w:rsid w:val="00852886"/>
    <w:rsid w:val="00854155"/>
    <w:rsid w:val="0085457B"/>
    <w:rsid w:val="0085460A"/>
    <w:rsid w:val="00854FE4"/>
    <w:rsid w:val="0085637B"/>
    <w:rsid w:val="00857FB1"/>
    <w:rsid w:val="008602D1"/>
    <w:rsid w:val="008602DA"/>
    <w:rsid w:val="008607A8"/>
    <w:rsid w:val="00860E38"/>
    <w:rsid w:val="00863B6F"/>
    <w:rsid w:val="0086555F"/>
    <w:rsid w:val="00865772"/>
    <w:rsid w:val="00865A96"/>
    <w:rsid w:val="00865CA5"/>
    <w:rsid w:val="0086771F"/>
    <w:rsid w:val="008708FB"/>
    <w:rsid w:val="00872360"/>
    <w:rsid w:val="00872FC6"/>
    <w:rsid w:val="00874195"/>
    <w:rsid w:val="00874EBD"/>
    <w:rsid w:val="00880F52"/>
    <w:rsid w:val="00882E46"/>
    <w:rsid w:val="00883E01"/>
    <w:rsid w:val="0088485F"/>
    <w:rsid w:val="00887FE3"/>
    <w:rsid w:val="008905CD"/>
    <w:rsid w:val="008907A3"/>
    <w:rsid w:val="00890C1B"/>
    <w:rsid w:val="008918CA"/>
    <w:rsid w:val="00892F66"/>
    <w:rsid w:val="008969ED"/>
    <w:rsid w:val="00896A09"/>
    <w:rsid w:val="008A05A0"/>
    <w:rsid w:val="008A2481"/>
    <w:rsid w:val="008A31EE"/>
    <w:rsid w:val="008A3A54"/>
    <w:rsid w:val="008A3DEC"/>
    <w:rsid w:val="008A56E3"/>
    <w:rsid w:val="008A5C01"/>
    <w:rsid w:val="008A6023"/>
    <w:rsid w:val="008A689E"/>
    <w:rsid w:val="008A7978"/>
    <w:rsid w:val="008B2C9E"/>
    <w:rsid w:val="008B3712"/>
    <w:rsid w:val="008B46F4"/>
    <w:rsid w:val="008B5A7E"/>
    <w:rsid w:val="008B5FA1"/>
    <w:rsid w:val="008B5FA8"/>
    <w:rsid w:val="008C0AFB"/>
    <w:rsid w:val="008C225D"/>
    <w:rsid w:val="008C2316"/>
    <w:rsid w:val="008C3CB8"/>
    <w:rsid w:val="008C4FD4"/>
    <w:rsid w:val="008C7495"/>
    <w:rsid w:val="008C7D4F"/>
    <w:rsid w:val="008D02AE"/>
    <w:rsid w:val="008D174E"/>
    <w:rsid w:val="008D1809"/>
    <w:rsid w:val="008D3306"/>
    <w:rsid w:val="008D6EA3"/>
    <w:rsid w:val="008D7018"/>
    <w:rsid w:val="008E04D6"/>
    <w:rsid w:val="008E066F"/>
    <w:rsid w:val="008E1ABE"/>
    <w:rsid w:val="008E49C3"/>
    <w:rsid w:val="008E592A"/>
    <w:rsid w:val="008F5385"/>
    <w:rsid w:val="008F5ADF"/>
    <w:rsid w:val="008F5BA5"/>
    <w:rsid w:val="00900001"/>
    <w:rsid w:val="0090002F"/>
    <w:rsid w:val="00900351"/>
    <w:rsid w:val="00900B39"/>
    <w:rsid w:val="00901819"/>
    <w:rsid w:val="00901C5C"/>
    <w:rsid w:val="00903FBF"/>
    <w:rsid w:val="00905979"/>
    <w:rsid w:val="00905F17"/>
    <w:rsid w:val="00906A11"/>
    <w:rsid w:val="00907175"/>
    <w:rsid w:val="0091098F"/>
    <w:rsid w:val="009111BF"/>
    <w:rsid w:val="00913ED5"/>
    <w:rsid w:val="00916C9C"/>
    <w:rsid w:val="009214DB"/>
    <w:rsid w:val="00921D31"/>
    <w:rsid w:val="00924F28"/>
    <w:rsid w:val="00925BCC"/>
    <w:rsid w:val="009268D5"/>
    <w:rsid w:val="009331DF"/>
    <w:rsid w:val="00933652"/>
    <w:rsid w:val="00934F42"/>
    <w:rsid w:val="00937475"/>
    <w:rsid w:val="0094060D"/>
    <w:rsid w:val="009420CD"/>
    <w:rsid w:val="00942EFC"/>
    <w:rsid w:val="009439CE"/>
    <w:rsid w:val="00947503"/>
    <w:rsid w:val="00950071"/>
    <w:rsid w:val="00953034"/>
    <w:rsid w:val="00954C28"/>
    <w:rsid w:val="00956575"/>
    <w:rsid w:val="00960A1B"/>
    <w:rsid w:val="00962647"/>
    <w:rsid w:val="0096724F"/>
    <w:rsid w:val="00970BB9"/>
    <w:rsid w:val="00975B9E"/>
    <w:rsid w:val="00975F12"/>
    <w:rsid w:val="009764C9"/>
    <w:rsid w:val="0097754D"/>
    <w:rsid w:val="00977728"/>
    <w:rsid w:val="0098190A"/>
    <w:rsid w:val="009831BA"/>
    <w:rsid w:val="009840C3"/>
    <w:rsid w:val="00984311"/>
    <w:rsid w:val="009867BD"/>
    <w:rsid w:val="00986D95"/>
    <w:rsid w:val="009871FA"/>
    <w:rsid w:val="00987331"/>
    <w:rsid w:val="00990518"/>
    <w:rsid w:val="00992AA5"/>
    <w:rsid w:val="00993DF4"/>
    <w:rsid w:val="00993E62"/>
    <w:rsid w:val="009960DE"/>
    <w:rsid w:val="009A1A47"/>
    <w:rsid w:val="009A27C0"/>
    <w:rsid w:val="009A2E03"/>
    <w:rsid w:val="009A6C81"/>
    <w:rsid w:val="009B121E"/>
    <w:rsid w:val="009B608D"/>
    <w:rsid w:val="009C15D5"/>
    <w:rsid w:val="009C47A1"/>
    <w:rsid w:val="009C7A88"/>
    <w:rsid w:val="009D064A"/>
    <w:rsid w:val="009D1172"/>
    <w:rsid w:val="009D1D19"/>
    <w:rsid w:val="009D26E7"/>
    <w:rsid w:val="009D339D"/>
    <w:rsid w:val="009D3B23"/>
    <w:rsid w:val="009D744A"/>
    <w:rsid w:val="009D7DE7"/>
    <w:rsid w:val="009E1B78"/>
    <w:rsid w:val="009E24ED"/>
    <w:rsid w:val="009E47C8"/>
    <w:rsid w:val="009E6748"/>
    <w:rsid w:val="009F09B3"/>
    <w:rsid w:val="009F0AF8"/>
    <w:rsid w:val="009F0C4A"/>
    <w:rsid w:val="009F0F6C"/>
    <w:rsid w:val="009F56CA"/>
    <w:rsid w:val="00A00288"/>
    <w:rsid w:val="00A0131E"/>
    <w:rsid w:val="00A02992"/>
    <w:rsid w:val="00A045D7"/>
    <w:rsid w:val="00A051F9"/>
    <w:rsid w:val="00A06B3B"/>
    <w:rsid w:val="00A07578"/>
    <w:rsid w:val="00A12C6A"/>
    <w:rsid w:val="00A173AA"/>
    <w:rsid w:val="00A173AC"/>
    <w:rsid w:val="00A17506"/>
    <w:rsid w:val="00A210A1"/>
    <w:rsid w:val="00A21ABB"/>
    <w:rsid w:val="00A231F7"/>
    <w:rsid w:val="00A2368F"/>
    <w:rsid w:val="00A24913"/>
    <w:rsid w:val="00A24A66"/>
    <w:rsid w:val="00A24FE2"/>
    <w:rsid w:val="00A26236"/>
    <w:rsid w:val="00A26376"/>
    <w:rsid w:val="00A2776D"/>
    <w:rsid w:val="00A332A5"/>
    <w:rsid w:val="00A35641"/>
    <w:rsid w:val="00A36E42"/>
    <w:rsid w:val="00A37BE6"/>
    <w:rsid w:val="00A41BD5"/>
    <w:rsid w:val="00A42160"/>
    <w:rsid w:val="00A431E1"/>
    <w:rsid w:val="00A43B82"/>
    <w:rsid w:val="00A4465F"/>
    <w:rsid w:val="00A47E6A"/>
    <w:rsid w:val="00A50EB0"/>
    <w:rsid w:val="00A511AE"/>
    <w:rsid w:val="00A519B3"/>
    <w:rsid w:val="00A5560E"/>
    <w:rsid w:val="00A57D3D"/>
    <w:rsid w:val="00A6003D"/>
    <w:rsid w:val="00A6636A"/>
    <w:rsid w:val="00A70E48"/>
    <w:rsid w:val="00A736C2"/>
    <w:rsid w:val="00A76C6F"/>
    <w:rsid w:val="00A77DAA"/>
    <w:rsid w:val="00A84217"/>
    <w:rsid w:val="00A8466E"/>
    <w:rsid w:val="00A85322"/>
    <w:rsid w:val="00A9246E"/>
    <w:rsid w:val="00A937A5"/>
    <w:rsid w:val="00A942DD"/>
    <w:rsid w:val="00A960AD"/>
    <w:rsid w:val="00AA11D1"/>
    <w:rsid w:val="00AA3149"/>
    <w:rsid w:val="00AA69DB"/>
    <w:rsid w:val="00AB068C"/>
    <w:rsid w:val="00AB23CC"/>
    <w:rsid w:val="00AB474C"/>
    <w:rsid w:val="00AB55D1"/>
    <w:rsid w:val="00AB5828"/>
    <w:rsid w:val="00AB67E4"/>
    <w:rsid w:val="00AB7083"/>
    <w:rsid w:val="00AC0BBB"/>
    <w:rsid w:val="00AC5A0B"/>
    <w:rsid w:val="00AC702C"/>
    <w:rsid w:val="00AC7A11"/>
    <w:rsid w:val="00AD1187"/>
    <w:rsid w:val="00AD137A"/>
    <w:rsid w:val="00AD2257"/>
    <w:rsid w:val="00AD48A1"/>
    <w:rsid w:val="00AD4AA0"/>
    <w:rsid w:val="00AD75A7"/>
    <w:rsid w:val="00AE0247"/>
    <w:rsid w:val="00AE63FB"/>
    <w:rsid w:val="00AF04EE"/>
    <w:rsid w:val="00AF0C95"/>
    <w:rsid w:val="00AF31B1"/>
    <w:rsid w:val="00B00D37"/>
    <w:rsid w:val="00B00F61"/>
    <w:rsid w:val="00B07D5E"/>
    <w:rsid w:val="00B104E8"/>
    <w:rsid w:val="00B11C3B"/>
    <w:rsid w:val="00B145C5"/>
    <w:rsid w:val="00B1467A"/>
    <w:rsid w:val="00B14D1C"/>
    <w:rsid w:val="00B175AA"/>
    <w:rsid w:val="00B17B38"/>
    <w:rsid w:val="00B20EE2"/>
    <w:rsid w:val="00B21585"/>
    <w:rsid w:val="00B305E1"/>
    <w:rsid w:val="00B30D84"/>
    <w:rsid w:val="00B405A1"/>
    <w:rsid w:val="00B43BBA"/>
    <w:rsid w:val="00B4412A"/>
    <w:rsid w:val="00B458B5"/>
    <w:rsid w:val="00B514FB"/>
    <w:rsid w:val="00B560AA"/>
    <w:rsid w:val="00B56852"/>
    <w:rsid w:val="00B62248"/>
    <w:rsid w:val="00B65D7C"/>
    <w:rsid w:val="00B677A9"/>
    <w:rsid w:val="00B72542"/>
    <w:rsid w:val="00B72766"/>
    <w:rsid w:val="00B743D3"/>
    <w:rsid w:val="00B773A4"/>
    <w:rsid w:val="00B81D17"/>
    <w:rsid w:val="00B81DAA"/>
    <w:rsid w:val="00B8272A"/>
    <w:rsid w:val="00B8295B"/>
    <w:rsid w:val="00B84585"/>
    <w:rsid w:val="00B864A7"/>
    <w:rsid w:val="00B87C56"/>
    <w:rsid w:val="00B91F58"/>
    <w:rsid w:val="00B92391"/>
    <w:rsid w:val="00B92BFC"/>
    <w:rsid w:val="00B932A5"/>
    <w:rsid w:val="00B951C1"/>
    <w:rsid w:val="00B97128"/>
    <w:rsid w:val="00B97136"/>
    <w:rsid w:val="00BA17CC"/>
    <w:rsid w:val="00BA2013"/>
    <w:rsid w:val="00BA2404"/>
    <w:rsid w:val="00BA6057"/>
    <w:rsid w:val="00BA653A"/>
    <w:rsid w:val="00BB3406"/>
    <w:rsid w:val="00BB4B82"/>
    <w:rsid w:val="00BC270D"/>
    <w:rsid w:val="00BC28CC"/>
    <w:rsid w:val="00BC2B46"/>
    <w:rsid w:val="00BC3046"/>
    <w:rsid w:val="00BC31E2"/>
    <w:rsid w:val="00BC375F"/>
    <w:rsid w:val="00BC5791"/>
    <w:rsid w:val="00BC7C3F"/>
    <w:rsid w:val="00BC7D0A"/>
    <w:rsid w:val="00BD1D4D"/>
    <w:rsid w:val="00BD2EF8"/>
    <w:rsid w:val="00BD4AFF"/>
    <w:rsid w:val="00BD4B06"/>
    <w:rsid w:val="00BD5B38"/>
    <w:rsid w:val="00BD62C6"/>
    <w:rsid w:val="00BE0069"/>
    <w:rsid w:val="00BE50F3"/>
    <w:rsid w:val="00BE55E8"/>
    <w:rsid w:val="00BE5FA0"/>
    <w:rsid w:val="00BE6583"/>
    <w:rsid w:val="00BF3052"/>
    <w:rsid w:val="00BF393D"/>
    <w:rsid w:val="00BF4578"/>
    <w:rsid w:val="00C03CF4"/>
    <w:rsid w:val="00C03EB9"/>
    <w:rsid w:val="00C057E6"/>
    <w:rsid w:val="00C05850"/>
    <w:rsid w:val="00C05DE1"/>
    <w:rsid w:val="00C13388"/>
    <w:rsid w:val="00C13C45"/>
    <w:rsid w:val="00C152BB"/>
    <w:rsid w:val="00C154A2"/>
    <w:rsid w:val="00C173CE"/>
    <w:rsid w:val="00C1763A"/>
    <w:rsid w:val="00C214E5"/>
    <w:rsid w:val="00C22512"/>
    <w:rsid w:val="00C22ACB"/>
    <w:rsid w:val="00C23E3C"/>
    <w:rsid w:val="00C24411"/>
    <w:rsid w:val="00C26532"/>
    <w:rsid w:val="00C2695E"/>
    <w:rsid w:val="00C27C78"/>
    <w:rsid w:val="00C31C87"/>
    <w:rsid w:val="00C34C05"/>
    <w:rsid w:val="00C37CF4"/>
    <w:rsid w:val="00C4159B"/>
    <w:rsid w:val="00C46A09"/>
    <w:rsid w:val="00C4765C"/>
    <w:rsid w:val="00C514CA"/>
    <w:rsid w:val="00C567AE"/>
    <w:rsid w:val="00C56B46"/>
    <w:rsid w:val="00C577BC"/>
    <w:rsid w:val="00C57D89"/>
    <w:rsid w:val="00C60B57"/>
    <w:rsid w:val="00C63FF2"/>
    <w:rsid w:val="00C64C60"/>
    <w:rsid w:val="00C65BD0"/>
    <w:rsid w:val="00C700BA"/>
    <w:rsid w:val="00C70B78"/>
    <w:rsid w:val="00C72CAC"/>
    <w:rsid w:val="00C731D5"/>
    <w:rsid w:val="00C74777"/>
    <w:rsid w:val="00C76000"/>
    <w:rsid w:val="00C7749D"/>
    <w:rsid w:val="00C7784E"/>
    <w:rsid w:val="00C802C6"/>
    <w:rsid w:val="00C818F8"/>
    <w:rsid w:val="00C82680"/>
    <w:rsid w:val="00C833BE"/>
    <w:rsid w:val="00C84E10"/>
    <w:rsid w:val="00C8623A"/>
    <w:rsid w:val="00C87E87"/>
    <w:rsid w:val="00C919C0"/>
    <w:rsid w:val="00C92568"/>
    <w:rsid w:val="00C95DD8"/>
    <w:rsid w:val="00CA0045"/>
    <w:rsid w:val="00CA01D5"/>
    <w:rsid w:val="00CA1E05"/>
    <w:rsid w:val="00CA20BB"/>
    <w:rsid w:val="00CA3191"/>
    <w:rsid w:val="00CA4DD1"/>
    <w:rsid w:val="00CA63E8"/>
    <w:rsid w:val="00CA6FE9"/>
    <w:rsid w:val="00CB1899"/>
    <w:rsid w:val="00CB1CD6"/>
    <w:rsid w:val="00CB4D7C"/>
    <w:rsid w:val="00CB7C0F"/>
    <w:rsid w:val="00CB7ED6"/>
    <w:rsid w:val="00CC0C76"/>
    <w:rsid w:val="00CC4CF4"/>
    <w:rsid w:val="00CC5867"/>
    <w:rsid w:val="00CC70FD"/>
    <w:rsid w:val="00CD11C6"/>
    <w:rsid w:val="00CD1AF5"/>
    <w:rsid w:val="00CD1C0B"/>
    <w:rsid w:val="00CD206A"/>
    <w:rsid w:val="00CD488E"/>
    <w:rsid w:val="00CD5241"/>
    <w:rsid w:val="00CD7228"/>
    <w:rsid w:val="00CE00CE"/>
    <w:rsid w:val="00CE033A"/>
    <w:rsid w:val="00CE1E8B"/>
    <w:rsid w:val="00CE43E0"/>
    <w:rsid w:val="00CE5EC5"/>
    <w:rsid w:val="00CF072B"/>
    <w:rsid w:val="00CF293F"/>
    <w:rsid w:val="00CF6140"/>
    <w:rsid w:val="00D01B51"/>
    <w:rsid w:val="00D02C06"/>
    <w:rsid w:val="00D02F04"/>
    <w:rsid w:val="00D02F0C"/>
    <w:rsid w:val="00D0337E"/>
    <w:rsid w:val="00D05B80"/>
    <w:rsid w:val="00D0613F"/>
    <w:rsid w:val="00D06880"/>
    <w:rsid w:val="00D12EBF"/>
    <w:rsid w:val="00D13F55"/>
    <w:rsid w:val="00D14E0F"/>
    <w:rsid w:val="00D165BA"/>
    <w:rsid w:val="00D17183"/>
    <w:rsid w:val="00D173EB"/>
    <w:rsid w:val="00D1770E"/>
    <w:rsid w:val="00D17BBA"/>
    <w:rsid w:val="00D2089D"/>
    <w:rsid w:val="00D21BD2"/>
    <w:rsid w:val="00D2251F"/>
    <w:rsid w:val="00D24749"/>
    <w:rsid w:val="00D25E2A"/>
    <w:rsid w:val="00D25F13"/>
    <w:rsid w:val="00D307A1"/>
    <w:rsid w:val="00D3158F"/>
    <w:rsid w:val="00D345C0"/>
    <w:rsid w:val="00D379BF"/>
    <w:rsid w:val="00D40EB2"/>
    <w:rsid w:val="00D4394C"/>
    <w:rsid w:val="00D45A03"/>
    <w:rsid w:val="00D46FC5"/>
    <w:rsid w:val="00D47469"/>
    <w:rsid w:val="00D47FA8"/>
    <w:rsid w:val="00D50175"/>
    <w:rsid w:val="00D50333"/>
    <w:rsid w:val="00D506A5"/>
    <w:rsid w:val="00D50D84"/>
    <w:rsid w:val="00D51DF9"/>
    <w:rsid w:val="00D525BF"/>
    <w:rsid w:val="00D57C1C"/>
    <w:rsid w:val="00D60DCD"/>
    <w:rsid w:val="00D6146E"/>
    <w:rsid w:val="00D65C90"/>
    <w:rsid w:val="00D66387"/>
    <w:rsid w:val="00D70241"/>
    <w:rsid w:val="00D70D8D"/>
    <w:rsid w:val="00D716FB"/>
    <w:rsid w:val="00D76A4B"/>
    <w:rsid w:val="00D82C37"/>
    <w:rsid w:val="00D87782"/>
    <w:rsid w:val="00D92B2E"/>
    <w:rsid w:val="00D94518"/>
    <w:rsid w:val="00D9708C"/>
    <w:rsid w:val="00DA0F7B"/>
    <w:rsid w:val="00DA18E3"/>
    <w:rsid w:val="00DA2137"/>
    <w:rsid w:val="00DA2BE1"/>
    <w:rsid w:val="00DA564C"/>
    <w:rsid w:val="00DA715E"/>
    <w:rsid w:val="00DA74DB"/>
    <w:rsid w:val="00DB0909"/>
    <w:rsid w:val="00DB101B"/>
    <w:rsid w:val="00DB4726"/>
    <w:rsid w:val="00DC29F7"/>
    <w:rsid w:val="00DC4F36"/>
    <w:rsid w:val="00DD3235"/>
    <w:rsid w:val="00DD3CE9"/>
    <w:rsid w:val="00DD41BF"/>
    <w:rsid w:val="00DE2BCF"/>
    <w:rsid w:val="00DF0707"/>
    <w:rsid w:val="00DF0813"/>
    <w:rsid w:val="00DF4DFB"/>
    <w:rsid w:val="00DF69E6"/>
    <w:rsid w:val="00E01DAE"/>
    <w:rsid w:val="00E02E38"/>
    <w:rsid w:val="00E052BB"/>
    <w:rsid w:val="00E06377"/>
    <w:rsid w:val="00E07858"/>
    <w:rsid w:val="00E110DB"/>
    <w:rsid w:val="00E11564"/>
    <w:rsid w:val="00E119B7"/>
    <w:rsid w:val="00E1324E"/>
    <w:rsid w:val="00E14268"/>
    <w:rsid w:val="00E1699F"/>
    <w:rsid w:val="00E222E1"/>
    <w:rsid w:val="00E232AA"/>
    <w:rsid w:val="00E238C2"/>
    <w:rsid w:val="00E2496A"/>
    <w:rsid w:val="00E257B6"/>
    <w:rsid w:val="00E311B6"/>
    <w:rsid w:val="00E311C9"/>
    <w:rsid w:val="00E33147"/>
    <w:rsid w:val="00E34968"/>
    <w:rsid w:val="00E34A83"/>
    <w:rsid w:val="00E36A2C"/>
    <w:rsid w:val="00E37A4E"/>
    <w:rsid w:val="00E40E89"/>
    <w:rsid w:val="00E528BC"/>
    <w:rsid w:val="00E53F9B"/>
    <w:rsid w:val="00E55752"/>
    <w:rsid w:val="00E558DB"/>
    <w:rsid w:val="00E55AA0"/>
    <w:rsid w:val="00E5673A"/>
    <w:rsid w:val="00E57A32"/>
    <w:rsid w:val="00E60698"/>
    <w:rsid w:val="00E610A2"/>
    <w:rsid w:val="00E64724"/>
    <w:rsid w:val="00E668A3"/>
    <w:rsid w:val="00E7063A"/>
    <w:rsid w:val="00E71544"/>
    <w:rsid w:val="00E717BE"/>
    <w:rsid w:val="00E728A4"/>
    <w:rsid w:val="00E73036"/>
    <w:rsid w:val="00E730BD"/>
    <w:rsid w:val="00E75B43"/>
    <w:rsid w:val="00E7617B"/>
    <w:rsid w:val="00E85323"/>
    <w:rsid w:val="00E863D6"/>
    <w:rsid w:val="00E91F96"/>
    <w:rsid w:val="00E9419D"/>
    <w:rsid w:val="00E94905"/>
    <w:rsid w:val="00E95270"/>
    <w:rsid w:val="00E9564C"/>
    <w:rsid w:val="00E96D93"/>
    <w:rsid w:val="00E97D16"/>
    <w:rsid w:val="00EA1260"/>
    <w:rsid w:val="00EB0203"/>
    <w:rsid w:val="00EB1372"/>
    <w:rsid w:val="00EB3BA2"/>
    <w:rsid w:val="00EB5E1D"/>
    <w:rsid w:val="00EB5F4C"/>
    <w:rsid w:val="00EB6C89"/>
    <w:rsid w:val="00EC5602"/>
    <w:rsid w:val="00ED02A1"/>
    <w:rsid w:val="00ED0C27"/>
    <w:rsid w:val="00EE0910"/>
    <w:rsid w:val="00EE199F"/>
    <w:rsid w:val="00EE1A01"/>
    <w:rsid w:val="00EE4689"/>
    <w:rsid w:val="00EE5431"/>
    <w:rsid w:val="00EE6CC0"/>
    <w:rsid w:val="00EF2336"/>
    <w:rsid w:val="00EF24A5"/>
    <w:rsid w:val="00EF2F07"/>
    <w:rsid w:val="00EF3435"/>
    <w:rsid w:val="00EF3BA4"/>
    <w:rsid w:val="00EF3CF8"/>
    <w:rsid w:val="00EF3F95"/>
    <w:rsid w:val="00EF59B1"/>
    <w:rsid w:val="00F034D5"/>
    <w:rsid w:val="00F129A6"/>
    <w:rsid w:val="00F1324A"/>
    <w:rsid w:val="00F134D2"/>
    <w:rsid w:val="00F13F95"/>
    <w:rsid w:val="00F16B7E"/>
    <w:rsid w:val="00F171C7"/>
    <w:rsid w:val="00F20F7B"/>
    <w:rsid w:val="00F22F33"/>
    <w:rsid w:val="00F23A0D"/>
    <w:rsid w:val="00F26CC9"/>
    <w:rsid w:val="00F3120E"/>
    <w:rsid w:val="00F3193A"/>
    <w:rsid w:val="00F320AC"/>
    <w:rsid w:val="00F33597"/>
    <w:rsid w:val="00F3390B"/>
    <w:rsid w:val="00F35715"/>
    <w:rsid w:val="00F35A8F"/>
    <w:rsid w:val="00F36488"/>
    <w:rsid w:val="00F36F0E"/>
    <w:rsid w:val="00F43B79"/>
    <w:rsid w:val="00F4651A"/>
    <w:rsid w:val="00F50D4C"/>
    <w:rsid w:val="00F52610"/>
    <w:rsid w:val="00F54302"/>
    <w:rsid w:val="00F610C7"/>
    <w:rsid w:val="00F63D76"/>
    <w:rsid w:val="00F65177"/>
    <w:rsid w:val="00F658D6"/>
    <w:rsid w:val="00F668ED"/>
    <w:rsid w:val="00F676C3"/>
    <w:rsid w:val="00F67BAE"/>
    <w:rsid w:val="00F7084C"/>
    <w:rsid w:val="00F7156D"/>
    <w:rsid w:val="00F71DB9"/>
    <w:rsid w:val="00F7545F"/>
    <w:rsid w:val="00F767AF"/>
    <w:rsid w:val="00F76BD3"/>
    <w:rsid w:val="00F80E9E"/>
    <w:rsid w:val="00F815C6"/>
    <w:rsid w:val="00F8190F"/>
    <w:rsid w:val="00F81F1D"/>
    <w:rsid w:val="00F960A3"/>
    <w:rsid w:val="00F96886"/>
    <w:rsid w:val="00FA3D6E"/>
    <w:rsid w:val="00FA4716"/>
    <w:rsid w:val="00FA70D6"/>
    <w:rsid w:val="00FA78DA"/>
    <w:rsid w:val="00FA7C2D"/>
    <w:rsid w:val="00FB0128"/>
    <w:rsid w:val="00FB1240"/>
    <w:rsid w:val="00FB67BC"/>
    <w:rsid w:val="00FC3131"/>
    <w:rsid w:val="00FC4925"/>
    <w:rsid w:val="00FC4F2D"/>
    <w:rsid w:val="00FC5D4A"/>
    <w:rsid w:val="00FC74CB"/>
    <w:rsid w:val="00FD1177"/>
    <w:rsid w:val="00FD3A62"/>
    <w:rsid w:val="00FD3F9B"/>
    <w:rsid w:val="00FE3E96"/>
    <w:rsid w:val="00FE74D2"/>
    <w:rsid w:val="00FF00DF"/>
    <w:rsid w:val="00FF12A5"/>
    <w:rsid w:val="00FF1D50"/>
    <w:rsid w:val="00FF37BB"/>
    <w:rsid w:val="00FF63CA"/>
    <w:rsid w:val="00FF67A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B92BFC"/>
    <w:pPr>
      <w:tabs>
        <w:tab w:val="left" w:pos="567"/>
      </w:tabs>
      <w:spacing w:line="360" w:lineRule="auto"/>
      <w:jc w:val="both"/>
    </w:pPr>
    <w:rPr>
      <w:rFonts w:ascii="Arial" w:hAnsi="Arial" w:cs="Arial"/>
      <w:sz w:val="22"/>
      <w:szCs w:val="22"/>
      <w:lang w:eastAsia="pl-PL"/>
    </w:rPr>
  </w:style>
  <w:style w:type="paragraph" w:styleId="Nagwek1">
    <w:name w:val="heading 1"/>
    <w:aliases w:val="h1,Heading1,1,11,12,111,13,112,121,1111"/>
    <w:basedOn w:val="Normalny"/>
    <w:next w:val="Normalny"/>
    <w:qFormat/>
    <w:rsid w:val="00B92BFC"/>
    <w:pPr>
      <w:keepNext/>
      <w:spacing w:before="240" w:after="60"/>
      <w:outlineLvl w:val="0"/>
    </w:pPr>
    <w:rPr>
      <w:b/>
      <w:bCs/>
      <w:kern w:val="32"/>
      <w:sz w:val="32"/>
      <w:szCs w:val="32"/>
    </w:rPr>
  </w:style>
  <w:style w:type="paragraph" w:styleId="Nagwek2">
    <w:name w:val="heading 2"/>
    <w:basedOn w:val="Normalny"/>
    <w:next w:val="Normalny"/>
    <w:autoRedefine/>
    <w:qFormat/>
    <w:rsid w:val="0000694E"/>
    <w:pPr>
      <w:keepNext/>
      <w:tabs>
        <w:tab w:val="clear" w:pos="567"/>
      </w:tabs>
      <w:spacing w:before="480" w:after="480"/>
      <w:outlineLvl w:val="1"/>
    </w:pPr>
    <w:rPr>
      <w:sz w:val="28"/>
      <w:szCs w:val="28"/>
      <w:lang w:val="pl-PL"/>
    </w:rPr>
  </w:style>
  <w:style w:type="paragraph" w:styleId="Nagwek3">
    <w:name w:val="heading 3"/>
    <w:aliases w:val="Nagłówek 3 Znak Znak,Nagłówek 3 Znak1"/>
    <w:basedOn w:val="Normalny"/>
    <w:next w:val="Normalny"/>
    <w:link w:val="Nagwek3Znak"/>
    <w:autoRedefine/>
    <w:qFormat/>
    <w:rsid w:val="00B92BFC"/>
    <w:pPr>
      <w:keepNext/>
      <w:numPr>
        <w:ilvl w:val="3"/>
        <w:numId w:val="23"/>
      </w:numPr>
      <w:tabs>
        <w:tab w:val="clear" w:pos="567"/>
      </w:tabs>
      <w:spacing w:before="240" w:after="120" w:line="240" w:lineRule="auto"/>
      <w:outlineLvl w:val="2"/>
    </w:pPr>
    <w:rPr>
      <w:b/>
      <w:bCs/>
      <w:sz w:val="24"/>
      <w:szCs w:val="24"/>
      <w:lang w:val="pl-PL"/>
    </w:rPr>
  </w:style>
  <w:style w:type="paragraph" w:styleId="Nagwek4">
    <w:name w:val="heading 4"/>
    <w:basedOn w:val="Normalny"/>
    <w:next w:val="Normalny"/>
    <w:qFormat/>
    <w:rsid w:val="000E438A"/>
    <w:pPr>
      <w:keepNext/>
      <w:numPr>
        <w:ilvl w:val="3"/>
        <w:numId w:val="1"/>
      </w:numPr>
      <w:spacing w:before="240" w:after="60"/>
      <w:outlineLvl w:val="3"/>
    </w:pPr>
    <w:rPr>
      <w:b/>
      <w:bCs/>
      <w:sz w:val="28"/>
      <w:szCs w:val="28"/>
    </w:rPr>
  </w:style>
  <w:style w:type="paragraph" w:styleId="Nagwek5">
    <w:name w:val="heading 5"/>
    <w:basedOn w:val="Normalny"/>
    <w:next w:val="Normalny"/>
    <w:autoRedefine/>
    <w:qFormat/>
    <w:rsid w:val="00B92BFC"/>
    <w:pPr>
      <w:keepNext/>
      <w:tabs>
        <w:tab w:val="clear" w:pos="567"/>
        <w:tab w:val="num" w:pos="1008"/>
      </w:tabs>
      <w:ind w:left="1008" w:hanging="1008"/>
      <w:outlineLvl w:val="4"/>
    </w:pPr>
    <w:rPr>
      <w:b/>
      <w:bCs/>
      <w:sz w:val="24"/>
      <w:szCs w:val="24"/>
      <w:lang w:val="pl-PL"/>
    </w:rPr>
  </w:style>
  <w:style w:type="paragraph" w:styleId="Nagwek6">
    <w:name w:val="heading 6"/>
    <w:basedOn w:val="Normalny"/>
    <w:next w:val="Normalny"/>
    <w:qFormat/>
    <w:rsid w:val="0000694E"/>
    <w:pPr>
      <w:keepNext/>
      <w:tabs>
        <w:tab w:val="clear" w:pos="567"/>
      </w:tabs>
      <w:outlineLvl w:val="5"/>
    </w:pPr>
    <w:rPr>
      <w:u w:val="single"/>
      <w:lang w:val="pl-PL"/>
    </w:rPr>
  </w:style>
  <w:style w:type="paragraph" w:styleId="Nagwek7">
    <w:name w:val="heading 7"/>
    <w:basedOn w:val="Normalny"/>
    <w:next w:val="Normalny"/>
    <w:qFormat/>
    <w:rsid w:val="0000694E"/>
    <w:pPr>
      <w:keepNext/>
      <w:tabs>
        <w:tab w:val="clear" w:pos="567"/>
      </w:tabs>
      <w:outlineLvl w:val="6"/>
    </w:pPr>
    <w:rPr>
      <w:b/>
      <w:bCs/>
      <w:lang w:val="pl-PL"/>
    </w:rPr>
  </w:style>
  <w:style w:type="paragraph" w:styleId="Nagwek8">
    <w:name w:val="heading 8"/>
    <w:basedOn w:val="Normalny"/>
    <w:next w:val="Normalny"/>
    <w:qFormat/>
    <w:rsid w:val="0000694E"/>
    <w:pPr>
      <w:keepNext/>
      <w:tabs>
        <w:tab w:val="clear" w:pos="567"/>
      </w:tabs>
      <w:outlineLvl w:val="7"/>
    </w:pPr>
    <w:rPr>
      <w:i/>
      <w:iCs/>
      <w:lang w:val="pl-PL"/>
    </w:rPr>
  </w:style>
  <w:style w:type="paragraph" w:styleId="Nagwek9">
    <w:name w:val="heading 9"/>
    <w:basedOn w:val="Normalny"/>
    <w:next w:val="Normalny"/>
    <w:qFormat/>
    <w:rsid w:val="0000694E"/>
    <w:pPr>
      <w:keepNext/>
      <w:tabs>
        <w:tab w:val="clear" w:pos="567"/>
      </w:tabs>
      <w:outlineLvl w:val="8"/>
    </w:pPr>
    <w:rPr>
      <w:b/>
      <w:bCs/>
      <w:sz w:val="28"/>
      <w:szCs w:val="28"/>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aliases w:val="Nagłówek 3 Znak Znak Znak,Nagłówek 3 Znak1 Znak"/>
    <w:link w:val="Nagwek3"/>
    <w:locked/>
    <w:rsid w:val="00B92BFC"/>
    <w:rPr>
      <w:rFonts w:ascii="Arial" w:hAnsi="Arial" w:cs="Arial"/>
      <w:b/>
      <w:bCs/>
      <w:sz w:val="24"/>
      <w:szCs w:val="24"/>
      <w:lang w:val="pl-PL" w:eastAsia="pl-PL" w:bidi="ar-SA"/>
    </w:rPr>
  </w:style>
  <w:style w:type="paragraph" w:customStyle="1" w:styleId="CharChar1">
    <w:name w:val="Char Char1"/>
    <w:basedOn w:val="Normalny"/>
    <w:autoRedefine/>
    <w:rsid w:val="00B92BFC"/>
    <w:pPr>
      <w:tabs>
        <w:tab w:val="clear" w:pos="567"/>
      </w:tabs>
      <w:spacing w:after="120" w:line="240" w:lineRule="exact"/>
      <w:jc w:val="left"/>
    </w:pPr>
    <w:rPr>
      <w:sz w:val="20"/>
      <w:szCs w:val="20"/>
      <w:lang w:eastAsia="en-US"/>
    </w:rPr>
  </w:style>
  <w:style w:type="paragraph" w:customStyle="1" w:styleId="StylNagwek4Arial12ptWyjustowanyPrzed0ptPo0">
    <w:name w:val="Styl Nagłówek 4 + Arial 12 pt Wyjustowany Przed:  0 pt Po:  0 ..."/>
    <w:basedOn w:val="Nagwek4"/>
    <w:autoRedefine/>
    <w:rsid w:val="000E438A"/>
    <w:pPr>
      <w:autoSpaceDE w:val="0"/>
      <w:autoSpaceDN w:val="0"/>
      <w:spacing w:before="0" w:after="0"/>
    </w:pPr>
    <w:rPr>
      <w:sz w:val="24"/>
      <w:szCs w:val="20"/>
    </w:rPr>
  </w:style>
  <w:style w:type="paragraph" w:customStyle="1" w:styleId="Styl1">
    <w:name w:val="Styl1"/>
    <w:basedOn w:val="Normalny"/>
    <w:autoRedefine/>
    <w:rsid w:val="00B92BFC"/>
    <w:pPr>
      <w:numPr>
        <w:numId w:val="11"/>
      </w:numPr>
      <w:tabs>
        <w:tab w:val="clear" w:pos="1080"/>
        <w:tab w:val="num" w:pos="792"/>
      </w:tabs>
      <w:ind w:left="792" w:hanging="432"/>
    </w:pPr>
  </w:style>
  <w:style w:type="paragraph" w:customStyle="1" w:styleId="Styl2">
    <w:name w:val="Styl2"/>
    <w:basedOn w:val="Normalny"/>
    <w:rsid w:val="00B92BFC"/>
    <w:pPr>
      <w:numPr>
        <w:numId w:val="1"/>
      </w:numPr>
    </w:pPr>
  </w:style>
  <w:style w:type="paragraph" w:styleId="Nagwek">
    <w:name w:val="header"/>
    <w:aliases w:val="hd,ContentsHeader,Cover Page"/>
    <w:basedOn w:val="Normalny"/>
    <w:link w:val="NagwekZnak"/>
    <w:rsid w:val="00B92BFC"/>
    <w:pPr>
      <w:tabs>
        <w:tab w:val="center" w:pos="4536"/>
        <w:tab w:val="right" w:pos="9072"/>
      </w:tabs>
    </w:pPr>
  </w:style>
  <w:style w:type="character" w:customStyle="1" w:styleId="NagwekZnak">
    <w:name w:val="Nagłówek Znak"/>
    <w:aliases w:val="hd Znak,ContentsHeader Znak,Cover Page Znak"/>
    <w:link w:val="Nagwek"/>
    <w:uiPriority w:val="99"/>
    <w:locked/>
    <w:rsid w:val="00B92BFC"/>
    <w:rPr>
      <w:rFonts w:ascii="Arial" w:hAnsi="Arial" w:cs="Arial"/>
      <w:sz w:val="22"/>
      <w:szCs w:val="22"/>
      <w:lang w:val="en-US" w:eastAsia="pl-PL" w:bidi="ar-SA"/>
    </w:rPr>
  </w:style>
  <w:style w:type="paragraph" w:styleId="Tekstpodstawowy">
    <w:name w:val="Body Text"/>
    <w:aliases w:val="b,b1"/>
    <w:basedOn w:val="Normalny"/>
    <w:rsid w:val="00B92BFC"/>
    <w:pPr>
      <w:tabs>
        <w:tab w:val="clear" w:pos="567"/>
      </w:tabs>
      <w:spacing w:line="240" w:lineRule="auto"/>
    </w:pPr>
    <w:rPr>
      <w:sz w:val="24"/>
      <w:szCs w:val="24"/>
      <w:lang w:val="pl-PL"/>
    </w:rPr>
  </w:style>
  <w:style w:type="paragraph" w:styleId="Tekstpodstawowy3">
    <w:name w:val="Body Text 3"/>
    <w:basedOn w:val="Normalny"/>
    <w:rsid w:val="00B92BFC"/>
    <w:pPr>
      <w:numPr>
        <w:numId w:val="4"/>
      </w:numPr>
    </w:pPr>
    <w:rPr>
      <w:color w:val="0000FF"/>
      <w:lang w:val="pl-PL"/>
    </w:rPr>
  </w:style>
  <w:style w:type="paragraph" w:styleId="Listapunktowana">
    <w:name w:val="List Bullet"/>
    <w:basedOn w:val="Normalny"/>
    <w:autoRedefine/>
    <w:rsid w:val="00E311C9"/>
    <w:pPr>
      <w:tabs>
        <w:tab w:val="clear" w:pos="567"/>
        <w:tab w:val="left" w:pos="284"/>
        <w:tab w:val="num" w:pos="926"/>
        <w:tab w:val="left" w:pos="1134"/>
      </w:tabs>
      <w:spacing w:line="280" w:lineRule="atLeast"/>
      <w:ind w:left="926" w:hanging="360"/>
      <w:jc w:val="left"/>
    </w:pPr>
  </w:style>
  <w:style w:type="paragraph" w:styleId="Listanumerowana4">
    <w:name w:val="List Number 4"/>
    <w:basedOn w:val="Normalny"/>
    <w:rsid w:val="00B92BFC"/>
    <w:pPr>
      <w:numPr>
        <w:numId w:val="2"/>
      </w:numPr>
      <w:tabs>
        <w:tab w:val="clear" w:pos="567"/>
        <w:tab w:val="num" w:pos="1080"/>
        <w:tab w:val="left" w:pos="1134"/>
        <w:tab w:val="left" w:pos="1418"/>
      </w:tabs>
      <w:spacing w:line="280" w:lineRule="atLeast"/>
      <w:ind w:left="1080"/>
      <w:jc w:val="left"/>
    </w:pPr>
  </w:style>
  <w:style w:type="paragraph" w:styleId="Tekstpodstawowywcity">
    <w:name w:val="Body Text Indent"/>
    <w:basedOn w:val="Normalny"/>
    <w:rsid w:val="00B92BFC"/>
    <w:pPr>
      <w:spacing w:before="120"/>
      <w:ind w:left="284"/>
    </w:pPr>
    <w:rPr>
      <w:sz w:val="24"/>
      <w:szCs w:val="24"/>
      <w:lang w:val="pl-PL"/>
    </w:rPr>
  </w:style>
  <w:style w:type="paragraph" w:styleId="Tekstpodstawowy2">
    <w:name w:val="Body Text 2"/>
    <w:basedOn w:val="Normalny"/>
    <w:rsid w:val="00B92BFC"/>
  </w:style>
  <w:style w:type="paragraph" w:styleId="Spistreci1">
    <w:name w:val="toc 1"/>
    <w:basedOn w:val="Normalny"/>
    <w:next w:val="Normalny"/>
    <w:autoRedefine/>
    <w:uiPriority w:val="39"/>
    <w:rsid w:val="00B92BFC"/>
    <w:pPr>
      <w:tabs>
        <w:tab w:val="clear" w:pos="567"/>
        <w:tab w:val="right" w:leader="dot" w:pos="9062"/>
      </w:tabs>
      <w:spacing w:before="120"/>
      <w:ind w:left="1021" w:hanging="1021"/>
      <w:jc w:val="left"/>
    </w:pPr>
    <w:rPr>
      <w:b/>
      <w:bCs/>
      <w:noProof/>
    </w:rPr>
  </w:style>
  <w:style w:type="paragraph" w:styleId="Spistreci2">
    <w:name w:val="toc 2"/>
    <w:basedOn w:val="Normalny"/>
    <w:next w:val="Spistreci1"/>
    <w:autoRedefine/>
    <w:uiPriority w:val="39"/>
    <w:rsid w:val="00B92BFC"/>
    <w:pPr>
      <w:tabs>
        <w:tab w:val="clear" w:pos="567"/>
      </w:tabs>
      <w:spacing w:before="120"/>
      <w:ind w:left="397" w:hanging="397"/>
      <w:jc w:val="left"/>
    </w:pPr>
    <w:rPr>
      <w:b/>
      <w:bCs/>
    </w:rPr>
  </w:style>
  <w:style w:type="paragraph" w:styleId="Spistreci3">
    <w:name w:val="toc 3"/>
    <w:basedOn w:val="Normalny"/>
    <w:next w:val="Normalny"/>
    <w:autoRedefine/>
    <w:uiPriority w:val="39"/>
    <w:rsid w:val="00B92BFC"/>
    <w:pPr>
      <w:tabs>
        <w:tab w:val="clear" w:pos="567"/>
      </w:tabs>
      <w:ind w:left="1021" w:hanging="624"/>
      <w:jc w:val="left"/>
    </w:pPr>
  </w:style>
  <w:style w:type="paragraph" w:styleId="Spistreci4">
    <w:name w:val="toc 4"/>
    <w:basedOn w:val="Normalny"/>
    <w:next w:val="Normalny"/>
    <w:autoRedefine/>
    <w:uiPriority w:val="39"/>
    <w:rsid w:val="00B92BFC"/>
    <w:pPr>
      <w:tabs>
        <w:tab w:val="clear" w:pos="567"/>
      </w:tabs>
      <w:ind w:left="1588" w:hanging="794"/>
      <w:jc w:val="left"/>
    </w:pPr>
  </w:style>
  <w:style w:type="paragraph" w:styleId="Spistreci5">
    <w:name w:val="toc 5"/>
    <w:basedOn w:val="Normalny"/>
    <w:next w:val="Normalny"/>
    <w:autoRedefine/>
    <w:uiPriority w:val="39"/>
    <w:rsid w:val="00B92BFC"/>
    <w:pPr>
      <w:tabs>
        <w:tab w:val="clear" w:pos="567"/>
      </w:tabs>
      <w:ind w:left="1815" w:hanging="624"/>
      <w:jc w:val="left"/>
    </w:pPr>
  </w:style>
  <w:style w:type="paragraph" w:styleId="Spistreci6">
    <w:name w:val="toc 6"/>
    <w:basedOn w:val="Normalny"/>
    <w:next w:val="Normalny"/>
    <w:autoRedefine/>
    <w:uiPriority w:val="39"/>
    <w:rsid w:val="00B92BFC"/>
    <w:pPr>
      <w:tabs>
        <w:tab w:val="clear" w:pos="567"/>
      </w:tabs>
      <w:ind w:left="624" w:hanging="624"/>
      <w:jc w:val="left"/>
    </w:pPr>
  </w:style>
  <w:style w:type="paragraph" w:styleId="Spistreci7">
    <w:name w:val="toc 7"/>
    <w:basedOn w:val="Normalny"/>
    <w:next w:val="Normalny"/>
    <w:autoRedefine/>
    <w:uiPriority w:val="39"/>
    <w:rsid w:val="00B92BFC"/>
    <w:pPr>
      <w:tabs>
        <w:tab w:val="clear" w:pos="567"/>
      </w:tabs>
      <w:ind w:left="624" w:hanging="624"/>
      <w:jc w:val="left"/>
    </w:pPr>
  </w:style>
  <w:style w:type="character" w:styleId="Hipercze">
    <w:name w:val="Hyperlink"/>
    <w:uiPriority w:val="99"/>
    <w:rsid w:val="00B92BFC"/>
    <w:rPr>
      <w:color w:val="0000FF"/>
      <w:u w:val="single"/>
    </w:rPr>
  </w:style>
  <w:style w:type="paragraph" w:styleId="Listapunktowana2">
    <w:name w:val="List Bullet 2"/>
    <w:basedOn w:val="Normalny"/>
    <w:autoRedefine/>
    <w:rsid w:val="00B92BFC"/>
    <w:pPr>
      <w:tabs>
        <w:tab w:val="left" w:pos="1134"/>
      </w:tabs>
      <w:spacing w:line="280" w:lineRule="atLeast"/>
      <w:ind w:left="851" w:hanging="284"/>
      <w:jc w:val="left"/>
    </w:pPr>
  </w:style>
  <w:style w:type="paragraph" w:styleId="Listapunktowana3">
    <w:name w:val="List Bullet 3"/>
    <w:basedOn w:val="Normalny"/>
    <w:autoRedefine/>
    <w:rsid w:val="00B92BFC"/>
    <w:pPr>
      <w:tabs>
        <w:tab w:val="clear" w:pos="567"/>
        <w:tab w:val="left" w:pos="851"/>
        <w:tab w:val="left" w:pos="1134"/>
      </w:tabs>
      <w:spacing w:line="280" w:lineRule="atLeast"/>
      <w:ind w:left="1135" w:hanging="284"/>
      <w:jc w:val="left"/>
    </w:pPr>
  </w:style>
  <w:style w:type="paragraph" w:styleId="Listapunktowana4">
    <w:name w:val="List Bullet 4"/>
    <w:basedOn w:val="Normalny"/>
    <w:autoRedefine/>
    <w:rsid w:val="00B92BFC"/>
    <w:pPr>
      <w:tabs>
        <w:tab w:val="clear" w:pos="567"/>
        <w:tab w:val="left" w:pos="1134"/>
      </w:tabs>
      <w:spacing w:line="280" w:lineRule="atLeast"/>
      <w:ind w:left="1418" w:hanging="284"/>
      <w:jc w:val="left"/>
    </w:pPr>
  </w:style>
  <w:style w:type="paragraph" w:styleId="Listanumerowana">
    <w:name w:val="List Number"/>
    <w:basedOn w:val="Normalny"/>
    <w:rsid w:val="00B92BFC"/>
    <w:pPr>
      <w:tabs>
        <w:tab w:val="clear" w:pos="567"/>
        <w:tab w:val="left" w:pos="284"/>
        <w:tab w:val="left" w:pos="1134"/>
      </w:tabs>
      <w:spacing w:line="280" w:lineRule="atLeast"/>
      <w:ind w:left="284" w:hanging="284"/>
      <w:jc w:val="left"/>
    </w:pPr>
  </w:style>
  <w:style w:type="paragraph" w:styleId="Listanumerowana2">
    <w:name w:val="List Number 2"/>
    <w:basedOn w:val="Normalny"/>
    <w:rsid w:val="00B92BFC"/>
    <w:pPr>
      <w:numPr>
        <w:numId w:val="10"/>
      </w:numPr>
      <w:tabs>
        <w:tab w:val="clear" w:pos="567"/>
        <w:tab w:val="num" w:pos="574"/>
        <w:tab w:val="left" w:pos="1134"/>
        <w:tab w:val="num" w:pos="1209"/>
      </w:tabs>
      <w:spacing w:line="280" w:lineRule="atLeast"/>
      <w:ind w:left="851" w:hanging="284"/>
      <w:jc w:val="left"/>
    </w:pPr>
  </w:style>
  <w:style w:type="paragraph" w:styleId="Listanumerowana3">
    <w:name w:val="List Number 3"/>
    <w:basedOn w:val="Normalny"/>
    <w:rsid w:val="00B92BFC"/>
    <w:pPr>
      <w:numPr>
        <w:numId w:val="3"/>
      </w:numPr>
      <w:tabs>
        <w:tab w:val="clear" w:pos="567"/>
        <w:tab w:val="num" w:pos="283"/>
        <w:tab w:val="left" w:pos="851"/>
        <w:tab w:val="num" w:pos="1080"/>
        <w:tab w:val="left" w:pos="1134"/>
      </w:tabs>
      <w:spacing w:line="280" w:lineRule="atLeast"/>
      <w:ind w:left="1135" w:hanging="284"/>
      <w:jc w:val="left"/>
    </w:pPr>
  </w:style>
  <w:style w:type="paragraph" w:styleId="Listanumerowana5">
    <w:name w:val="List Number 5"/>
    <w:basedOn w:val="Normalny"/>
    <w:rsid w:val="00B92BFC"/>
    <w:pPr>
      <w:tabs>
        <w:tab w:val="clear" w:pos="567"/>
        <w:tab w:val="num" w:pos="1080"/>
        <w:tab w:val="left" w:pos="1134"/>
        <w:tab w:val="left" w:pos="1418"/>
      </w:tabs>
      <w:spacing w:line="280" w:lineRule="atLeast"/>
      <w:ind w:left="360" w:hanging="360"/>
      <w:jc w:val="left"/>
    </w:pPr>
  </w:style>
  <w:style w:type="paragraph" w:styleId="Listapunktowana5">
    <w:name w:val="List Bullet 5"/>
    <w:basedOn w:val="Normalny"/>
    <w:autoRedefine/>
    <w:rsid w:val="00B92BFC"/>
    <w:pPr>
      <w:numPr>
        <w:numId w:val="19"/>
      </w:numPr>
      <w:tabs>
        <w:tab w:val="clear" w:pos="283"/>
        <w:tab w:val="clear" w:pos="567"/>
        <w:tab w:val="left" w:pos="1134"/>
        <w:tab w:val="left" w:pos="1418"/>
      </w:tabs>
      <w:spacing w:line="280" w:lineRule="atLeast"/>
      <w:ind w:left="1702" w:hanging="284"/>
      <w:jc w:val="left"/>
    </w:pPr>
  </w:style>
  <w:style w:type="paragraph" w:customStyle="1" w:styleId="AA1stlevelbullet">
    <w:name w:val="AA 1st level bullet"/>
    <w:basedOn w:val="Normalny"/>
    <w:rsid w:val="00B92BFC"/>
    <w:pPr>
      <w:tabs>
        <w:tab w:val="clear" w:pos="567"/>
        <w:tab w:val="num" w:pos="926"/>
        <w:tab w:val="num" w:pos="1492"/>
      </w:tabs>
      <w:spacing w:line="280" w:lineRule="atLeast"/>
      <w:ind w:left="284" w:hanging="284"/>
      <w:jc w:val="left"/>
    </w:pPr>
  </w:style>
  <w:style w:type="paragraph" w:customStyle="1" w:styleId="AA2ndlevelbullet">
    <w:name w:val="AA 2nd level bullet"/>
    <w:basedOn w:val="AA1stlevelbullet"/>
    <w:rsid w:val="00B92BFC"/>
    <w:pPr>
      <w:tabs>
        <w:tab w:val="clear" w:pos="926"/>
      </w:tabs>
      <w:ind w:left="0" w:firstLine="0"/>
    </w:pPr>
  </w:style>
  <w:style w:type="paragraph" w:customStyle="1" w:styleId="AANumbering">
    <w:name w:val="AA Numbering"/>
    <w:basedOn w:val="Normalny"/>
    <w:rsid w:val="00B92BFC"/>
    <w:pPr>
      <w:numPr>
        <w:numId w:val="5"/>
      </w:numPr>
      <w:tabs>
        <w:tab w:val="clear" w:pos="567"/>
        <w:tab w:val="num" w:pos="283"/>
        <w:tab w:val="left" w:pos="1134"/>
      </w:tabs>
      <w:spacing w:line="280" w:lineRule="atLeast"/>
      <w:jc w:val="left"/>
    </w:pPr>
  </w:style>
  <w:style w:type="paragraph" w:customStyle="1" w:styleId="podrozdzia1">
    <w:name w:val="podrozdział_1"/>
    <w:basedOn w:val="Normalny"/>
    <w:rsid w:val="00B92BFC"/>
    <w:pPr>
      <w:numPr>
        <w:ilvl w:val="2"/>
        <w:numId w:val="6"/>
      </w:numPr>
      <w:tabs>
        <w:tab w:val="clear" w:pos="567"/>
        <w:tab w:val="num" w:pos="283"/>
        <w:tab w:val="num" w:pos="2520"/>
      </w:tabs>
      <w:spacing w:line="240" w:lineRule="auto"/>
      <w:ind w:left="283" w:hanging="283"/>
      <w:jc w:val="left"/>
    </w:pPr>
    <w:rPr>
      <w:b/>
      <w:bCs/>
      <w:sz w:val="24"/>
      <w:szCs w:val="24"/>
    </w:rPr>
  </w:style>
  <w:style w:type="paragraph" w:customStyle="1" w:styleId="podrozdzia">
    <w:name w:val="podrozdział"/>
    <w:basedOn w:val="Normalny"/>
    <w:autoRedefine/>
    <w:rsid w:val="00B92BFC"/>
    <w:pPr>
      <w:numPr>
        <w:ilvl w:val="1"/>
        <w:numId w:val="6"/>
      </w:numPr>
      <w:pBdr>
        <w:bottom w:val="single" w:sz="4" w:space="1" w:color="auto"/>
      </w:pBdr>
      <w:tabs>
        <w:tab w:val="clear" w:pos="567"/>
        <w:tab w:val="num" w:pos="283"/>
        <w:tab w:val="num" w:pos="1800"/>
      </w:tabs>
      <w:spacing w:line="240" w:lineRule="auto"/>
      <w:ind w:left="283" w:hanging="283"/>
      <w:jc w:val="left"/>
    </w:pPr>
    <w:rPr>
      <w:b/>
      <w:bCs/>
      <w:sz w:val="28"/>
      <w:szCs w:val="28"/>
    </w:rPr>
  </w:style>
  <w:style w:type="paragraph" w:customStyle="1" w:styleId="TABELA">
    <w:name w:val="TABELA"/>
    <w:basedOn w:val="Normalny"/>
    <w:autoRedefine/>
    <w:rsid w:val="00B92BFC"/>
    <w:pPr>
      <w:spacing w:line="360" w:lineRule="exact"/>
    </w:pPr>
    <w:rPr>
      <w:i/>
      <w:iCs/>
      <w:lang w:val="pl-PL"/>
    </w:rPr>
  </w:style>
  <w:style w:type="character" w:customStyle="1" w:styleId="AAAddress">
    <w:name w:val="AA Address"/>
    <w:rsid w:val="00B92BFC"/>
    <w:rPr>
      <w:rFonts w:ascii="Arial" w:hAnsi="Arial" w:cs="Arial"/>
      <w:color w:val="auto"/>
      <w:spacing w:val="0"/>
      <w:w w:val="100"/>
      <w:position w:val="0"/>
      <w:sz w:val="14"/>
      <w:szCs w:val="14"/>
      <w:u w:val="none"/>
      <w:vertAlign w:val="baseline"/>
      <w:lang w:val="en-US"/>
    </w:rPr>
  </w:style>
  <w:style w:type="character" w:customStyle="1" w:styleId="AAReference">
    <w:name w:val="AA Reference"/>
    <w:rsid w:val="00B92BFC"/>
    <w:rPr>
      <w:rFonts w:ascii="Arial" w:hAnsi="Arial" w:cs="Arial"/>
      <w:color w:val="auto"/>
      <w:spacing w:val="0"/>
      <w:w w:val="100"/>
      <w:position w:val="0"/>
      <w:sz w:val="14"/>
      <w:szCs w:val="14"/>
      <w:vertAlign w:val="baseline"/>
      <w:lang w:val="en-US"/>
    </w:rPr>
  </w:style>
  <w:style w:type="paragraph" w:customStyle="1" w:styleId="AAFrameAddress">
    <w:name w:val="AA Frame Address"/>
    <w:basedOn w:val="Nagwek1"/>
    <w:rsid w:val="00B92BFC"/>
    <w:pPr>
      <w:framePr w:w="2812" w:h="1701" w:hSpace="142" w:vSpace="142" w:wrap="auto" w:vAnchor="page" w:hAnchor="page" w:x="8024" w:y="2723"/>
      <w:numPr>
        <w:numId w:val="7"/>
      </w:numPr>
      <w:shd w:val="clear" w:color="FFFFFF" w:fill="auto"/>
      <w:tabs>
        <w:tab w:val="num" w:pos="720"/>
        <w:tab w:val="num" w:pos="1105"/>
      </w:tabs>
      <w:spacing w:before="960" w:after="90"/>
      <w:ind w:left="1105" w:hanging="397"/>
    </w:pPr>
    <w:rPr>
      <w:noProof/>
      <w:kern w:val="0"/>
      <w:sz w:val="28"/>
      <w:szCs w:val="28"/>
    </w:rPr>
  </w:style>
  <w:style w:type="paragraph" w:customStyle="1" w:styleId="AAFrameLogo">
    <w:name w:val="AA Frame Logo"/>
    <w:basedOn w:val="Normalny"/>
    <w:rsid w:val="00B92BFC"/>
    <w:pPr>
      <w:framePr w:w="4253" w:h="1418" w:hRule="exact" w:hSpace="142" w:vSpace="142" w:wrap="auto" w:vAnchor="page" w:hAnchor="page" w:x="7457" w:y="568"/>
      <w:tabs>
        <w:tab w:val="clear" w:pos="567"/>
        <w:tab w:val="left" w:pos="1134"/>
      </w:tabs>
      <w:spacing w:line="280" w:lineRule="atLeast"/>
      <w:jc w:val="left"/>
    </w:pPr>
  </w:style>
  <w:style w:type="paragraph" w:customStyle="1" w:styleId="ReportMenuBar">
    <w:name w:val="ReportMenuBar"/>
    <w:basedOn w:val="Normalny"/>
    <w:rsid w:val="00B92BFC"/>
    <w:pPr>
      <w:tabs>
        <w:tab w:val="clear" w:pos="567"/>
        <w:tab w:val="left" w:pos="227"/>
        <w:tab w:val="left" w:pos="454"/>
        <w:tab w:val="left" w:pos="680"/>
        <w:tab w:val="left" w:pos="907"/>
      </w:tabs>
      <w:spacing w:line="240" w:lineRule="atLeast"/>
      <w:jc w:val="left"/>
    </w:pPr>
    <w:rPr>
      <w:b/>
      <w:bCs/>
      <w:color w:val="FFFFFF"/>
      <w:sz w:val="30"/>
      <w:szCs w:val="30"/>
      <w:lang w:val="pl-PL"/>
    </w:rPr>
  </w:style>
  <w:style w:type="paragraph" w:customStyle="1" w:styleId="tekst">
    <w:name w:val="tekst"/>
    <w:basedOn w:val="Normalny"/>
    <w:rsid w:val="00B92BFC"/>
    <w:pPr>
      <w:tabs>
        <w:tab w:val="clear" w:pos="567"/>
      </w:tabs>
      <w:spacing w:line="240" w:lineRule="auto"/>
    </w:pPr>
    <w:rPr>
      <w:sz w:val="20"/>
      <w:szCs w:val="20"/>
      <w:lang w:val="pl-PL"/>
    </w:rPr>
  </w:style>
  <w:style w:type="paragraph" w:customStyle="1" w:styleId="Nagwek0">
    <w:name w:val="Nagłówek 0"/>
    <w:basedOn w:val="Normalny"/>
    <w:rsid w:val="00B92BFC"/>
    <w:pPr>
      <w:tabs>
        <w:tab w:val="clear" w:pos="567"/>
        <w:tab w:val="left" w:pos="1134"/>
      </w:tabs>
      <w:spacing w:line="280" w:lineRule="atLeast"/>
    </w:pPr>
    <w:rPr>
      <w:b/>
      <w:bCs/>
      <w:sz w:val="40"/>
      <w:szCs w:val="40"/>
      <w:lang w:val="pl-PL"/>
    </w:rPr>
  </w:style>
  <w:style w:type="character" w:styleId="UyteHipercze">
    <w:name w:val="FollowedHyperlink"/>
    <w:rsid w:val="00B92BFC"/>
    <w:rPr>
      <w:color w:val="800080"/>
      <w:u w:val="single"/>
    </w:rPr>
  </w:style>
  <w:style w:type="paragraph" w:customStyle="1" w:styleId="xl26">
    <w:name w:val="xl26"/>
    <w:basedOn w:val="Normalny"/>
    <w:rsid w:val="00B92BFC"/>
    <w:pPr>
      <w:tabs>
        <w:tab w:val="clear" w:pos="567"/>
      </w:tabs>
      <w:spacing w:before="100" w:beforeAutospacing="1" w:after="100" w:afterAutospacing="1" w:line="240" w:lineRule="auto"/>
      <w:jc w:val="left"/>
    </w:pPr>
    <w:rPr>
      <w:sz w:val="18"/>
      <w:szCs w:val="18"/>
      <w:lang w:val="pl-PL"/>
    </w:rPr>
  </w:style>
  <w:style w:type="paragraph" w:styleId="Stopka">
    <w:name w:val="footer"/>
    <w:basedOn w:val="Normalny"/>
    <w:rsid w:val="00B92BFC"/>
    <w:pPr>
      <w:tabs>
        <w:tab w:val="clear" w:pos="567"/>
        <w:tab w:val="center" w:pos="4536"/>
        <w:tab w:val="right" w:pos="9072"/>
      </w:tabs>
    </w:pPr>
  </w:style>
  <w:style w:type="character" w:styleId="Numerstrony">
    <w:name w:val="page number"/>
    <w:basedOn w:val="Domylnaczcionkaakapitu"/>
    <w:rsid w:val="00B92BFC"/>
  </w:style>
  <w:style w:type="paragraph" w:customStyle="1" w:styleId="xl32">
    <w:name w:val="xl32"/>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b/>
      <w:bCs/>
      <w:sz w:val="16"/>
      <w:szCs w:val="16"/>
      <w:lang w:val="pl-PL"/>
    </w:rPr>
  </w:style>
  <w:style w:type="paragraph" w:customStyle="1" w:styleId="xl33">
    <w:name w:val="xl33"/>
    <w:basedOn w:val="Normalny"/>
    <w:rsid w:val="00B92BFC"/>
    <w:pPr>
      <w:pBdr>
        <w:top w:val="single" w:sz="4" w:space="0" w:color="auto"/>
        <w:left w:val="single" w:sz="4" w:space="0" w:color="auto"/>
        <w:bottom w:val="single" w:sz="4" w:space="0" w:color="auto"/>
        <w:right w:val="single" w:sz="4" w:space="0" w:color="auto"/>
      </w:pBdr>
      <w:shd w:val="clear" w:color="auto" w:fill="FFFF00"/>
      <w:tabs>
        <w:tab w:val="clear" w:pos="567"/>
      </w:tabs>
      <w:spacing w:before="100" w:after="100" w:line="240" w:lineRule="auto"/>
      <w:jc w:val="center"/>
    </w:pPr>
    <w:rPr>
      <w:b/>
      <w:bCs/>
      <w:color w:val="0000FF"/>
      <w:sz w:val="16"/>
      <w:szCs w:val="16"/>
      <w:lang w:val="pl-PL"/>
    </w:rPr>
  </w:style>
  <w:style w:type="paragraph" w:customStyle="1" w:styleId="xl34">
    <w:name w:val="xl34"/>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b/>
      <w:bCs/>
      <w:sz w:val="16"/>
      <w:szCs w:val="16"/>
      <w:lang w:val="pl-PL"/>
    </w:rPr>
  </w:style>
  <w:style w:type="paragraph" w:customStyle="1" w:styleId="xl35">
    <w:name w:val="xl35"/>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b/>
      <w:bCs/>
      <w:color w:val="0000FF"/>
      <w:sz w:val="16"/>
      <w:szCs w:val="16"/>
      <w:lang w:val="pl-PL"/>
    </w:rPr>
  </w:style>
  <w:style w:type="paragraph" w:customStyle="1" w:styleId="xl36">
    <w:name w:val="xl36"/>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sz w:val="16"/>
      <w:szCs w:val="16"/>
      <w:lang w:val="pl-PL"/>
    </w:rPr>
  </w:style>
  <w:style w:type="paragraph" w:customStyle="1" w:styleId="xl37">
    <w:name w:val="xl37"/>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sz w:val="16"/>
      <w:szCs w:val="16"/>
      <w:lang w:val="pl-PL"/>
    </w:rPr>
  </w:style>
  <w:style w:type="paragraph" w:customStyle="1" w:styleId="xl38">
    <w:name w:val="xl38"/>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sz w:val="16"/>
      <w:szCs w:val="16"/>
      <w:lang w:val="pl-PL"/>
    </w:rPr>
  </w:style>
  <w:style w:type="paragraph" w:customStyle="1" w:styleId="xl39">
    <w:name w:val="xl39"/>
    <w:basedOn w:val="Normalny"/>
    <w:rsid w:val="00B92BFC"/>
    <w:pPr>
      <w:pBdr>
        <w:top w:val="single" w:sz="4" w:space="0" w:color="auto"/>
        <w:left w:val="single" w:sz="4" w:space="0" w:color="auto"/>
        <w:bottom w:val="single" w:sz="4" w:space="0" w:color="auto"/>
        <w:right w:val="single" w:sz="4" w:space="0" w:color="auto"/>
      </w:pBdr>
      <w:shd w:val="clear" w:color="auto" w:fill="FFFF00"/>
      <w:tabs>
        <w:tab w:val="clear" w:pos="567"/>
      </w:tabs>
      <w:spacing w:before="100" w:after="100" w:line="240" w:lineRule="auto"/>
      <w:jc w:val="center"/>
    </w:pPr>
    <w:rPr>
      <w:b/>
      <w:bCs/>
      <w:color w:val="0000FF"/>
      <w:sz w:val="16"/>
      <w:szCs w:val="16"/>
      <w:lang w:val="pl-PL"/>
    </w:rPr>
  </w:style>
  <w:style w:type="paragraph" w:customStyle="1" w:styleId="xl40">
    <w:name w:val="xl40"/>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customStyle="1" w:styleId="xl41">
    <w:name w:val="xl41"/>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customStyle="1" w:styleId="xl42">
    <w:name w:val="xl42"/>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color w:val="0000FF"/>
      <w:sz w:val="16"/>
      <w:szCs w:val="16"/>
      <w:lang w:val="pl-PL"/>
    </w:rPr>
  </w:style>
  <w:style w:type="paragraph" w:customStyle="1" w:styleId="xl43">
    <w:name w:val="xl43"/>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customStyle="1" w:styleId="xl44">
    <w:name w:val="xl44"/>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b/>
      <w:bCs/>
      <w:sz w:val="16"/>
      <w:szCs w:val="16"/>
      <w:lang w:val="pl-PL"/>
    </w:rPr>
  </w:style>
  <w:style w:type="paragraph" w:customStyle="1" w:styleId="xl45">
    <w:name w:val="xl45"/>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sz w:val="16"/>
      <w:szCs w:val="16"/>
      <w:lang w:val="pl-PL"/>
    </w:rPr>
  </w:style>
  <w:style w:type="paragraph" w:customStyle="1" w:styleId="xl46">
    <w:name w:val="xl46"/>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styleId="Plandokumentu">
    <w:name w:val="Document Map"/>
    <w:basedOn w:val="Normalny"/>
    <w:semiHidden/>
    <w:rsid w:val="00B92BFC"/>
    <w:pPr>
      <w:numPr>
        <w:numId w:val="20"/>
      </w:numPr>
      <w:shd w:val="clear" w:color="auto" w:fill="000080"/>
      <w:tabs>
        <w:tab w:val="clear" w:pos="1970"/>
      </w:tabs>
      <w:ind w:firstLine="0"/>
    </w:pPr>
    <w:rPr>
      <w:rFonts w:ascii="Tahoma" w:hAnsi="Tahoma" w:cs="Tahoma"/>
    </w:rPr>
  </w:style>
  <w:style w:type="paragraph" w:customStyle="1" w:styleId="TABELAK">
    <w:name w:val="TABELA_K"/>
    <w:basedOn w:val="TABELA"/>
    <w:rsid w:val="00B92BFC"/>
    <w:pPr>
      <w:numPr>
        <w:numId w:val="8"/>
      </w:numPr>
      <w:tabs>
        <w:tab w:val="clear" w:pos="926"/>
        <w:tab w:val="num" w:pos="720"/>
        <w:tab w:val="num" w:pos="927"/>
      </w:tabs>
      <w:ind w:left="927"/>
    </w:pPr>
  </w:style>
  <w:style w:type="paragraph" w:customStyle="1" w:styleId="TAB">
    <w:name w:val="TAB"/>
    <w:basedOn w:val="Normalny"/>
    <w:rsid w:val="00B92BFC"/>
  </w:style>
  <w:style w:type="paragraph" w:styleId="NormalnyWeb">
    <w:name w:val="Normal (Web)"/>
    <w:basedOn w:val="Normalny"/>
    <w:rsid w:val="00B92BFC"/>
    <w:pPr>
      <w:tabs>
        <w:tab w:val="clear" w:pos="567"/>
      </w:tabs>
      <w:spacing w:before="100" w:after="100" w:line="240" w:lineRule="auto"/>
      <w:jc w:val="left"/>
    </w:pPr>
    <w:rPr>
      <w:sz w:val="24"/>
      <w:szCs w:val="24"/>
      <w:lang w:val="pl-PL"/>
    </w:rPr>
  </w:style>
  <w:style w:type="paragraph" w:customStyle="1" w:styleId="Styl12ptKursywaWyrwnanydorodka">
    <w:name w:val="Styl 12 pt Kursywa Wyrównany do środka"/>
    <w:basedOn w:val="Normalny"/>
    <w:autoRedefine/>
    <w:rsid w:val="00B92BFC"/>
    <w:pPr>
      <w:ind w:left="1134"/>
      <w:jc w:val="left"/>
    </w:pPr>
    <w:rPr>
      <w:i/>
      <w:iCs/>
      <w:sz w:val="24"/>
      <w:szCs w:val="24"/>
    </w:rPr>
  </w:style>
  <w:style w:type="paragraph" w:customStyle="1" w:styleId="StylWyrwnanydorodkaInterliniaDokadnie13pt">
    <w:name w:val="Styl Wyrównany do środka Interlinia:  Dokładnie 13 pt"/>
    <w:basedOn w:val="Normalny"/>
    <w:rsid w:val="00B92BFC"/>
    <w:pPr>
      <w:numPr>
        <w:numId w:val="21"/>
      </w:numPr>
      <w:tabs>
        <w:tab w:val="clear" w:pos="737"/>
      </w:tabs>
      <w:spacing w:line="260" w:lineRule="exact"/>
      <w:ind w:left="0" w:firstLine="0"/>
      <w:jc w:val="left"/>
    </w:pPr>
  </w:style>
  <w:style w:type="paragraph" w:customStyle="1" w:styleId="Zalacznik">
    <w:name w:val="Zalacznik"/>
    <w:basedOn w:val="Normalny"/>
    <w:autoRedefine/>
    <w:rsid w:val="00B92BFC"/>
    <w:pPr>
      <w:numPr>
        <w:numId w:val="9"/>
      </w:numPr>
      <w:tabs>
        <w:tab w:val="clear" w:pos="1492"/>
        <w:tab w:val="num" w:pos="1494"/>
        <w:tab w:val="num" w:pos="1970"/>
      </w:tabs>
      <w:spacing w:line="260" w:lineRule="exact"/>
      <w:ind w:left="1494" w:firstLine="170"/>
    </w:pPr>
    <w:rPr>
      <w:b/>
      <w:bCs/>
      <w:lang w:val="pl-PL"/>
    </w:rPr>
  </w:style>
  <w:style w:type="paragraph" w:customStyle="1" w:styleId="StylNagwek1">
    <w:name w:val="Styl Nagłówek 1"/>
    <w:basedOn w:val="Nagwek0"/>
    <w:rsid w:val="00B92BFC"/>
    <w:pPr>
      <w:jc w:val="left"/>
    </w:pPr>
  </w:style>
  <w:style w:type="paragraph" w:customStyle="1" w:styleId="CM15">
    <w:name w:val="CM15"/>
    <w:basedOn w:val="Normalny"/>
    <w:next w:val="Normalny"/>
    <w:rsid w:val="00B92BFC"/>
    <w:pPr>
      <w:widowControl w:val="0"/>
      <w:tabs>
        <w:tab w:val="clear" w:pos="567"/>
      </w:tabs>
      <w:autoSpaceDE w:val="0"/>
      <w:autoSpaceDN w:val="0"/>
      <w:adjustRightInd w:val="0"/>
      <w:spacing w:after="115" w:line="240" w:lineRule="auto"/>
      <w:jc w:val="left"/>
    </w:pPr>
    <w:rPr>
      <w:rFonts w:ascii="TT E 2 EC 7 E 68t 00" w:hAnsi="TT E 2 EC 7 E 68t 00" w:cs="TT E 2 EC 7 E 68t 00"/>
      <w:sz w:val="24"/>
      <w:szCs w:val="24"/>
      <w:lang w:val="pl-PL"/>
    </w:rPr>
  </w:style>
  <w:style w:type="paragraph" w:customStyle="1" w:styleId="CM5">
    <w:name w:val="CM5"/>
    <w:basedOn w:val="Normalny"/>
    <w:next w:val="Normalny"/>
    <w:rsid w:val="00B92BFC"/>
    <w:pPr>
      <w:widowControl w:val="0"/>
      <w:tabs>
        <w:tab w:val="clear" w:pos="567"/>
      </w:tabs>
      <w:autoSpaceDE w:val="0"/>
      <w:autoSpaceDN w:val="0"/>
      <w:adjustRightInd w:val="0"/>
      <w:spacing w:line="380" w:lineRule="atLeast"/>
      <w:jc w:val="left"/>
    </w:pPr>
    <w:rPr>
      <w:rFonts w:ascii="TT E 2 EC 7 E 68t 00" w:hAnsi="TT E 2 EC 7 E 68t 00" w:cs="TT E 2 EC 7 E 68t 00"/>
      <w:sz w:val="24"/>
      <w:szCs w:val="24"/>
      <w:lang w:val="pl-PL"/>
    </w:rPr>
  </w:style>
  <w:style w:type="paragraph" w:customStyle="1" w:styleId="CM14">
    <w:name w:val="CM14"/>
    <w:basedOn w:val="Normalny"/>
    <w:next w:val="Normalny"/>
    <w:rsid w:val="00B92BFC"/>
    <w:pPr>
      <w:widowControl w:val="0"/>
      <w:tabs>
        <w:tab w:val="clear" w:pos="567"/>
      </w:tabs>
      <w:autoSpaceDE w:val="0"/>
      <w:autoSpaceDN w:val="0"/>
      <w:adjustRightInd w:val="0"/>
      <w:spacing w:after="378" w:line="240" w:lineRule="auto"/>
      <w:jc w:val="left"/>
    </w:pPr>
    <w:rPr>
      <w:rFonts w:ascii="TT E 2 EC 7 E 68t 00" w:hAnsi="TT E 2 EC 7 E 68t 00" w:cs="TT E 2 EC 7 E 68t 00"/>
      <w:sz w:val="24"/>
      <w:szCs w:val="24"/>
      <w:lang w:val="pl-PL"/>
    </w:rPr>
  </w:style>
  <w:style w:type="paragraph" w:customStyle="1" w:styleId="Default">
    <w:name w:val="Default"/>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
    <w:name w:val="Default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1">
    <w:name w:val="Default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2">
    <w:name w:val="Default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2">
    <w:name w:val="Default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
    <w:name w:val="Default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MIKNagwek1">
    <w:name w:val="MIK_Nagłówek 1"/>
    <w:basedOn w:val="Nagwek1"/>
    <w:autoRedefine/>
    <w:rsid w:val="00B92BFC"/>
    <w:pPr>
      <w:numPr>
        <w:numId w:val="26"/>
      </w:numPr>
      <w:shd w:val="solid" w:color="FFFFFF" w:fill="FFFFFF"/>
      <w:tabs>
        <w:tab w:val="clear" w:pos="567"/>
      </w:tabs>
      <w:spacing w:before="960" w:after="480"/>
    </w:pPr>
  </w:style>
  <w:style w:type="paragraph" w:customStyle="1" w:styleId="MIKNagwek2">
    <w:name w:val="MIK_Nagłówek 2"/>
    <w:basedOn w:val="Nagwek2"/>
    <w:next w:val="Normalny"/>
    <w:autoRedefine/>
    <w:rsid w:val="00EB6C89"/>
    <w:pPr>
      <w:numPr>
        <w:ilvl w:val="2"/>
        <w:numId w:val="26"/>
      </w:numPr>
      <w:tabs>
        <w:tab w:val="clear" w:pos="2127"/>
        <w:tab w:val="num" w:pos="993"/>
      </w:tabs>
      <w:spacing w:before="120" w:after="0" w:line="240" w:lineRule="auto"/>
      <w:ind w:hanging="2127"/>
    </w:pPr>
    <w:rPr>
      <w:b/>
      <w:bCs/>
    </w:rPr>
  </w:style>
  <w:style w:type="paragraph" w:customStyle="1" w:styleId="MIKNagwek0">
    <w:name w:val="MIK_Nagłówek 0"/>
    <w:basedOn w:val="Nagwek1"/>
    <w:autoRedefine/>
    <w:rsid w:val="00191CCC"/>
    <w:pPr>
      <w:tabs>
        <w:tab w:val="clear" w:pos="567"/>
      </w:tabs>
    </w:pPr>
    <w:rPr>
      <w:b w:val="0"/>
      <w:bCs w:val="0"/>
      <w:kern w:val="0"/>
      <w:sz w:val="22"/>
      <w:szCs w:val="22"/>
      <w:lang w:val="pl-PL"/>
    </w:rPr>
  </w:style>
  <w:style w:type="paragraph" w:customStyle="1" w:styleId="MIKNagwek21">
    <w:name w:val="MIK_Nagłówek_21"/>
    <w:basedOn w:val="Nagwek2"/>
    <w:autoRedefine/>
    <w:rsid w:val="00B92BFC"/>
    <w:pPr>
      <w:numPr>
        <w:numId w:val="25"/>
      </w:numPr>
    </w:pPr>
    <w:rPr>
      <w:b/>
      <w:bCs/>
      <w:sz w:val="24"/>
      <w:szCs w:val="24"/>
    </w:rPr>
  </w:style>
  <w:style w:type="paragraph" w:customStyle="1" w:styleId="MIKNagwek22">
    <w:name w:val="MIK_Nagłówek_22"/>
    <w:basedOn w:val="MIKNagwek21"/>
    <w:autoRedefine/>
    <w:rsid w:val="0000694E"/>
    <w:pPr>
      <w:numPr>
        <w:numId w:val="0"/>
      </w:numPr>
    </w:pPr>
  </w:style>
  <w:style w:type="paragraph" w:customStyle="1" w:styleId="MIKNagwek3">
    <w:name w:val="MIK_Nagłówek 3"/>
    <w:basedOn w:val="MIKNagwek2"/>
    <w:next w:val="Normalny"/>
    <w:autoRedefine/>
    <w:rsid w:val="00B92BFC"/>
  </w:style>
  <w:style w:type="paragraph" w:customStyle="1" w:styleId="MIKNagwek4">
    <w:name w:val="MIK_Nagłówek 4"/>
    <w:basedOn w:val="MIKNagwek3"/>
    <w:autoRedefine/>
    <w:rsid w:val="0000694E"/>
  </w:style>
  <w:style w:type="paragraph" w:customStyle="1" w:styleId="Default14">
    <w:name w:val="Default1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
    <w:name w:val="Default13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
    <w:name w:val="Default13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
    <w:name w:val="Default131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5">
    <w:name w:val="Default15"/>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2">
    <w:name w:val="Default13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2">
    <w:name w:val="Default13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2">
    <w:name w:val="Default131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6">
    <w:name w:val="Default16"/>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3">
    <w:name w:val="Default13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3">
    <w:name w:val="Default13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3">
    <w:name w:val="Default131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1">
    <w:name w:val="Default1311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7">
    <w:name w:val="Default17"/>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4">
    <w:name w:val="Default13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4">
    <w:name w:val="Default131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4">
    <w:name w:val="Default1311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2">
    <w:name w:val="Default1311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3">
    <w:name w:val="Default1311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Znak1">
    <w:name w:val="Znak1"/>
    <w:basedOn w:val="Normalny"/>
    <w:autoRedefine/>
    <w:rsid w:val="00B92BFC"/>
    <w:pPr>
      <w:tabs>
        <w:tab w:val="clear" w:pos="567"/>
      </w:tabs>
      <w:spacing w:after="120" w:line="240" w:lineRule="exact"/>
      <w:jc w:val="left"/>
    </w:pPr>
    <w:rPr>
      <w:sz w:val="20"/>
      <w:szCs w:val="20"/>
      <w:lang w:eastAsia="en-US"/>
    </w:rPr>
  </w:style>
  <w:style w:type="paragraph" w:customStyle="1" w:styleId="Znak2">
    <w:name w:val="Znak2"/>
    <w:basedOn w:val="Normalny"/>
    <w:autoRedefine/>
    <w:rsid w:val="00B92BFC"/>
    <w:pPr>
      <w:tabs>
        <w:tab w:val="clear" w:pos="567"/>
      </w:tabs>
      <w:spacing w:after="120" w:line="240" w:lineRule="exact"/>
      <w:jc w:val="left"/>
    </w:pPr>
    <w:rPr>
      <w:sz w:val="20"/>
      <w:szCs w:val="20"/>
      <w:lang w:eastAsia="en-US"/>
    </w:rPr>
  </w:style>
  <w:style w:type="paragraph" w:customStyle="1" w:styleId="Znak3">
    <w:name w:val="Znak3"/>
    <w:basedOn w:val="Normalny"/>
    <w:autoRedefine/>
    <w:rsid w:val="00B92BFC"/>
    <w:pPr>
      <w:tabs>
        <w:tab w:val="clear" w:pos="567"/>
      </w:tabs>
      <w:spacing w:after="120" w:line="240" w:lineRule="exact"/>
      <w:jc w:val="left"/>
    </w:pPr>
    <w:rPr>
      <w:sz w:val="20"/>
      <w:szCs w:val="20"/>
      <w:lang w:eastAsia="en-US"/>
    </w:rPr>
  </w:style>
  <w:style w:type="paragraph" w:styleId="Tekstkomentarza">
    <w:name w:val="annotation text"/>
    <w:basedOn w:val="Normalny"/>
    <w:semiHidden/>
    <w:rsid w:val="00F960A3"/>
    <w:rPr>
      <w:sz w:val="20"/>
      <w:szCs w:val="20"/>
    </w:rPr>
  </w:style>
  <w:style w:type="paragraph" w:styleId="Tematkomentarza">
    <w:name w:val="annotation subject"/>
    <w:basedOn w:val="Tekstkomentarza"/>
    <w:next w:val="Tekstkomentarza"/>
    <w:semiHidden/>
    <w:rsid w:val="00F960A3"/>
    <w:pPr>
      <w:tabs>
        <w:tab w:val="clear" w:pos="567"/>
      </w:tabs>
      <w:spacing w:line="240" w:lineRule="auto"/>
      <w:jc w:val="left"/>
    </w:pPr>
    <w:rPr>
      <w:rFonts w:ascii="Times New Roman" w:hAnsi="Times New Roman" w:cs="Times New Roman"/>
      <w:b/>
      <w:bCs/>
      <w:lang w:val="pl-PL"/>
    </w:rPr>
  </w:style>
  <w:style w:type="paragraph" w:styleId="Tekstpodstawowywcity3">
    <w:name w:val="Body Text Indent 3"/>
    <w:basedOn w:val="Normalny"/>
    <w:rsid w:val="00993E62"/>
    <w:pPr>
      <w:tabs>
        <w:tab w:val="clear" w:pos="567"/>
      </w:tabs>
      <w:spacing w:after="120" w:line="240" w:lineRule="auto"/>
      <w:ind w:left="283"/>
      <w:jc w:val="left"/>
    </w:pPr>
    <w:rPr>
      <w:rFonts w:ascii="Times New Roman" w:hAnsi="Times New Roman" w:cs="Times New Roman"/>
      <w:sz w:val="16"/>
      <w:szCs w:val="16"/>
      <w:lang w:val="pl-PL"/>
    </w:rPr>
  </w:style>
  <w:style w:type="paragraph" w:styleId="Spistreci8">
    <w:name w:val="toc 8"/>
    <w:basedOn w:val="Normalny"/>
    <w:next w:val="Normalny"/>
    <w:autoRedefine/>
    <w:uiPriority w:val="39"/>
    <w:rsid w:val="008907A3"/>
    <w:pPr>
      <w:tabs>
        <w:tab w:val="clear" w:pos="567"/>
      </w:tabs>
      <w:spacing w:line="240" w:lineRule="auto"/>
      <w:ind w:left="1680"/>
      <w:jc w:val="left"/>
    </w:pPr>
    <w:rPr>
      <w:rFonts w:ascii="Times New Roman" w:hAnsi="Times New Roman" w:cs="Times New Roman"/>
      <w:sz w:val="24"/>
      <w:szCs w:val="24"/>
      <w:lang w:val="pl-PL"/>
    </w:rPr>
  </w:style>
  <w:style w:type="paragraph" w:styleId="Spistreci9">
    <w:name w:val="toc 9"/>
    <w:basedOn w:val="Normalny"/>
    <w:next w:val="Normalny"/>
    <w:autoRedefine/>
    <w:uiPriority w:val="39"/>
    <w:rsid w:val="008907A3"/>
    <w:pPr>
      <w:tabs>
        <w:tab w:val="clear" w:pos="567"/>
      </w:tabs>
      <w:spacing w:line="240" w:lineRule="auto"/>
      <w:ind w:left="1920"/>
      <w:jc w:val="left"/>
    </w:pPr>
    <w:rPr>
      <w:rFonts w:ascii="Times New Roman" w:hAnsi="Times New Roman" w:cs="Times New Roman"/>
      <w:sz w:val="24"/>
      <w:szCs w:val="24"/>
      <w:lang w:val="pl-PL"/>
    </w:rPr>
  </w:style>
  <w:style w:type="paragraph" w:styleId="Tekstdymka">
    <w:name w:val="Balloon Text"/>
    <w:basedOn w:val="Normalny"/>
    <w:semiHidden/>
    <w:rsid w:val="00546F15"/>
    <w:rPr>
      <w:rFonts w:ascii="Tahoma" w:hAnsi="Tahoma" w:cs="Tahoma"/>
      <w:sz w:val="16"/>
      <w:szCs w:val="16"/>
    </w:rPr>
  </w:style>
  <w:style w:type="paragraph" w:customStyle="1" w:styleId="CharChar">
    <w:name w:val="Char Char"/>
    <w:basedOn w:val="Normalny"/>
    <w:autoRedefine/>
    <w:rsid w:val="00A6003D"/>
    <w:pPr>
      <w:tabs>
        <w:tab w:val="clear" w:pos="567"/>
      </w:tabs>
      <w:spacing w:after="120" w:line="240" w:lineRule="exact"/>
      <w:jc w:val="left"/>
    </w:pPr>
    <w:rPr>
      <w:sz w:val="20"/>
      <w:szCs w:val="20"/>
      <w:lang w:eastAsia="en-US"/>
    </w:rPr>
  </w:style>
  <w:style w:type="paragraph" w:customStyle="1" w:styleId="ASNormalny">
    <w:name w:val="AS Normalny"/>
    <w:basedOn w:val="Normalny"/>
    <w:link w:val="ASNormalnyZnak"/>
    <w:autoRedefine/>
    <w:rsid w:val="00253A28"/>
    <w:pPr>
      <w:tabs>
        <w:tab w:val="clear" w:pos="567"/>
        <w:tab w:val="left" w:pos="180"/>
      </w:tabs>
      <w:ind w:left="180" w:right="-108"/>
    </w:pPr>
    <w:rPr>
      <w:lang w:val="pl-PL"/>
    </w:rPr>
  </w:style>
  <w:style w:type="character" w:customStyle="1" w:styleId="ASNormalnyZnak">
    <w:name w:val="AS Normalny Znak"/>
    <w:link w:val="ASNormalny"/>
    <w:locked/>
    <w:rsid w:val="00253A28"/>
    <w:rPr>
      <w:rFonts w:ascii="Arial" w:hAnsi="Arial" w:cs="Arial"/>
      <w:sz w:val="22"/>
      <w:szCs w:val="22"/>
      <w:lang w:val="pl-PL" w:eastAsia="pl-PL" w:bidi="ar-SA"/>
    </w:rPr>
  </w:style>
  <w:style w:type="paragraph" w:customStyle="1" w:styleId="ASSchemat">
    <w:name w:val="AS Schemat"/>
    <w:basedOn w:val="Normalny"/>
    <w:autoRedefine/>
    <w:rsid w:val="00BF4578"/>
    <w:pPr>
      <w:numPr>
        <w:numId w:val="36"/>
      </w:numPr>
      <w:tabs>
        <w:tab w:val="clear" w:pos="567"/>
        <w:tab w:val="clear" w:pos="1134"/>
        <w:tab w:val="num" w:pos="926"/>
        <w:tab w:val="left" w:pos="8460"/>
      </w:tabs>
      <w:spacing w:before="240" w:after="240" w:line="240" w:lineRule="auto"/>
      <w:ind w:left="1209" w:right="-157" w:hanging="360"/>
      <w:jc w:val="left"/>
      <w:outlineLvl w:val="1"/>
    </w:pPr>
    <w:rPr>
      <w:b/>
      <w:bCs/>
      <w:color w:val="000000"/>
      <w:lang w:val="pl-PL"/>
    </w:rPr>
  </w:style>
  <w:style w:type="paragraph" w:customStyle="1" w:styleId="WZOR106cmWysunicie339cm">
    <w:name w:val="WZOR:  106 cm Wysunięcie:  339 cm"/>
    <w:basedOn w:val="Normalny"/>
    <w:rsid w:val="00B932A5"/>
    <w:pPr>
      <w:ind w:left="2520" w:hanging="1920"/>
    </w:pPr>
    <w:rPr>
      <w:rFonts w:cs="Times New Roman"/>
      <w:szCs w:val="20"/>
    </w:rPr>
  </w:style>
  <w:style w:type="numbering" w:customStyle="1" w:styleId="StylPunktowane2">
    <w:name w:val="Styl Punktowane_2"/>
    <w:basedOn w:val="Bezlisty"/>
    <w:rsid w:val="005C143E"/>
    <w:pPr>
      <w:numPr>
        <w:numId w:val="38"/>
      </w:numPr>
    </w:pPr>
  </w:style>
  <w:style w:type="character" w:customStyle="1" w:styleId="st">
    <w:name w:val="st"/>
    <w:basedOn w:val="Domylnaczcionkaakapitu"/>
    <w:rsid w:val="00775C9D"/>
  </w:style>
  <w:style w:type="paragraph" w:customStyle="1" w:styleId="INSTRZMIANA">
    <w:name w:val="INSTR_ZMIANA"/>
    <w:basedOn w:val="Normalny"/>
    <w:rsid w:val="00420212"/>
    <w:pPr>
      <w:tabs>
        <w:tab w:val="clear" w:pos="567"/>
      </w:tabs>
      <w:spacing w:after="120" w:line="240" w:lineRule="exact"/>
      <w:jc w:val="left"/>
    </w:pPr>
    <w:rPr>
      <w:b/>
      <w:bCs/>
      <w:sz w:val="20"/>
      <w:szCs w:val="20"/>
      <w:lang w:val="pl-PL" w:eastAsia="en-US"/>
    </w:rPr>
  </w:style>
  <w:style w:type="paragraph" w:customStyle="1" w:styleId="INSTRGRUBY">
    <w:name w:val="INSTR_GRUBY"/>
    <w:basedOn w:val="Normalny"/>
    <w:next w:val="Normalny"/>
    <w:link w:val="INSTRGRUBYZnak"/>
    <w:rsid w:val="00420212"/>
    <w:pPr>
      <w:tabs>
        <w:tab w:val="clear" w:pos="567"/>
        <w:tab w:val="left" w:pos="1134"/>
      </w:tabs>
    </w:pPr>
    <w:rPr>
      <w:rFonts w:cs="Times New Roman"/>
      <w:b/>
      <w:bCs/>
      <w:szCs w:val="20"/>
    </w:rPr>
  </w:style>
  <w:style w:type="character" w:customStyle="1" w:styleId="INSTRGRUBYZnak">
    <w:name w:val="INSTR_GRUBY Znak"/>
    <w:link w:val="INSTRGRUBY"/>
    <w:rsid w:val="00420212"/>
    <w:rPr>
      <w:rFonts w:ascii="Arial" w:hAnsi="Arial"/>
      <w:b/>
      <w:bCs/>
      <w:sz w:val="22"/>
      <w:lang w:val="en-US" w:eastAsia="pl-PL" w:bidi="ar-SA"/>
    </w:rPr>
  </w:style>
  <w:style w:type="paragraph" w:customStyle="1" w:styleId="CharCharZnakZnakCharChar">
    <w:name w:val="Char Char Znak Znak Char Char"/>
    <w:basedOn w:val="Normalny"/>
    <w:autoRedefine/>
    <w:rsid w:val="00281A9E"/>
    <w:pPr>
      <w:tabs>
        <w:tab w:val="clear" w:pos="567"/>
      </w:tabs>
      <w:spacing w:after="120" w:line="240" w:lineRule="exact"/>
      <w:jc w:val="left"/>
    </w:pPr>
    <w:rPr>
      <w:sz w:val="20"/>
      <w:szCs w:val="20"/>
      <w:lang w:eastAsia="en-US"/>
    </w:rPr>
  </w:style>
  <w:style w:type="character" w:styleId="Odwoaniedokomentarza">
    <w:name w:val="annotation reference"/>
    <w:semiHidden/>
    <w:rsid w:val="00695FD4"/>
    <w:rPr>
      <w:sz w:val="16"/>
      <w:szCs w:val="16"/>
    </w:rPr>
  </w:style>
  <w:style w:type="paragraph" w:styleId="Poprawka">
    <w:name w:val="Revision"/>
    <w:hidden/>
    <w:uiPriority w:val="99"/>
    <w:semiHidden/>
    <w:rsid w:val="00E53F9B"/>
    <w:rPr>
      <w:rFonts w:ascii="Arial" w:hAnsi="Arial" w:cs="Arial"/>
      <w:sz w:val="22"/>
      <w:szCs w:val="22"/>
      <w:lang w:eastAsia="pl-PL"/>
    </w:rPr>
  </w:style>
  <w:style w:type="table" w:styleId="Tabela-Siatka">
    <w:name w:val="Table Grid"/>
    <w:basedOn w:val="Standardowy"/>
    <w:uiPriority w:val="59"/>
    <w:rsid w:val="00590873"/>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EE468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B92BFC"/>
    <w:pPr>
      <w:tabs>
        <w:tab w:val="left" w:pos="567"/>
      </w:tabs>
      <w:spacing w:line="360" w:lineRule="auto"/>
      <w:jc w:val="both"/>
    </w:pPr>
    <w:rPr>
      <w:rFonts w:ascii="Arial" w:hAnsi="Arial" w:cs="Arial"/>
      <w:sz w:val="22"/>
      <w:szCs w:val="22"/>
      <w:lang w:eastAsia="pl-PL"/>
    </w:rPr>
  </w:style>
  <w:style w:type="paragraph" w:styleId="Nagwek1">
    <w:name w:val="heading 1"/>
    <w:aliases w:val="h1,Heading1,1,11,12,111,13,112,121,1111"/>
    <w:basedOn w:val="Normalny"/>
    <w:next w:val="Normalny"/>
    <w:qFormat/>
    <w:rsid w:val="00B92BFC"/>
    <w:pPr>
      <w:keepNext/>
      <w:spacing w:before="240" w:after="60"/>
      <w:outlineLvl w:val="0"/>
    </w:pPr>
    <w:rPr>
      <w:b/>
      <w:bCs/>
      <w:kern w:val="32"/>
      <w:sz w:val="32"/>
      <w:szCs w:val="32"/>
    </w:rPr>
  </w:style>
  <w:style w:type="paragraph" w:styleId="Nagwek2">
    <w:name w:val="heading 2"/>
    <w:basedOn w:val="Normalny"/>
    <w:next w:val="Normalny"/>
    <w:autoRedefine/>
    <w:qFormat/>
    <w:rsid w:val="0000694E"/>
    <w:pPr>
      <w:keepNext/>
      <w:tabs>
        <w:tab w:val="clear" w:pos="567"/>
      </w:tabs>
      <w:spacing w:before="480" w:after="480"/>
      <w:outlineLvl w:val="1"/>
    </w:pPr>
    <w:rPr>
      <w:sz w:val="28"/>
      <w:szCs w:val="28"/>
      <w:lang w:val="pl-PL"/>
    </w:rPr>
  </w:style>
  <w:style w:type="paragraph" w:styleId="Nagwek3">
    <w:name w:val="heading 3"/>
    <w:aliases w:val="Nagłówek 3 Znak Znak,Nagłówek 3 Znak1"/>
    <w:basedOn w:val="Normalny"/>
    <w:next w:val="Normalny"/>
    <w:link w:val="Nagwek3Znak"/>
    <w:autoRedefine/>
    <w:qFormat/>
    <w:rsid w:val="00B92BFC"/>
    <w:pPr>
      <w:keepNext/>
      <w:numPr>
        <w:ilvl w:val="3"/>
        <w:numId w:val="23"/>
      </w:numPr>
      <w:tabs>
        <w:tab w:val="clear" w:pos="567"/>
      </w:tabs>
      <w:spacing w:before="240" w:after="120" w:line="240" w:lineRule="auto"/>
      <w:outlineLvl w:val="2"/>
    </w:pPr>
    <w:rPr>
      <w:b/>
      <w:bCs/>
      <w:sz w:val="24"/>
      <w:szCs w:val="24"/>
      <w:lang w:val="pl-PL"/>
    </w:rPr>
  </w:style>
  <w:style w:type="paragraph" w:styleId="Nagwek4">
    <w:name w:val="heading 4"/>
    <w:basedOn w:val="Normalny"/>
    <w:next w:val="Normalny"/>
    <w:qFormat/>
    <w:rsid w:val="000E438A"/>
    <w:pPr>
      <w:keepNext/>
      <w:numPr>
        <w:ilvl w:val="3"/>
        <w:numId w:val="1"/>
      </w:numPr>
      <w:spacing w:before="240" w:after="60"/>
      <w:outlineLvl w:val="3"/>
    </w:pPr>
    <w:rPr>
      <w:b/>
      <w:bCs/>
      <w:sz w:val="28"/>
      <w:szCs w:val="28"/>
    </w:rPr>
  </w:style>
  <w:style w:type="paragraph" w:styleId="Nagwek5">
    <w:name w:val="heading 5"/>
    <w:basedOn w:val="Normalny"/>
    <w:next w:val="Normalny"/>
    <w:autoRedefine/>
    <w:qFormat/>
    <w:rsid w:val="00B92BFC"/>
    <w:pPr>
      <w:keepNext/>
      <w:tabs>
        <w:tab w:val="clear" w:pos="567"/>
        <w:tab w:val="num" w:pos="1008"/>
      </w:tabs>
      <w:ind w:left="1008" w:hanging="1008"/>
      <w:outlineLvl w:val="4"/>
    </w:pPr>
    <w:rPr>
      <w:b/>
      <w:bCs/>
      <w:sz w:val="24"/>
      <w:szCs w:val="24"/>
      <w:lang w:val="pl-PL"/>
    </w:rPr>
  </w:style>
  <w:style w:type="paragraph" w:styleId="Nagwek6">
    <w:name w:val="heading 6"/>
    <w:basedOn w:val="Normalny"/>
    <w:next w:val="Normalny"/>
    <w:qFormat/>
    <w:rsid w:val="0000694E"/>
    <w:pPr>
      <w:keepNext/>
      <w:tabs>
        <w:tab w:val="clear" w:pos="567"/>
      </w:tabs>
      <w:outlineLvl w:val="5"/>
    </w:pPr>
    <w:rPr>
      <w:u w:val="single"/>
      <w:lang w:val="pl-PL"/>
    </w:rPr>
  </w:style>
  <w:style w:type="paragraph" w:styleId="Nagwek7">
    <w:name w:val="heading 7"/>
    <w:basedOn w:val="Normalny"/>
    <w:next w:val="Normalny"/>
    <w:qFormat/>
    <w:rsid w:val="0000694E"/>
    <w:pPr>
      <w:keepNext/>
      <w:tabs>
        <w:tab w:val="clear" w:pos="567"/>
      </w:tabs>
      <w:outlineLvl w:val="6"/>
    </w:pPr>
    <w:rPr>
      <w:b/>
      <w:bCs/>
      <w:lang w:val="pl-PL"/>
    </w:rPr>
  </w:style>
  <w:style w:type="paragraph" w:styleId="Nagwek8">
    <w:name w:val="heading 8"/>
    <w:basedOn w:val="Normalny"/>
    <w:next w:val="Normalny"/>
    <w:qFormat/>
    <w:rsid w:val="0000694E"/>
    <w:pPr>
      <w:keepNext/>
      <w:tabs>
        <w:tab w:val="clear" w:pos="567"/>
      </w:tabs>
      <w:outlineLvl w:val="7"/>
    </w:pPr>
    <w:rPr>
      <w:i/>
      <w:iCs/>
      <w:lang w:val="pl-PL"/>
    </w:rPr>
  </w:style>
  <w:style w:type="paragraph" w:styleId="Nagwek9">
    <w:name w:val="heading 9"/>
    <w:basedOn w:val="Normalny"/>
    <w:next w:val="Normalny"/>
    <w:qFormat/>
    <w:rsid w:val="0000694E"/>
    <w:pPr>
      <w:keepNext/>
      <w:tabs>
        <w:tab w:val="clear" w:pos="567"/>
      </w:tabs>
      <w:outlineLvl w:val="8"/>
    </w:pPr>
    <w:rPr>
      <w:b/>
      <w:bCs/>
      <w:sz w:val="28"/>
      <w:szCs w:val="28"/>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aliases w:val="Nagłówek 3 Znak Znak Znak,Nagłówek 3 Znak1 Znak"/>
    <w:link w:val="Nagwek3"/>
    <w:locked/>
    <w:rsid w:val="00B92BFC"/>
    <w:rPr>
      <w:rFonts w:ascii="Arial" w:hAnsi="Arial" w:cs="Arial"/>
      <w:b/>
      <w:bCs/>
      <w:sz w:val="24"/>
      <w:szCs w:val="24"/>
      <w:lang w:val="pl-PL" w:eastAsia="pl-PL" w:bidi="ar-SA"/>
    </w:rPr>
  </w:style>
  <w:style w:type="paragraph" w:customStyle="1" w:styleId="CharChar1">
    <w:name w:val="Char Char1"/>
    <w:basedOn w:val="Normalny"/>
    <w:autoRedefine/>
    <w:rsid w:val="00B92BFC"/>
    <w:pPr>
      <w:tabs>
        <w:tab w:val="clear" w:pos="567"/>
      </w:tabs>
      <w:spacing w:after="120" w:line="240" w:lineRule="exact"/>
      <w:jc w:val="left"/>
    </w:pPr>
    <w:rPr>
      <w:sz w:val="20"/>
      <w:szCs w:val="20"/>
      <w:lang w:eastAsia="en-US"/>
    </w:rPr>
  </w:style>
  <w:style w:type="paragraph" w:customStyle="1" w:styleId="StylNagwek4Arial12ptWyjustowanyPrzed0ptPo0">
    <w:name w:val="Styl Nagłówek 4 + Arial 12 pt Wyjustowany Przed:  0 pt Po:  0 ..."/>
    <w:basedOn w:val="Nagwek4"/>
    <w:autoRedefine/>
    <w:rsid w:val="000E438A"/>
    <w:pPr>
      <w:autoSpaceDE w:val="0"/>
      <w:autoSpaceDN w:val="0"/>
      <w:spacing w:before="0" w:after="0"/>
    </w:pPr>
    <w:rPr>
      <w:sz w:val="24"/>
      <w:szCs w:val="20"/>
    </w:rPr>
  </w:style>
  <w:style w:type="paragraph" w:customStyle="1" w:styleId="Styl1">
    <w:name w:val="Styl1"/>
    <w:basedOn w:val="Normalny"/>
    <w:autoRedefine/>
    <w:rsid w:val="00B92BFC"/>
    <w:pPr>
      <w:numPr>
        <w:numId w:val="11"/>
      </w:numPr>
      <w:tabs>
        <w:tab w:val="clear" w:pos="1080"/>
        <w:tab w:val="num" w:pos="792"/>
      </w:tabs>
      <w:ind w:left="792" w:hanging="432"/>
    </w:pPr>
  </w:style>
  <w:style w:type="paragraph" w:customStyle="1" w:styleId="Styl2">
    <w:name w:val="Styl2"/>
    <w:basedOn w:val="Normalny"/>
    <w:rsid w:val="00B92BFC"/>
    <w:pPr>
      <w:numPr>
        <w:numId w:val="1"/>
      </w:numPr>
    </w:pPr>
  </w:style>
  <w:style w:type="paragraph" w:styleId="Nagwek">
    <w:name w:val="header"/>
    <w:aliases w:val="hd,ContentsHeader,Cover Page"/>
    <w:basedOn w:val="Normalny"/>
    <w:link w:val="NagwekZnak"/>
    <w:rsid w:val="00B92BFC"/>
    <w:pPr>
      <w:tabs>
        <w:tab w:val="center" w:pos="4536"/>
        <w:tab w:val="right" w:pos="9072"/>
      </w:tabs>
    </w:pPr>
  </w:style>
  <w:style w:type="character" w:customStyle="1" w:styleId="NagwekZnak">
    <w:name w:val="Nagłówek Znak"/>
    <w:aliases w:val="hd Znak,ContentsHeader Znak,Cover Page Znak"/>
    <w:link w:val="Nagwek"/>
    <w:uiPriority w:val="99"/>
    <w:locked/>
    <w:rsid w:val="00B92BFC"/>
    <w:rPr>
      <w:rFonts w:ascii="Arial" w:hAnsi="Arial" w:cs="Arial"/>
      <w:sz w:val="22"/>
      <w:szCs w:val="22"/>
      <w:lang w:val="en-US" w:eastAsia="pl-PL" w:bidi="ar-SA"/>
    </w:rPr>
  </w:style>
  <w:style w:type="paragraph" w:styleId="Tekstpodstawowy">
    <w:name w:val="Body Text"/>
    <w:aliases w:val="b,b1"/>
    <w:basedOn w:val="Normalny"/>
    <w:rsid w:val="00B92BFC"/>
    <w:pPr>
      <w:tabs>
        <w:tab w:val="clear" w:pos="567"/>
      </w:tabs>
      <w:spacing w:line="240" w:lineRule="auto"/>
    </w:pPr>
    <w:rPr>
      <w:sz w:val="24"/>
      <w:szCs w:val="24"/>
      <w:lang w:val="pl-PL"/>
    </w:rPr>
  </w:style>
  <w:style w:type="paragraph" w:styleId="Tekstpodstawowy3">
    <w:name w:val="Body Text 3"/>
    <w:basedOn w:val="Normalny"/>
    <w:rsid w:val="00B92BFC"/>
    <w:pPr>
      <w:numPr>
        <w:numId w:val="4"/>
      </w:numPr>
    </w:pPr>
    <w:rPr>
      <w:color w:val="0000FF"/>
      <w:lang w:val="pl-PL"/>
    </w:rPr>
  </w:style>
  <w:style w:type="paragraph" w:styleId="Listapunktowana">
    <w:name w:val="List Bullet"/>
    <w:basedOn w:val="Normalny"/>
    <w:autoRedefine/>
    <w:rsid w:val="00E311C9"/>
    <w:pPr>
      <w:tabs>
        <w:tab w:val="clear" w:pos="567"/>
        <w:tab w:val="left" w:pos="284"/>
        <w:tab w:val="num" w:pos="926"/>
        <w:tab w:val="left" w:pos="1134"/>
      </w:tabs>
      <w:spacing w:line="280" w:lineRule="atLeast"/>
      <w:ind w:left="926" w:hanging="360"/>
      <w:jc w:val="left"/>
    </w:pPr>
  </w:style>
  <w:style w:type="paragraph" w:styleId="Listanumerowana4">
    <w:name w:val="List Number 4"/>
    <w:basedOn w:val="Normalny"/>
    <w:rsid w:val="00B92BFC"/>
    <w:pPr>
      <w:numPr>
        <w:numId w:val="2"/>
      </w:numPr>
      <w:tabs>
        <w:tab w:val="clear" w:pos="567"/>
        <w:tab w:val="num" w:pos="1080"/>
        <w:tab w:val="left" w:pos="1134"/>
        <w:tab w:val="left" w:pos="1418"/>
      </w:tabs>
      <w:spacing w:line="280" w:lineRule="atLeast"/>
      <w:ind w:left="1080"/>
      <w:jc w:val="left"/>
    </w:pPr>
  </w:style>
  <w:style w:type="paragraph" w:styleId="Tekstpodstawowywcity">
    <w:name w:val="Body Text Indent"/>
    <w:basedOn w:val="Normalny"/>
    <w:rsid w:val="00B92BFC"/>
    <w:pPr>
      <w:spacing w:before="120"/>
      <w:ind w:left="284"/>
    </w:pPr>
    <w:rPr>
      <w:sz w:val="24"/>
      <w:szCs w:val="24"/>
      <w:lang w:val="pl-PL"/>
    </w:rPr>
  </w:style>
  <w:style w:type="paragraph" w:styleId="Tekstpodstawowy2">
    <w:name w:val="Body Text 2"/>
    <w:basedOn w:val="Normalny"/>
    <w:rsid w:val="00B92BFC"/>
  </w:style>
  <w:style w:type="paragraph" w:styleId="Spistreci1">
    <w:name w:val="toc 1"/>
    <w:basedOn w:val="Normalny"/>
    <w:next w:val="Normalny"/>
    <w:autoRedefine/>
    <w:uiPriority w:val="39"/>
    <w:rsid w:val="00B92BFC"/>
    <w:pPr>
      <w:tabs>
        <w:tab w:val="clear" w:pos="567"/>
        <w:tab w:val="right" w:leader="dot" w:pos="9062"/>
      </w:tabs>
      <w:spacing w:before="120"/>
      <w:ind w:left="1021" w:hanging="1021"/>
      <w:jc w:val="left"/>
    </w:pPr>
    <w:rPr>
      <w:b/>
      <w:bCs/>
      <w:noProof/>
    </w:rPr>
  </w:style>
  <w:style w:type="paragraph" w:styleId="Spistreci2">
    <w:name w:val="toc 2"/>
    <w:basedOn w:val="Normalny"/>
    <w:next w:val="Spistreci1"/>
    <w:autoRedefine/>
    <w:uiPriority w:val="39"/>
    <w:rsid w:val="00B92BFC"/>
    <w:pPr>
      <w:tabs>
        <w:tab w:val="clear" w:pos="567"/>
      </w:tabs>
      <w:spacing w:before="120"/>
      <w:ind w:left="397" w:hanging="397"/>
      <w:jc w:val="left"/>
    </w:pPr>
    <w:rPr>
      <w:b/>
      <w:bCs/>
    </w:rPr>
  </w:style>
  <w:style w:type="paragraph" w:styleId="Spistreci3">
    <w:name w:val="toc 3"/>
    <w:basedOn w:val="Normalny"/>
    <w:next w:val="Normalny"/>
    <w:autoRedefine/>
    <w:uiPriority w:val="39"/>
    <w:rsid w:val="00B92BFC"/>
    <w:pPr>
      <w:tabs>
        <w:tab w:val="clear" w:pos="567"/>
      </w:tabs>
      <w:ind w:left="1021" w:hanging="624"/>
      <w:jc w:val="left"/>
    </w:pPr>
  </w:style>
  <w:style w:type="paragraph" w:styleId="Spistreci4">
    <w:name w:val="toc 4"/>
    <w:basedOn w:val="Normalny"/>
    <w:next w:val="Normalny"/>
    <w:autoRedefine/>
    <w:uiPriority w:val="39"/>
    <w:rsid w:val="00B92BFC"/>
    <w:pPr>
      <w:tabs>
        <w:tab w:val="clear" w:pos="567"/>
      </w:tabs>
      <w:ind w:left="1588" w:hanging="794"/>
      <w:jc w:val="left"/>
    </w:pPr>
  </w:style>
  <w:style w:type="paragraph" w:styleId="Spistreci5">
    <w:name w:val="toc 5"/>
    <w:basedOn w:val="Normalny"/>
    <w:next w:val="Normalny"/>
    <w:autoRedefine/>
    <w:uiPriority w:val="39"/>
    <w:rsid w:val="00B92BFC"/>
    <w:pPr>
      <w:tabs>
        <w:tab w:val="clear" w:pos="567"/>
      </w:tabs>
      <w:ind w:left="1815" w:hanging="624"/>
      <w:jc w:val="left"/>
    </w:pPr>
  </w:style>
  <w:style w:type="paragraph" w:styleId="Spistreci6">
    <w:name w:val="toc 6"/>
    <w:basedOn w:val="Normalny"/>
    <w:next w:val="Normalny"/>
    <w:autoRedefine/>
    <w:uiPriority w:val="39"/>
    <w:rsid w:val="00B92BFC"/>
    <w:pPr>
      <w:tabs>
        <w:tab w:val="clear" w:pos="567"/>
      </w:tabs>
      <w:ind w:left="624" w:hanging="624"/>
      <w:jc w:val="left"/>
    </w:pPr>
  </w:style>
  <w:style w:type="paragraph" w:styleId="Spistreci7">
    <w:name w:val="toc 7"/>
    <w:basedOn w:val="Normalny"/>
    <w:next w:val="Normalny"/>
    <w:autoRedefine/>
    <w:uiPriority w:val="39"/>
    <w:rsid w:val="00B92BFC"/>
    <w:pPr>
      <w:tabs>
        <w:tab w:val="clear" w:pos="567"/>
      </w:tabs>
      <w:ind w:left="624" w:hanging="624"/>
      <w:jc w:val="left"/>
    </w:pPr>
  </w:style>
  <w:style w:type="character" w:styleId="Hipercze">
    <w:name w:val="Hyperlink"/>
    <w:uiPriority w:val="99"/>
    <w:rsid w:val="00B92BFC"/>
    <w:rPr>
      <w:color w:val="0000FF"/>
      <w:u w:val="single"/>
    </w:rPr>
  </w:style>
  <w:style w:type="paragraph" w:styleId="Listapunktowana2">
    <w:name w:val="List Bullet 2"/>
    <w:basedOn w:val="Normalny"/>
    <w:autoRedefine/>
    <w:rsid w:val="00B92BFC"/>
    <w:pPr>
      <w:tabs>
        <w:tab w:val="left" w:pos="1134"/>
      </w:tabs>
      <w:spacing w:line="280" w:lineRule="atLeast"/>
      <w:ind w:left="851" w:hanging="284"/>
      <w:jc w:val="left"/>
    </w:pPr>
  </w:style>
  <w:style w:type="paragraph" w:styleId="Listapunktowana3">
    <w:name w:val="List Bullet 3"/>
    <w:basedOn w:val="Normalny"/>
    <w:autoRedefine/>
    <w:rsid w:val="00B92BFC"/>
    <w:pPr>
      <w:tabs>
        <w:tab w:val="clear" w:pos="567"/>
        <w:tab w:val="left" w:pos="851"/>
        <w:tab w:val="left" w:pos="1134"/>
      </w:tabs>
      <w:spacing w:line="280" w:lineRule="atLeast"/>
      <w:ind w:left="1135" w:hanging="284"/>
      <w:jc w:val="left"/>
    </w:pPr>
  </w:style>
  <w:style w:type="paragraph" w:styleId="Listapunktowana4">
    <w:name w:val="List Bullet 4"/>
    <w:basedOn w:val="Normalny"/>
    <w:autoRedefine/>
    <w:rsid w:val="00B92BFC"/>
    <w:pPr>
      <w:tabs>
        <w:tab w:val="clear" w:pos="567"/>
        <w:tab w:val="left" w:pos="1134"/>
      </w:tabs>
      <w:spacing w:line="280" w:lineRule="atLeast"/>
      <w:ind w:left="1418" w:hanging="284"/>
      <w:jc w:val="left"/>
    </w:pPr>
  </w:style>
  <w:style w:type="paragraph" w:styleId="Listanumerowana">
    <w:name w:val="List Number"/>
    <w:basedOn w:val="Normalny"/>
    <w:rsid w:val="00B92BFC"/>
    <w:pPr>
      <w:tabs>
        <w:tab w:val="clear" w:pos="567"/>
        <w:tab w:val="left" w:pos="284"/>
        <w:tab w:val="left" w:pos="1134"/>
      </w:tabs>
      <w:spacing w:line="280" w:lineRule="atLeast"/>
      <w:ind w:left="284" w:hanging="284"/>
      <w:jc w:val="left"/>
    </w:pPr>
  </w:style>
  <w:style w:type="paragraph" w:styleId="Listanumerowana2">
    <w:name w:val="List Number 2"/>
    <w:basedOn w:val="Normalny"/>
    <w:rsid w:val="00B92BFC"/>
    <w:pPr>
      <w:numPr>
        <w:numId w:val="10"/>
      </w:numPr>
      <w:tabs>
        <w:tab w:val="clear" w:pos="567"/>
        <w:tab w:val="num" w:pos="574"/>
        <w:tab w:val="left" w:pos="1134"/>
        <w:tab w:val="num" w:pos="1209"/>
      </w:tabs>
      <w:spacing w:line="280" w:lineRule="atLeast"/>
      <w:ind w:left="851" w:hanging="284"/>
      <w:jc w:val="left"/>
    </w:pPr>
  </w:style>
  <w:style w:type="paragraph" w:styleId="Listanumerowana3">
    <w:name w:val="List Number 3"/>
    <w:basedOn w:val="Normalny"/>
    <w:rsid w:val="00B92BFC"/>
    <w:pPr>
      <w:numPr>
        <w:numId w:val="3"/>
      </w:numPr>
      <w:tabs>
        <w:tab w:val="clear" w:pos="567"/>
        <w:tab w:val="num" w:pos="283"/>
        <w:tab w:val="left" w:pos="851"/>
        <w:tab w:val="num" w:pos="1080"/>
        <w:tab w:val="left" w:pos="1134"/>
      </w:tabs>
      <w:spacing w:line="280" w:lineRule="atLeast"/>
      <w:ind w:left="1135" w:hanging="284"/>
      <w:jc w:val="left"/>
    </w:pPr>
  </w:style>
  <w:style w:type="paragraph" w:styleId="Listanumerowana5">
    <w:name w:val="List Number 5"/>
    <w:basedOn w:val="Normalny"/>
    <w:rsid w:val="00B92BFC"/>
    <w:pPr>
      <w:tabs>
        <w:tab w:val="clear" w:pos="567"/>
        <w:tab w:val="num" w:pos="1080"/>
        <w:tab w:val="left" w:pos="1134"/>
        <w:tab w:val="left" w:pos="1418"/>
      </w:tabs>
      <w:spacing w:line="280" w:lineRule="atLeast"/>
      <w:ind w:left="360" w:hanging="360"/>
      <w:jc w:val="left"/>
    </w:pPr>
  </w:style>
  <w:style w:type="paragraph" w:styleId="Listapunktowana5">
    <w:name w:val="List Bullet 5"/>
    <w:basedOn w:val="Normalny"/>
    <w:autoRedefine/>
    <w:rsid w:val="00B92BFC"/>
    <w:pPr>
      <w:numPr>
        <w:numId w:val="19"/>
      </w:numPr>
      <w:tabs>
        <w:tab w:val="clear" w:pos="283"/>
        <w:tab w:val="clear" w:pos="567"/>
        <w:tab w:val="left" w:pos="1134"/>
        <w:tab w:val="left" w:pos="1418"/>
      </w:tabs>
      <w:spacing w:line="280" w:lineRule="atLeast"/>
      <w:ind w:left="1702" w:hanging="284"/>
      <w:jc w:val="left"/>
    </w:pPr>
  </w:style>
  <w:style w:type="paragraph" w:customStyle="1" w:styleId="AA1stlevelbullet">
    <w:name w:val="AA 1st level bullet"/>
    <w:basedOn w:val="Normalny"/>
    <w:rsid w:val="00B92BFC"/>
    <w:pPr>
      <w:tabs>
        <w:tab w:val="clear" w:pos="567"/>
        <w:tab w:val="num" w:pos="926"/>
        <w:tab w:val="num" w:pos="1492"/>
      </w:tabs>
      <w:spacing w:line="280" w:lineRule="atLeast"/>
      <w:ind w:left="284" w:hanging="284"/>
      <w:jc w:val="left"/>
    </w:pPr>
  </w:style>
  <w:style w:type="paragraph" w:customStyle="1" w:styleId="AA2ndlevelbullet">
    <w:name w:val="AA 2nd level bullet"/>
    <w:basedOn w:val="AA1stlevelbullet"/>
    <w:rsid w:val="00B92BFC"/>
    <w:pPr>
      <w:tabs>
        <w:tab w:val="clear" w:pos="926"/>
      </w:tabs>
      <w:ind w:left="0" w:firstLine="0"/>
    </w:pPr>
  </w:style>
  <w:style w:type="paragraph" w:customStyle="1" w:styleId="AANumbering">
    <w:name w:val="AA Numbering"/>
    <w:basedOn w:val="Normalny"/>
    <w:rsid w:val="00B92BFC"/>
    <w:pPr>
      <w:numPr>
        <w:numId w:val="5"/>
      </w:numPr>
      <w:tabs>
        <w:tab w:val="clear" w:pos="567"/>
        <w:tab w:val="num" w:pos="283"/>
        <w:tab w:val="left" w:pos="1134"/>
      </w:tabs>
      <w:spacing w:line="280" w:lineRule="atLeast"/>
      <w:jc w:val="left"/>
    </w:pPr>
  </w:style>
  <w:style w:type="paragraph" w:customStyle="1" w:styleId="podrozdzia1">
    <w:name w:val="podrozdział_1"/>
    <w:basedOn w:val="Normalny"/>
    <w:rsid w:val="00B92BFC"/>
    <w:pPr>
      <w:numPr>
        <w:ilvl w:val="2"/>
        <w:numId w:val="6"/>
      </w:numPr>
      <w:tabs>
        <w:tab w:val="clear" w:pos="567"/>
        <w:tab w:val="num" w:pos="283"/>
        <w:tab w:val="num" w:pos="2520"/>
      </w:tabs>
      <w:spacing w:line="240" w:lineRule="auto"/>
      <w:ind w:left="283" w:hanging="283"/>
      <w:jc w:val="left"/>
    </w:pPr>
    <w:rPr>
      <w:b/>
      <w:bCs/>
      <w:sz w:val="24"/>
      <w:szCs w:val="24"/>
    </w:rPr>
  </w:style>
  <w:style w:type="paragraph" w:customStyle="1" w:styleId="podrozdzia">
    <w:name w:val="podrozdział"/>
    <w:basedOn w:val="Normalny"/>
    <w:autoRedefine/>
    <w:rsid w:val="00B92BFC"/>
    <w:pPr>
      <w:numPr>
        <w:ilvl w:val="1"/>
        <w:numId w:val="6"/>
      </w:numPr>
      <w:pBdr>
        <w:bottom w:val="single" w:sz="4" w:space="1" w:color="auto"/>
      </w:pBdr>
      <w:tabs>
        <w:tab w:val="clear" w:pos="567"/>
        <w:tab w:val="num" w:pos="283"/>
        <w:tab w:val="num" w:pos="1800"/>
      </w:tabs>
      <w:spacing w:line="240" w:lineRule="auto"/>
      <w:ind w:left="283" w:hanging="283"/>
      <w:jc w:val="left"/>
    </w:pPr>
    <w:rPr>
      <w:b/>
      <w:bCs/>
      <w:sz w:val="28"/>
      <w:szCs w:val="28"/>
    </w:rPr>
  </w:style>
  <w:style w:type="paragraph" w:customStyle="1" w:styleId="TABELA">
    <w:name w:val="TABELA"/>
    <w:basedOn w:val="Normalny"/>
    <w:autoRedefine/>
    <w:rsid w:val="00B92BFC"/>
    <w:pPr>
      <w:spacing w:line="360" w:lineRule="exact"/>
    </w:pPr>
    <w:rPr>
      <w:i/>
      <w:iCs/>
      <w:lang w:val="pl-PL"/>
    </w:rPr>
  </w:style>
  <w:style w:type="character" w:customStyle="1" w:styleId="AAAddress">
    <w:name w:val="AA Address"/>
    <w:rsid w:val="00B92BFC"/>
    <w:rPr>
      <w:rFonts w:ascii="Arial" w:hAnsi="Arial" w:cs="Arial"/>
      <w:color w:val="auto"/>
      <w:spacing w:val="0"/>
      <w:w w:val="100"/>
      <w:position w:val="0"/>
      <w:sz w:val="14"/>
      <w:szCs w:val="14"/>
      <w:u w:val="none"/>
      <w:vertAlign w:val="baseline"/>
      <w:lang w:val="en-US" w:eastAsia="x-none"/>
    </w:rPr>
  </w:style>
  <w:style w:type="character" w:customStyle="1" w:styleId="AAReference">
    <w:name w:val="AA Reference"/>
    <w:rsid w:val="00B92BFC"/>
    <w:rPr>
      <w:rFonts w:ascii="Arial" w:hAnsi="Arial" w:cs="Arial"/>
      <w:color w:val="auto"/>
      <w:spacing w:val="0"/>
      <w:w w:val="100"/>
      <w:position w:val="0"/>
      <w:sz w:val="14"/>
      <w:szCs w:val="14"/>
      <w:vertAlign w:val="baseline"/>
      <w:lang w:val="en-US" w:eastAsia="x-none"/>
    </w:rPr>
  </w:style>
  <w:style w:type="paragraph" w:customStyle="1" w:styleId="AAFrameAddress">
    <w:name w:val="AA Frame Address"/>
    <w:basedOn w:val="Nagwek1"/>
    <w:rsid w:val="00B92BFC"/>
    <w:pPr>
      <w:framePr w:w="2812" w:h="1701" w:hSpace="142" w:vSpace="142" w:wrap="auto" w:vAnchor="page" w:hAnchor="page" w:x="8024" w:y="2723"/>
      <w:numPr>
        <w:numId w:val="7"/>
      </w:numPr>
      <w:shd w:val="clear" w:color="FFFFFF" w:fill="auto"/>
      <w:tabs>
        <w:tab w:val="num" w:pos="720"/>
        <w:tab w:val="num" w:pos="1105"/>
      </w:tabs>
      <w:spacing w:before="960" w:after="90"/>
      <w:ind w:left="1105" w:hanging="397"/>
    </w:pPr>
    <w:rPr>
      <w:noProof/>
      <w:kern w:val="0"/>
      <w:sz w:val="28"/>
      <w:szCs w:val="28"/>
    </w:rPr>
  </w:style>
  <w:style w:type="paragraph" w:customStyle="1" w:styleId="AAFrameLogo">
    <w:name w:val="AA Frame Logo"/>
    <w:basedOn w:val="Normalny"/>
    <w:rsid w:val="00B92BFC"/>
    <w:pPr>
      <w:framePr w:w="4253" w:h="1418" w:hRule="exact" w:hSpace="142" w:vSpace="142" w:wrap="auto" w:vAnchor="page" w:hAnchor="page" w:x="7457" w:y="568"/>
      <w:tabs>
        <w:tab w:val="clear" w:pos="567"/>
        <w:tab w:val="left" w:pos="1134"/>
      </w:tabs>
      <w:spacing w:line="280" w:lineRule="atLeast"/>
      <w:jc w:val="left"/>
    </w:pPr>
  </w:style>
  <w:style w:type="paragraph" w:customStyle="1" w:styleId="ReportMenuBar">
    <w:name w:val="ReportMenuBar"/>
    <w:basedOn w:val="Normalny"/>
    <w:rsid w:val="00B92BFC"/>
    <w:pPr>
      <w:tabs>
        <w:tab w:val="clear" w:pos="567"/>
        <w:tab w:val="left" w:pos="227"/>
        <w:tab w:val="left" w:pos="454"/>
        <w:tab w:val="left" w:pos="680"/>
        <w:tab w:val="left" w:pos="907"/>
      </w:tabs>
      <w:spacing w:line="240" w:lineRule="atLeast"/>
      <w:jc w:val="left"/>
    </w:pPr>
    <w:rPr>
      <w:b/>
      <w:bCs/>
      <w:color w:val="FFFFFF"/>
      <w:sz w:val="30"/>
      <w:szCs w:val="30"/>
      <w:lang w:val="pl-PL"/>
    </w:rPr>
  </w:style>
  <w:style w:type="paragraph" w:customStyle="1" w:styleId="tekst">
    <w:name w:val="tekst"/>
    <w:basedOn w:val="Normalny"/>
    <w:rsid w:val="00B92BFC"/>
    <w:pPr>
      <w:tabs>
        <w:tab w:val="clear" w:pos="567"/>
      </w:tabs>
      <w:spacing w:line="240" w:lineRule="auto"/>
    </w:pPr>
    <w:rPr>
      <w:sz w:val="20"/>
      <w:szCs w:val="20"/>
      <w:lang w:val="pl-PL"/>
    </w:rPr>
  </w:style>
  <w:style w:type="paragraph" w:customStyle="1" w:styleId="Nagwek0">
    <w:name w:val="Nagłówek 0"/>
    <w:basedOn w:val="Normalny"/>
    <w:rsid w:val="00B92BFC"/>
    <w:pPr>
      <w:tabs>
        <w:tab w:val="clear" w:pos="567"/>
        <w:tab w:val="left" w:pos="1134"/>
      </w:tabs>
      <w:spacing w:line="280" w:lineRule="atLeast"/>
    </w:pPr>
    <w:rPr>
      <w:b/>
      <w:bCs/>
      <w:sz w:val="40"/>
      <w:szCs w:val="40"/>
      <w:lang w:val="pl-PL"/>
    </w:rPr>
  </w:style>
  <w:style w:type="character" w:styleId="UyteHipercze">
    <w:name w:val="FollowedHyperlink"/>
    <w:rsid w:val="00B92BFC"/>
    <w:rPr>
      <w:color w:val="800080"/>
      <w:u w:val="single"/>
    </w:rPr>
  </w:style>
  <w:style w:type="paragraph" w:customStyle="1" w:styleId="xl26">
    <w:name w:val="xl26"/>
    <w:basedOn w:val="Normalny"/>
    <w:rsid w:val="00B92BFC"/>
    <w:pPr>
      <w:tabs>
        <w:tab w:val="clear" w:pos="567"/>
      </w:tabs>
      <w:spacing w:before="100" w:beforeAutospacing="1" w:after="100" w:afterAutospacing="1" w:line="240" w:lineRule="auto"/>
      <w:jc w:val="left"/>
    </w:pPr>
    <w:rPr>
      <w:sz w:val="18"/>
      <w:szCs w:val="18"/>
      <w:lang w:val="pl-PL"/>
    </w:rPr>
  </w:style>
  <w:style w:type="paragraph" w:styleId="Stopka">
    <w:name w:val="footer"/>
    <w:basedOn w:val="Normalny"/>
    <w:rsid w:val="00B92BFC"/>
    <w:pPr>
      <w:tabs>
        <w:tab w:val="clear" w:pos="567"/>
        <w:tab w:val="center" w:pos="4536"/>
        <w:tab w:val="right" w:pos="9072"/>
      </w:tabs>
    </w:pPr>
  </w:style>
  <w:style w:type="character" w:styleId="Numerstrony">
    <w:name w:val="page number"/>
    <w:basedOn w:val="Domylnaczcionkaakapitu"/>
    <w:rsid w:val="00B92BFC"/>
  </w:style>
  <w:style w:type="paragraph" w:customStyle="1" w:styleId="xl32">
    <w:name w:val="xl32"/>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b/>
      <w:bCs/>
      <w:sz w:val="16"/>
      <w:szCs w:val="16"/>
      <w:lang w:val="pl-PL"/>
    </w:rPr>
  </w:style>
  <w:style w:type="paragraph" w:customStyle="1" w:styleId="xl33">
    <w:name w:val="xl33"/>
    <w:basedOn w:val="Normalny"/>
    <w:rsid w:val="00B92BFC"/>
    <w:pPr>
      <w:pBdr>
        <w:top w:val="single" w:sz="4" w:space="0" w:color="auto"/>
        <w:left w:val="single" w:sz="4" w:space="0" w:color="auto"/>
        <w:bottom w:val="single" w:sz="4" w:space="0" w:color="auto"/>
        <w:right w:val="single" w:sz="4" w:space="0" w:color="auto"/>
      </w:pBdr>
      <w:shd w:val="clear" w:color="auto" w:fill="FFFF00"/>
      <w:tabs>
        <w:tab w:val="clear" w:pos="567"/>
      </w:tabs>
      <w:spacing w:before="100" w:after="100" w:line="240" w:lineRule="auto"/>
      <w:jc w:val="center"/>
    </w:pPr>
    <w:rPr>
      <w:b/>
      <w:bCs/>
      <w:color w:val="0000FF"/>
      <w:sz w:val="16"/>
      <w:szCs w:val="16"/>
      <w:lang w:val="pl-PL"/>
    </w:rPr>
  </w:style>
  <w:style w:type="paragraph" w:customStyle="1" w:styleId="xl34">
    <w:name w:val="xl34"/>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b/>
      <w:bCs/>
      <w:sz w:val="16"/>
      <w:szCs w:val="16"/>
      <w:lang w:val="pl-PL"/>
    </w:rPr>
  </w:style>
  <w:style w:type="paragraph" w:customStyle="1" w:styleId="xl35">
    <w:name w:val="xl35"/>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b/>
      <w:bCs/>
      <w:color w:val="0000FF"/>
      <w:sz w:val="16"/>
      <w:szCs w:val="16"/>
      <w:lang w:val="pl-PL"/>
    </w:rPr>
  </w:style>
  <w:style w:type="paragraph" w:customStyle="1" w:styleId="xl36">
    <w:name w:val="xl36"/>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sz w:val="16"/>
      <w:szCs w:val="16"/>
      <w:lang w:val="pl-PL"/>
    </w:rPr>
  </w:style>
  <w:style w:type="paragraph" w:customStyle="1" w:styleId="xl37">
    <w:name w:val="xl37"/>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sz w:val="16"/>
      <w:szCs w:val="16"/>
      <w:lang w:val="pl-PL"/>
    </w:rPr>
  </w:style>
  <w:style w:type="paragraph" w:customStyle="1" w:styleId="xl38">
    <w:name w:val="xl38"/>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left"/>
    </w:pPr>
    <w:rPr>
      <w:sz w:val="16"/>
      <w:szCs w:val="16"/>
      <w:lang w:val="pl-PL"/>
    </w:rPr>
  </w:style>
  <w:style w:type="paragraph" w:customStyle="1" w:styleId="xl39">
    <w:name w:val="xl39"/>
    <w:basedOn w:val="Normalny"/>
    <w:rsid w:val="00B92BFC"/>
    <w:pPr>
      <w:pBdr>
        <w:top w:val="single" w:sz="4" w:space="0" w:color="auto"/>
        <w:left w:val="single" w:sz="4" w:space="0" w:color="auto"/>
        <w:bottom w:val="single" w:sz="4" w:space="0" w:color="auto"/>
        <w:right w:val="single" w:sz="4" w:space="0" w:color="auto"/>
      </w:pBdr>
      <w:shd w:val="clear" w:color="auto" w:fill="FFFF00"/>
      <w:tabs>
        <w:tab w:val="clear" w:pos="567"/>
      </w:tabs>
      <w:spacing w:before="100" w:after="100" w:line="240" w:lineRule="auto"/>
      <w:jc w:val="center"/>
    </w:pPr>
    <w:rPr>
      <w:b/>
      <w:bCs/>
      <w:color w:val="0000FF"/>
      <w:sz w:val="16"/>
      <w:szCs w:val="16"/>
      <w:lang w:val="pl-PL"/>
    </w:rPr>
  </w:style>
  <w:style w:type="paragraph" w:customStyle="1" w:styleId="xl40">
    <w:name w:val="xl40"/>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customStyle="1" w:styleId="xl41">
    <w:name w:val="xl41"/>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customStyle="1" w:styleId="xl42">
    <w:name w:val="xl42"/>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color w:val="0000FF"/>
      <w:sz w:val="16"/>
      <w:szCs w:val="16"/>
      <w:lang w:val="pl-PL"/>
    </w:rPr>
  </w:style>
  <w:style w:type="paragraph" w:customStyle="1" w:styleId="xl43">
    <w:name w:val="xl43"/>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customStyle="1" w:styleId="xl44">
    <w:name w:val="xl44"/>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b/>
      <w:bCs/>
      <w:sz w:val="16"/>
      <w:szCs w:val="16"/>
      <w:lang w:val="pl-PL"/>
    </w:rPr>
  </w:style>
  <w:style w:type="paragraph" w:customStyle="1" w:styleId="xl45">
    <w:name w:val="xl45"/>
    <w:basedOn w:val="Normalny"/>
    <w:rsid w:val="00B92BFC"/>
    <w:pPr>
      <w:pBdr>
        <w:top w:val="single" w:sz="4" w:space="0" w:color="auto"/>
        <w:left w:val="single" w:sz="4" w:space="0" w:color="auto"/>
        <w:bottom w:val="single" w:sz="4" w:space="0" w:color="auto"/>
        <w:right w:val="single" w:sz="4" w:space="0" w:color="auto"/>
      </w:pBdr>
      <w:tabs>
        <w:tab w:val="clear" w:pos="567"/>
      </w:tabs>
      <w:spacing w:before="100" w:after="100" w:line="240" w:lineRule="auto"/>
      <w:jc w:val="center"/>
    </w:pPr>
    <w:rPr>
      <w:sz w:val="16"/>
      <w:szCs w:val="16"/>
      <w:lang w:val="pl-PL"/>
    </w:rPr>
  </w:style>
  <w:style w:type="paragraph" w:customStyle="1" w:styleId="xl46">
    <w:name w:val="xl46"/>
    <w:basedOn w:val="Normalny"/>
    <w:rsid w:val="00B92BFC"/>
    <w:pPr>
      <w:pBdr>
        <w:top w:val="single" w:sz="4" w:space="0" w:color="auto"/>
        <w:left w:val="single" w:sz="4" w:space="0" w:color="auto"/>
        <w:bottom w:val="single" w:sz="4" w:space="0" w:color="auto"/>
        <w:right w:val="single" w:sz="4" w:space="0" w:color="auto"/>
      </w:pBdr>
      <w:shd w:val="clear" w:color="auto" w:fill="C0C0C0"/>
      <w:tabs>
        <w:tab w:val="clear" w:pos="567"/>
      </w:tabs>
      <w:spacing w:before="100" w:after="100" w:line="240" w:lineRule="auto"/>
      <w:jc w:val="center"/>
    </w:pPr>
    <w:rPr>
      <w:b/>
      <w:bCs/>
      <w:sz w:val="16"/>
      <w:szCs w:val="16"/>
      <w:lang w:val="pl-PL"/>
    </w:rPr>
  </w:style>
  <w:style w:type="paragraph" w:styleId="Mapadokumentu">
    <w:name w:val="Document Map"/>
    <w:basedOn w:val="Normalny"/>
    <w:semiHidden/>
    <w:rsid w:val="00B92BFC"/>
    <w:pPr>
      <w:numPr>
        <w:numId w:val="20"/>
      </w:numPr>
      <w:shd w:val="clear" w:color="auto" w:fill="000080"/>
      <w:tabs>
        <w:tab w:val="clear" w:pos="1970"/>
      </w:tabs>
      <w:ind w:firstLine="0"/>
    </w:pPr>
    <w:rPr>
      <w:rFonts w:ascii="Tahoma" w:hAnsi="Tahoma" w:cs="Tahoma"/>
    </w:rPr>
  </w:style>
  <w:style w:type="paragraph" w:customStyle="1" w:styleId="TABELAK">
    <w:name w:val="TABELA_K"/>
    <w:basedOn w:val="TABELA"/>
    <w:rsid w:val="00B92BFC"/>
    <w:pPr>
      <w:numPr>
        <w:numId w:val="8"/>
      </w:numPr>
      <w:tabs>
        <w:tab w:val="clear" w:pos="926"/>
        <w:tab w:val="num" w:pos="720"/>
        <w:tab w:val="num" w:pos="927"/>
      </w:tabs>
      <w:ind w:left="927"/>
    </w:pPr>
  </w:style>
  <w:style w:type="paragraph" w:customStyle="1" w:styleId="TAB">
    <w:name w:val="TAB"/>
    <w:basedOn w:val="Normalny"/>
    <w:rsid w:val="00B92BFC"/>
  </w:style>
  <w:style w:type="paragraph" w:styleId="NormalnyWeb">
    <w:name w:val="Normal (Web)"/>
    <w:basedOn w:val="Normalny"/>
    <w:rsid w:val="00B92BFC"/>
    <w:pPr>
      <w:tabs>
        <w:tab w:val="clear" w:pos="567"/>
      </w:tabs>
      <w:spacing w:before="100" w:after="100" w:line="240" w:lineRule="auto"/>
      <w:jc w:val="left"/>
    </w:pPr>
    <w:rPr>
      <w:sz w:val="24"/>
      <w:szCs w:val="24"/>
      <w:lang w:val="pl-PL"/>
    </w:rPr>
  </w:style>
  <w:style w:type="paragraph" w:customStyle="1" w:styleId="Styl12ptKursywaWyrwnanydorodka">
    <w:name w:val="Styl 12 pt Kursywa Wyrównany do środka"/>
    <w:basedOn w:val="Normalny"/>
    <w:autoRedefine/>
    <w:rsid w:val="00B92BFC"/>
    <w:pPr>
      <w:ind w:left="1134"/>
      <w:jc w:val="left"/>
    </w:pPr>
    <w:rPr>
      <w:i/>
      <w:iCs/>
      <w:sz w:val="24"/>
      <w:szCs w:val="24"/>
    </w:rPr>
  </w:style>
  <w:style w:type="paragraph" w:customStyle="1" w:styleId="StylWyrwnanydorodkaInterliniaDokadnie13pt">
    <w:name w:val="Styl Wyrównany do środka Interlinia:  Dokładnie 13 pt"/>
    <w:basedOn w:val="Normalny"/>
    <w:rsid w:val="00B92BFC"/>
    <w:pPr>
      <w:numPr>
        <w:numId w:val="21"/>
      </w:numPr>
      <w:tabs>
        <w:tab w:val="clear" w:pos="737"/>
      </w:tabs>
      <w:spacing w:line="260" w:lineRule="exact"/>
      <w:ind w:left="0" w:firstLine="0"/>
      <w:jc w:val="left"/>
    </w:pPr>
  </w:style>
  <w:style w:type="paragraph" w:customStyle="1" w:styleId="Zalacznik">
    <w:name w:val="Zalacznik"/>
    <w:basedOn w:val="Normalny"/>
    <w:autoRedefine/>
    <w:rsid w:val="00B92BFC"/>
    <w:pPr>
      <w:numPr>
        <w:numId w:val="9"/>
      </w:numPr>
      <w:tabs>
        <w:tab w:val="clear" w:pos="1492"/>
        <w:tab w:val="num" w:pos="1494"/>
        <w:tab w:val="num" w:pos="1970"/>
      </w:tabs>
      <w:spacing w:line="260" w:lineRule="exact"/>
      <w:ind w:left="1494" w:firstLine="170"/>
    </w:pPr>
    <w:rPr>
      <w:b/>
      <w:bCs/>
      <w:lang w:val="pl-PL"/>
    </w:rPr>
  </w:style>
  <w:style w:type="paragraph" w:customStyle="1" w:styleId="StylNagwek1">
    <w:name w:val="Styl Nagłówek 1"/>
    <w:basedOn w:val="Nagwek0"/>
    <w:rsid w:val="00B92BFC"/>
    <w:pPr>
      <w:jc w:val="left"/>
    </w:pPr>
  </w:style>
  <w:style w:type="paragraph" w:customStyle="1" w:styleId="CM15">
    <w:name w:val="CM15"/>
    <w:basedOn w:val="Normalny"/>
    <w:next w:val="Normalny"/>
    <w:rsid w:val="00B92BFC"/>
    <w:pPr>
      <w:widowControl w:val="0"/>
      <w:tabs>
        <w:tab w:val="clear" w:pos="567"/>
      </w:tabs>
      <w:autoSpaceDE w:val="0"/>
      <w:autoSpaceDN w:val="0"/>
      <w:adjustRightInd w:val="0"/>
      <w:spacing w:after="115" w:line="240" w:lineRule="auto"/>
      <w:jc w:val="left"/>
    </w:pPr>
    <w:rPr>
      <w:rFonts w:ascii="TT E 2 EC 7 E 68t 00" w:hAnsi="TT E 2 EC 7 E 68t 00" w:cs="TT E 2 EC 7 E 68t 00"/>
      <w:sz w:val="24"/>
      <w:szCs w:val="24"/>
      <w:lang w:val="pl-PL"/>
    </w:rPr>
  </w:style>
  <w:style w:type="paragraph" w:customStyle="1" w:styleId="CM5">
    <w:name w:val="CM5"/>
    <w:basedOn w:val="Normalny"/>
    <w:next w:val="Normalny"/>
    <w:rsid w:val="00B92BFC"/>
    <w:pPr>
      <w:widowControl w:val="0"/>
      <w:tabs>
        <w:tab w:val="clear" w:pos="567"/>
      </w:tabs>
      <w:autoSpaceDE w:val="0"/>
      <w:autoSpaceDN w:val="0"/>
      <w:adjustRightInd w:val="0"/>
      <w:spacing w:line="380" w:lineRule="atLeast"/>
      <w:jc w:val="left"/>
    </w:pPr>
    <w:rPr>
      <w:rFonts w:ascii="TT E 2 EC 7 E 68t 00" w:hAnsi="TT E 2 EC 7 E 68t 00" w:cs="TT E 2 EC 7 E 68t 00"/>
      <w:sz w:val="24"/>
      <w:szCs w:val="24"/>
      <w:lang w:val="pl-PL"/>
    </w:rPr>
  </w:style>
  <w:style w:type="paragraph" w:customStyle="1" w:styleId="CM14">
    <w:name w:val="CM14"/>
    <w:basedOn w:val="Normalny"/>
    <w:next w:val="Normalny"/>
    <w:rsid w:val="00B92BFC"/>
    <w:pPr>
      <w:widowControl w:val="0"/>
      <w:tabs>
        <w:tab w:val="clear" w:pos="567"/>
      </w:tabs>
      <w:autoSpaceDE w:val="0"/>
      <w:autoSpaceDN w:val="0"/>
      <w:adjustRightInd w:val="0"/>
      <w:spacing w:after="378" w:line="240" w:lineRule="auto"/>
      <w:jc w:val="left"/>
    </w:pPr>
    <w:rPr>
      <w:rFonts w:ascii="TT E 2 EC 7 E 68t 00" w:hAnsi="TT E 2 EC 7 E 68t 00" w:cs="TT E 2 EC 7 E 68t 00"/>
      <w:sz w:val="24"/>
      <w:szCs w:val="24"/>
      <w:lang w:val="pl-PL"/>
    </w:rPr>
  </w:style>
  <w:style w:type="paragraph" w:customStyle="1" w:styleId="Default">
    <w:name w:val="Default"/>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
    <w:name w:val="Default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1">
    <w:name w:val="Default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2">
    <w:name w:val="Default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2">
    <w:name w:val="Default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
    <w:name w:val="Default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MIKNagwek1">
    <w:name w:val="MIK_Nagłówek 1"/>
    <w:basedOn w:val="Nagwek1"/>
    <w:autoRedefine/>
    <w:rsid w:val="00B92BFC"/>
    <w:pPr>
      <w:numPr>
        <w:numId w:val="26"/>
      </w:numPr>
      <w:shd w:val="solid" w:color="FFFFFF" w:fill="FFFFFF"/>
      <w:tabs>
        <w:tab w:val="clear" w:pos="567"/>
      </w:tabs>
      <w:spacing w:before="960" w:after="480"/>
    </w:pPr>
  </w:style>
  <w:style w:type="paragraph" w:customStyle="1" w:styleId="MIKNagwek2">
    <w:name w:val="MIK_Nagłówek 2"/>
    <w:basedOn w:val="Nagwek2"/>
    <w:next w:val="Normalny"/>
    <w:autoRedefine/>
    <w:rsid w:val="0000694E"/>
    <w:rPr>
      <w:b/>
      <w:bCs/>
    </w:rPr>
  </w:style>
  <w:style w:type="paragraph" w:customStyle="1" w:styleId="MIKNagwek0">
    <w:name w:val="MIK_Nagłówek 0"/>
    <w:basedOn w:val="Nagwek1"/>
    <w:autoRedefine/>
    <w:rsid w:val="00191CCC"/>
    <w:pPr>
      <w:tabs>
        <w:tab w:val="clear" w:pos="567"/>
      </w:tabs>
    </w:pPr>
    <w:rPr>
      <w:b w:val="0"/>
      <w:bCs w:val="0"/>
      <w:kern w:val="0"/>
      <w:sz w:val="22"/>
      <w:szCs w:val="22"/>
      <w:lang w:val="pl-PL"/>
    </w:rPr>
  </w:style>
  <w:style w:type="paragraph" w:customStyle="1" w:styleId="MIKNagwek21">
    <w:name w:val="MIK_Nagłówek_21"/>
    <w:basedOn w:val="Nagwek2"/>
    <w:autoRedefine/>
    <w:rsid w:val="00B92BFC"/>
    <w:pPr>
      <w:numPr>
        <w:numId w:val="25"/>
      </w:numPr>
    </w:pPr>
    <w:rPr>
      <w:b/>
      <w:bCs/>
      <w:sz w:val="24"/>
      <w:szCs w:val="24"/>
    </w:rPr>
  </w:style>
  <w:style w:type="paragraph" w:customStyle="1" w:styleId="MIKNagwek22">
    <w:name w:val="MIK_Nagłówek_22"/>
    <w:basedOn w:val="MIKNagwek21"/>
    <w:autoRedefine/>
    <w:rsid w:val="0000694E"/>
    <w:pPr>
      <w:numPr>
        <w:numId w:val="0"/>
      </w:numPr>
    </w:pPr>
  </w:style>
  <w:style w:type="paragraph" w:customStyle="1" w:styleId="MIKNagwek3">
    <w:name w:val="MIK_Nagłówek 3"/>
    <w:basedOn w:val="MIKNagwek2"/>
    <w:next w:val="Normalny"/>
    <w:autoRedefine/>
    <w:rsid w:val="00B92BFC"/>
  </w:style>
  <w:style w:type="paragraph" w:customStyle="1" w:styleId="MIKNagwek4">
    <w:name w:val="MIK_Nagłówek 4"/>
    <w:basedOn w:val="MIKNagwek3"/>
    <w:autoRedefine/>
    <w:rsid w:val="0000694E"/>
  </w:style>
  <w:style w:type="paragraph" w:customStyle="1" w:styleId="Default14">
    <w:name w:val="Default1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
    <w:name w:val="Default13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
    <w:name w:val="Default13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
    <w:name w:val="Default131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5">
    <w:name w:val="Default15"/>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2">
    <w:name w:val="Default13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2">
    <w:name w:val="Default13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2">
    <w:name w:val="Default131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6">
    <w:name w:val="Default16"/>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3">
    <w:name w:val="Default13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3">
    <w:name w:val="Default13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3">
    <w:name w:val="Default131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1">
    <w:name w:val="Default131111"/>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7">
    <w:name w:val="Default17"/>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4">
    <w:name w:val="Default13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4">
    <w:name w:val="Default131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4">
    <w:name w:val="Default13114"/>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2">
    <w:name w:val="Default131112"/>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Default131113">
    <w:name w:val="Default131113"/>
    <w:rsid w:val="00B92BFC"/>
    <w:pPr>
      <w:widowControl w:val="0"/>
      <w:autoSpaceDE w:val="0"/>
      <w:autoSpaceDN w:val="0"/>
      <w:adjustRightInd w:val="0"/>
    </w:pPr>
    <w:rPr>
      <w:rFonts w:ascii="TT E 2 EC 7 E 68t 00" w:hAnsi="TT E 2 EC 7 E 68t 00" w:cs="TT E 2 EC 7 E 68t 00"/>
      <w:color w:val="000000"/>
      <w:sz w:val="24"/>
      <w:szCs w:val="24"/>
      <w:lang w:val="pl-PL" w:eastAsia="pl-PL"/>
    </w:rPr>
  </w:style>
  <w:style w:type="paragraph" w:customStyle="1" w:styleId="Znak1">
    <w:name w:val="Znak1"/>
    <w:basedOn w:val="Normalny"/>
    <w:autoRedefine/>
    <w:rsid w:val="00B92BFC"/>
    <w:pPr>
      <w:tabs>
        <w:tab w:val="clear" w:pos="567"/>
      </w:tabs>
      <w:spacing w:after="120" w:line="240" w:lineRule="exact"/>
      <w:jc w:val="left"/>
    </w:pPr>
    <w:rPr>
      <w:sz w:val="20"/>
      <w:szCs w:val="20"/>
      <w:lang w:eastAsia="en-US"/>
    </w:rPr>
  </w:style>
  <w:style w:type="paragraph" w:customStyle="1" w:styleId="Znak2">
    <w:name w:val="Znak2"/>
    <w:basedOn w:val="Normalny"/>
    <w:autoRedefine/>
    <w:rsid w:val="00B92BFC"/>
    <w:pPr>
      <w:tabs>
        <w:tab w:val="clear" w:pos="567"/>
      </w:tabs>
      <w:spacing w:after="120" w:line="240" w:lineRule="exact"/>
      <w:jc w:val="left"/>
    </w:pPr>
    <w:rPr>
      <w:sz w:val="20"/>
      <w:szCs w:val="20"/>
      <w:lang w:eastAsia="en-US"/>
    </w:rPr>
  </w:style>
  <w:style w:type="paragraph" w:customStyle="1" w:styleId="Znak3">
    <w:name w:val="Znak3"/>
    <w:basedOn w:val="Normalny"/>
    <w:autoRedefine/>
    <w:rsid w:val="00B92BFC"/>
    <w:pPr>
      <w:tabs>
        <w:tab w:val="clear" w:pos="567"/>
      </w:tabs>
      <w:spacing w:after="120" w:line="240" w:lineRule="exact"/>
      <w:jc w:val="left"/>
    </w:pPr>
    <w:rPr>
      <w:sz w:val="20"/>
      <w:szCs w:val="20"/>
      <w:lang w:eastAsia="en-US"/>
    </w:rPr>
  </w:style>
  <w:style w:type="paragraph" w:styleId="Tekstkomentarza">
    <w:name w:val="annotation text"/>
    <w:basedOn w:val="Normalny"/>
    <w:semiHidden/>
    <w:rsid w:val="00F960A3"/>
    <w:rPr>
      <w:sz w:val="20"/>
      <w:szCs w:val="20"/>
    </w:rPr>
  </w:style>
  <w:style w:type="paragraph" w:styleId="Tematkomentarza">
    <w:name w:val="annotation subject"/>
    <w:basedOn w:val="Tekstkomentarza"/>
    <w:next w:val="Tekstkomentarza"/>
    <w:semiHidden/>
    <w:rsid w:val="00F960A3"/>
    <w:pPr>
      <w:tabs>
        <w:tab w:val="clear" w:pos="567"/>
      </w:tabs>
      <w:spacing w:line="240" w:lineRule="auto"/>
      <w:jc w:val="left"/>
    </w:pPr>
    <w:rPr>
      <w:rFonts w:ascii="Times New Roman" w:hAnsi="Times New Roman" w:cs="Times New Roman"/>
      <w:b/>
      <w:bCs/>
      <w:lang w:val="pl-PL"/>
    </w:rPr>
  </w:style>
  <w:style w:type="paragraph" w:styleId="Tekstpodstawowywcity3">
    <w:name w:val="Body Text Indent 3"/>
    <w:basedOn w:val="Normalny"/>
    <w:rsid w:val="00993E62"/>
    <w:pPr>
      <w:tabs>
        <w:tab w:val="clear" w:pos="567"/>
      </w:tabs>
      <w:spacing w:after="120" w:line="240" w:lineRule="auto"/>
      <w:ind w:left="283"/>
      <w:jc w:val="left"/>
    </w:pPr>
    <w:rPr>
      <w:rFonts w:ascii="Times New Roman" w:hAnsi="Times New Roman" w:cs="Times New Roman"/>
      <w:sz w:val="16"/>
      <w:szCs w:val="16"/>
      <w:lang w:val="pl-PL"/>
    </w:rPr>
  </w:style>
  <w:style w:type="paragraph" w:styleId="Spistreci8">
    <w:name w:val="toc 8"/>
    <w:basedOn w:val="Normalny"/>
    <w:next w:val="Normalny"/>
    <w:autoRedefine/>
    <w:uiPriority w:val="39"/>
    <w:rsid w:val="008907A3"/>
    <w:pPr>
      <w:tabs>
        <w:tab w:val="clear" w:pos="567"/>
      </w:tabs>
      <w:spacing w:line="240" w:lineRule="auto"/>
      <w:ind w:left="1680"/>
      <w:jc w:val="left"/>
    </w:pPr>
    <w:rPr>
      <w:rFonts w:ascii="Times New Roman" w:hAnsi="Times New Roman" w:cs="Times New Roman"/>
      <w:sz w:val="24"/>
      <w:szCs w:val="24"/>
      <w:lang w:val="pl-PL"/>
    </w:rPr>
  </w:style>
  <w:style w:type="paragraph" w:styleId="Spistreci9">
    <w:name w:val="toc 9"/>
    <w:basedOn w:val="Normalny"/>
    <w:next w:val="Normalny"/>
    <w:autoRedefine/>
    <w:uiPriority w:val="39"/>
    <w:rsid w:val="008907A3"/>
    <w:pPr>
      <w:tabs>
        <w:tab w:val="clear" w:pos="567"/>
      </w:tabs>
      <w:spacing w:line="240" w:lineRule="auto"/>
      <w:ind w:left="1920"/>
      <w:jc w:val="left"/>
    </w:pPr>
    <w:rPr>
      <w:rFonts w:ascii="Times New Roman" w:hAnsi="Times New Roman" w:cs="Times New Roman"/>
      <w:sz w:val="24"/>
      <w:szCs w:val="24"/>
      <w:lang w:val="pl-PL"/>
    </w:rPr>
  </w:style>
  <w:style w:type="paragraph" w:styleId="Tekstdymka">
    <w:name w:val="Balloon Text"/>
    <w:basedOn w:val="Normalny"/>
    <w:semiHidden/>
    <w:rsid w:val="00546F15"/>
    <w:rPr>
      <w:rFonts w:ascii="Tahoma" w:hAnsi="Tahoma" w:cs="Tahoma"/>
      <w:sz w:val="16"/>
      <w:szCs w:val="16"/>
    </w:rPr>
  </w:style>
  <w:style w:type="paragraph" w:customStyle="1" w:styleId="CharChar">
    <w:name w:val="Char Char"/>
    <w:basedOn w:val="Normalny"/>
    <w:autoRedefine/>
    <w:rsid w:val="00A6003D"/>
    <w:pPr>
      <w:tabs>
        <w:tab w:val="clear" w:pos="567"/>
      </w:tabs>
      <w:spacing w:after="120" w:line="240" w:lineRule="exact"/>
      <w:jc w:val="left"/>
    </w:pPr>
    <w:rPr>
      <w:sz w:val="20"/>
      <w:szCs w:val="20"/>
      <w:lang w:eastAsia="en-US"/>
    </w:rPr>
  </w:style>
  <w:style w:type="paragraph" w:customStyle="1" w:styleId="ASNormalny">
    <w:name w:val="AS Normalny"/>
    <w:basedOn w:val="Normalny"/>
    <w:link w:val="ASNormalnyZnak"/>
    <w:autoRedefine/>
    <w:rsid w:val="00253A28"/>
    <w:pPr>
      <w:tabs>
        <w:tab w:val="clear" w:pos="567"/>
        <w:tab w:val="left" w:pos="180"/>
      </w:tabs>
      <w:ind w:left="180" w:right="-108"/>
    </w:pPr>
    <w:rPr>
      <w:lang w:val="pl-PL"/>
    </w:rPr>
  </w:style>
  <w:style w:type="character" w:customStyle="1" w:styleId="ASNormalnyZnak">
    <w:name w:val="AS Normalny Znak"/>
    <w:link w:val="ASNormalny"/>
    <w:locked/>
    <w:rsid w:val="00253A28"/>
    <w:rPr>
      <w:rFonts w:ascii="Arial" w:hAnsi="Arial" w:cs="Arial"/>
      <w:sz w:val="22"/>
      <w:szCs w:val="22"/>
      <w:lang w:val="pl-PL" w:eastAsia="pl-PL" w:bidi="ar-SA"/>
    </w:rPr>
  </w:style>
  <w:style w:type="paragraph" w:customStyle="1" w:styleId="ASSchemat">
    <w:name w:val="AS Schemat"/>
    <w:basedOn w:val="Normalny"/>
    <w:autoRedefine/>
    <w:rsid w:val="00BF4578"/>
    <w:pPr>
      <w:numPr>
        <w:numId w:val="36"/>
      </w:numPr>
      <w:tabs>
        <w:tab w:val="clear" w:pos="567"/>
        <w:tab w:val="clear" w:pos="1134"/>
        <w:tab w:val="num" w:pos="926"/>
        <w:tab w:val="left" w:pos="8460"/>
      </w:tabs>
      <w:spacing w:before="240" w:after="240" w:line="240" w:lineRule="auto"/>
      <w:ind w:left="1209" w:right="-157" w:hanging="360"/>
      <w:jc w:val="left"/>
      <w:outlineLvl w:val="1"/>
    </w:pPr>
    <w:rPr>
      <w:b/>
      <w:bCs/>
      <w:color w:val="000000"/>
      <w:lang w:val="pl-PL"/>
    </w:rPr>
  </w:style>
  <w:style w:type="paragraph" w:customStyle="1" w:styleId="WZOR106cmWysunicie339cm">
    <w:name w:val="WZOR:  106 cm Wysunięcie:  339 cm"/>
    <w:basedOn w:val="Normalny"/>
    <w:rsid w:val="00B932A5"/>
    <w:pPr>
      <w:ind w:left="2520" w:hanging="1920"/>
    </w:pPr>
    <w:rPr>
      <w:rFonts w:cs="Times New Roman"/>
      <w:szCs w:val="20"/>
    </w:rPr>
  </w:style>
  <w:style w:type="numbering" w:customStyle="1" w:styleId="StylPunktowane2">
    <w:name w:val="Styl Punktowane_2"/>
    <w:basedOn w:val="Bezlisty"/>
    <w:rsid w:val="005C143E"/>
    <w:pPr>
      <w:numPr>
        <w:numId w:val="38"/>
      </w:numPr>
    </w:pPr>
  </w:style>
  <w:style w:type="character" w:customStyle="1" w:styleId="st">
    <w:name w:val="st"/>
    <w:basedOn w:val="Domylnaczcionkaakapitu"/>
    <w:rsid w:val="00775C9D"/>
  </w:style>
  <w:style w:type="paragraph" w:customStyle="1" w:styleId="INSTRZMIANA">
    <w:name w:val="INSTR_ZMIANA"/>
    <w:basedOn w:val="Normalny"/>
    <w:rsid w:val="00420212"/>
    <w:pPr>
      <w:tabs>
        <w:tab w:val="clear" w:pos="567"/>
      </w:tabs>
      <w:spacing w:after="120" w:line="240" w:lineRule="exact"/>
      <w:jc w:val="left"/>
    </w:pPr>
    <w:rPr>
      <w:b/>
      <w:bCs/>
      <w:sz w:val="20"/>
      <w:szCs w:val="20"/>
      <w:lang w:val="pl-PL" w:eastAsia="en-US"/>
    </w:rPr>
  </w:style>
  <w:style w:type="paragraph" w:customStyle="1" w:styleId="INSTRGRUBY">
    <w:name w:val="INSTR_GRUBY"/>
    <w:basedOn w:val="Normalny"/>
    <w:next w:val="Normalny"/>
    <w:link w:val="INSTRGRUBYZnak"/>
    <w:rsid w:val="00420212"/>
    <w:pPr>
      <w:tabs>
        <w:tab w:val="clear" w:pos="567"/>
        <w:tab w:val="left" w:pos="1134"/>
      </w:tabs>
    </w:pPr>
    <w:rPr>
      <w:rFonts w:cs="Times New Roman"/>
      <w:b/>
      <w:bCs/>
      <w:szCs w:val="20"/>
    </w:rPr>
  </w:style>
  <w:style w:type="character" w:customStyle="1" w:styleId="INSTRGRUBYZnak">
    <w:name w:val="INSTR_GRUBY Znak"/>
    <w:link w:val="INSTRGRUBY"/>
    <w:rsid w:val="00420212"/>
    <w:rPr>
      <w:rFonts w:ascii="Arial" w:hAnsi="Arial"/>
      <w:b/>
      <w:bCs/>
      <w:sz w:val="22"/>
      <w:lang w:val="en-US" w:eastAsia="pl-PL" w:bidi="ar-SA"/>
    </w:rPr>
  </w:style>
  <w:style w:type="paragraph" w:customStyle="1" w:styleId="CharCharZnakZnakCharChar">
    <w:name w:val="Char Char Znak Znak Char Char"/>
    <w:basedOn w:val="Normalny"/>
    <w:autoRedefine/>
    <w:rsid w:val="00281A9E"/>
    <w:pPr>
      <w:tabs>
        <w:tab w:val="clear" w:pos="567"/>
      </w:tabs>
      <w:spacing w:after="120" w:line="240" w:lineRule="exact"/>
      <w:jc w:val="left"/>
    </w:pPr>
    <w:rPr>
      <w:sz w:val="20"/>
      <w:szCs w:val="20"/>
      <w:lang w:eastAsia="en-US"/>
    </w:rPr>
  </w:style>
  <w:style w:type="character" w:styleId="Odwoaniedokomentarza">
    <w:name w:val="annotation reference"/>
    <w:semiHidden/>
    <w:rsid w:val="00695FD4"/>
    <w:rPr>
      <w:sz w:val="16"/>
      <w:szCs w:val="16"/>
    </w:rPr>
  </w:style>
  <w:style w:type="paragraph" w:styleId="Poprawka">
    <w:name w:val="Revision"/>
    <w:hidden/>
    <w:uiPriority w:val="99"/>
    <w:semiHidden/>
    <w:rsid w:val="00E53F9B"/>
    <w:rPr>
      <w:rFonts w:ascii="Arial" w:hAnsi="Arial" w:cs="Arial"/>
      <w:sz w:val="22"/>
      <w:szCs w:val="22"/>
      <w:lang w:eastAsia="pl-PL"/>
    </w:rPr>
  </w:style>
  <w:style w:type="table" w:styleId="Tabela-Siatka">
    <w:name w:val="Table Grid"/>
    <w:basedOn w:val="Standardowy"/>
    <w:uiPriority w:val="59"/>
    <w:rsid w:val="00590873"/>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2096679">
      <w:bodyDiv w:val="1"/>
      <w:marLeft w:val="0"/>
      <w:marRight w:val="0"/>
      <w:marTop w:val="0"/>
      <w:marBottom w:val="0"/>
      <w:divBdr>
        <w:top w:val="none" w:sz="0" w:space="0" w:color="auto"/>
        <w:left w:val="none" w:sz="0" w:space="0" w:color="auto"/>
        <w:bottom w:val="none" w:sz="0" w:space="0" w:color="auto"/>
        <w:right w:val="none" w:sz="0" w:space="0" w:color="auto"/>
      </w:divBdr>
    </w:div>
    <w:div w:id="573398972">
      <w:bodyDiv w:val="1"/>
      <w:marLeft w:val="0"/>
      <w:marRight w:val="0"/>
      <w:marTop w:val="0"/>
      <w:marBottom w:val="0"/>
      <w:divBdr>
        <w:top w:val="none" w:sz="0" w:space="0" w:color="auto"/>
        <w:left w:val="none" w:sz="0" w:space="0" w:color="auto"/>
        <w:bottom w:val="none" w:sz="0" w:space="0" w:color="auto"/>
        <w:right w:val="none" w:sz="0" w:space="0" w:color="auto"/>
      </w:divBdr>
      <w:divsChild>
        <w:div w:id="620958248">
          <w:marLeft w:val="0"/>
          <w:marRight w:val="0"/>
          <w:marTop w:val="0"/>
          <w:marBottom w:val="0"/>
          <w:divBdr>
            <w:top w:val="none" w:sz="0" w:space="0" w:color="auto"/>
            <w:left w:val="none" w:sz="0" w:space="0" w:color="auto"/>
            <w:bottom w:val="none" w:sz="0" w:space="0" w:color="auto"/>
            <w:right w:val="none" w:sz="0" w:space="0" w:color="auto"/>
          </w:divBdr>
          <w:divsChild>
            <w:div w:id="356472572">
              <w:marLeft w:val="0"/>
              <w:marRight w:val="0"/>
              <w:marTop w:val="0"/>
              <w:marBottom w:val="0"/>
              <w:divBdr>
                <w:top w:val="none" w:sz="0" w:space="0" w:color="auto"/>
                <w:left w:val="none" w:sz="0" w:space="0" w:color="auto"/>
                <w:bottom w:val="none" w:sz="0" w:space="0" w:color="auto"/>
                <w:right w:val="none" w:sz="0" w:space="0" w:color="auto"/>
              </w:divBdr>
              <w:divsChild>
                <w:div w:id="1222710984">
                  <w:marLeft w:val="0"/>
                  <w:marRight w:val="0"/>
                  <w:marTop w:val="0"/>
                  <w:marBottom w:val="0"/>
                  <w:divBdr>
                    <w:top w:val="none" w:sz="0" w:space="0" w:color="auto"/>
                    <w:left w:val="none" w:sz="0" w:space="0" w:color="auto"/>
                    <w:bottom w:val="none" w:sz="0" w:space="0" w:color="auto"/>
                    <w:right w:val="none" w:sz="0" w:space="0" w:color="auto"/>
                  </w:divBdr>
                  <w:divsChild>
                    <w:div w:id="389111633">
                      <w:marLeft w:val="0"/>
                      <w:marRight w:val="0"/>
                      <w:marTop w:val="0"/>
                      <w:marBottom w:val="0"/>
                      <w:divBdr>
                        <w:top w:val="none" w:sz="0" w:space="0" w:color="auto"/>
                        <w:left w:val="none" w:sz="0" w:space="0" w:color="auto"/>
                        <w:bottom w:val="none" w:sz="0" w:space="0" w:color="auto"/>
                        <w:right w:val="none" w:sz="0" w:space="0" w:color="auto"/>
                      </w:divBdr>
                      <w:divsChild>
                        <w:div w:id="681247885">
                          <w:marLeft w:val="0"/>
                          <w:marRight w:val="0"/>
                          <w:marTop w:val="0"/>
                          <w:marBottom w:val="0"/>
                          <w:divBdr>
                            <w:top w:val="none" w:sz="0" w:space="0" w:color="auto"/>
                            <w:left w:val="none" w:sz="0" w:space="0" w:color="auto"/>
                            <w:bottom w:val="none" w:sz="0" w:space="0" w:color="auto"/>
                            <w:right w:val="none" w:sz="0" w:space="0" w:color="auto"/>
                          </w:divBdr>
                          <w:divsChild>
                            <w:div w:id="2120291701">
                              <w:marLeft w:val="0"/>
                              <w:marRight w:val="0"/>
                              <w:marTop w:val="0"/>
                              <w:marBottom w:val="0"/>
                              <w:divBdr>
                                <w:top w:val="none" w:sz="0" w:space="0" w:color="auto"/>
                                <w:left w:val="none" w:sz="0" w:space="0" w:color="auto"/>
                                <w:bottom w:val="none" w:sz="0" w:space="0" w:color="auto"/>
                                <w:right w:val="none" w:sz="0" w:space="0" w:color="auto"/>
                              </w:divBdr>
                              <w:divsChild>
                                <w:div w:id="1037389359">
                                  <w:marLeft w:val="0"/>
                                  <w:marRight w:val="0"/>
                                  <w:marTop w:val="0"/>
                                  <w:marBottom w:val="0"/>
                                  <w:divBdr>
                                    <w:top w:val="none" w:sz="0" w:space="0" w:color="auto"/>
                                    <w:left w:val="none" w:sz="0" w:space="0" w:color="auto"/>
                                    <w:bottom w:val="none" w:sz="0" w:space="0" w:color="auto"/>
                                    <w:right w:val="none" w:sz="0" w:space="0" w:color="auto"/>
                                  </w:divBdr>
                                  <w:divsChild>
                                    <w:div w:id="1162164149">
                                      <w:marLeft w:val="0"/>
                                      <w:marRight w:val="0"/>
                                      <w:marTop w:val="0"/>
                                      <w:marBottom w:val="0"/>
                                      <w:divBdr>
                                        <w:top w:val="none" w:sz="0" w:space="0" w:color="auto"/>
                                        <w:left w:val="none" w:sz="0" w:space="0" w:color="auto"/>
                                        <w:bottom w:val="none" w:sz="0" w:space="0" w:color="auto"/>
                                        <w:right w:val="none" w:sz="0" w:space="0" w:color="auto"/>
                                      </w:divBdr>
                                      <w:divsChild>
                                        <w:div w:id="823087508">
                                          <w:marLeft w:val="0"/>
                                          <w:marRight w:val="0"/>
                                          <w:marTop w:val="18"/>
                                          <w:marBottom w:val="0"/>
                                          <w:divBdr>
                                            <w:top w:val="none" w:sz="0" w:space="0" w:color="auto"/>
                                            <w:left w:val="none" w:sz="0" w:space="0" w:color="auto"/>
                                            <w:bottom w:val="none" w:sz="0" w:space="0" w:color="auto"/>
                                            <w:right w:val="none" w:sz="0" w:space="0" w:color="auto"/>
                                          </w:divBdr>
                                          <w:divsChild>
                                            <w:div w:id="1731416474">
                                              <w:marLeft w:val="0"/>
                                              <w:marRight w:val="0"/>
                                              <w:marTop w:val="0"/>
                                              <w:marBottom w:val="0"/>
                                              <w:divBdr>
                                                <w:top w:val="none" w:sz="0" w:space="0" w:color="auto"/>
                                                <w:left w:val="none" w:sz="0" w:space="0" w:color="auto"/>
                                                <w:bottom w:val="none" w:sz="0" w:space="0" w:color="auto"/>
                                                <w:right w:val="none" w:sz="0" w:space="0" w:color="auto"/>
                                              </w:divBdr>
                                              <w:divsChild>
                                                <w:div w:id="760370425">
                                                  <w:marLeft w:val="0"/>
                                                  <w:marRight w:val="0"/>
                                                  <w:marTop w:val="0"/>
                                                  <w:marBottom w:val="0"/>
                                                  <w:divBdr>
                                                    <w:top w:val="none" w:sz="0" w:space="0" w:color="auto"/>
                                                    <w:left w:val="none" w:sz="0" w:space="0" w:color="auto"/>
                                                    <w:bottom w:val="none" w:sz="0" w:space="0" w:color="auto"/>
                                                    <w:right w:val="none" w:sz="0" w:space="0" w:color="auto"/>
                                                  </w:divBdr>
                                                  <w:divsChild>
                                                    <w:div w:id="1480726511">
                                                      <w:marLeft w:val="0"/>
                                                      <w:marRight w:val="0"/>
                                                      <w:marTop w:val="0"/>
                                                      <w:marBottom w:val="0"/>
                                                      <w:divBdr>
                                                        <w:top w:val="none" w:sz="0" w:space="0" w:color="auto"/>
                                                        <w:left w:val="none" w:sz="0" w:space="0" w:color="auto"/>
                                                        <w:bottom w:val="none" w:sz="0" w:space="0" w:color="auto"/>
                                                        <w:right w:val="none" w:sz="0" w:space="0" w:color="auto"/>
                                                      </w:divBdr>
                                                      <w:divsChild>
                                                        <w:div w:id="995106250">
                                                          <w:marLeft w:val="0"/>
                                                          <w:marRight w:val="0"/>
                                                          <w:marTop w:val="0"/>
                                                          <w:marBottom w:val="0"/>
                                                          <w:divBdr>
                                                            <w:top w:val="none" w:sz="0" w:space="0" w:color="auto"/>
                                                            <w:left w:val="none" w:sz="0" w:space="0" w:color="auto"/>
                                                            <w:bottom w:val="none" w:sz="0" w:space="0" w:color="auto"/>
                                                            <w:right w:val="none" w:sz="0" w:space="0" w:color="auto"/>
                                                          </w:divBdr>
                                                          <w:divsChild>
                                                            <w:div w:id="133406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23912043">
      <w:bodyDiv w:val="1"/>
      <w:marLeft w:val="0"/>
      <w:marRight w:val="0"/>
      <w:marTop w:val="0"/>
      <w:marBottom w:val="0"/>
      <w:divBdr>
        <w:top w:val="none" w:sz="0" w:space="0" w:color="auto"/>
        <w:left w:val="none" w:sz="0" w:space="0" w:color="auto"/>
        <w:bottom w:val="none" w:sz="0" w:space="0" w:color="auto"/>
        <w:right w:val="none" w:sz="0" w:space="0" w:color="auto"/>
      </w:divBdr>
      <w:divsChild>
        <w:div w:id="1328904742">
          <w:marLeft w:val="0"/>
          <w:marRight w:val="0"/>
          <w:marTop w:val="0"/>
          <w:marBottom w:val="0"/>
          <w:divBdr>
            <w:top w:val="none" w:sz="0" w:space="0" w:color="auto"/>
            <w:left w:val="none" w:sz="0" w:space="0" w:color="auto"/>
            <w:bottom w:val="none" w:sz="0" w:space="0" w:color="auto"/>
            <w:right w:val="none" w:sz="0" w:space="0" w:color="auto"/>
          </w:divBdr>
        </w:div>
      </w:divsChild>
    </w:div>
    <w:div w:id="826167306">
      <w:bodyDiv w:val="1"/>
      <w:marLeft w:val="0"/>
      <w:marRight w:val="0"/>
      <w:marTop w:val="0"/>
      <w:marBottom w:val="0"/>
      <w:divBdr>
        <w:top w:val="none" w:sz="0" w:space="0" w:color="auto"/>
        <w:left w:val="none" w:sz="0" w:space="0" w:color="auto"/>
        <w:bottom w:val="none" w:sz="0" w:space="0" w:color="auto"/>
        <w:right w:val="none" w:sz="0" w:space="0" w:color="auto"/>
      </w:divBdr>
    </w:div>
    <w:div w:id="1057512627">
      <w:bodyDiv w:val="1"/>
      <w:marLeft w:val="0"/>
      <w:marRight w:val="0"/>
      <w:marTop w:val="0"/>
      <w:marBottom w:val="0"/>
      <w:divBdr>
        <w:top w:val="none" w:sz="0" w:space="0" w:color="auto"/>
        <w:left w:val="none" w:sz="0" w:space="0" w:color="auto"/>
        <w:bottom w:val="none" w:sz="0" w:space="0" w:color="auto"/>
        <w:right w:val="none" w:sz="0" w:space="0" w:color="auto"/>
      </w:divBdr>
      <w:divsChild>
        <w:div w:id="395127305">
          <w:marLeft w:val="0"/>
          <w:marRight w:val="0"/>
          <w:marTop w:val="0"/>
          <w:marBottom w:val="0"/>
          <w:divBdr>
            <w:top w:val="none" w:sz="0" w:space="0" w:color="auto"/>
            <w:left w:val="none" w:sz="0" w:space="0" w:color="auto"/>
            <w:bottom w:val="none" w:sz="0" w:space="0" w:color="auto"/>
            <w:right w:val="none" w:sz="0" w:space="0" w:color="auto"/>
          </w:divBdr>
          <w:divsChild>
            <w:div w:id="90201315">
              <w:marLeft w:val="0"/>
              <w:marRight w:val="0"/>
              <w:marTop w:val="0"/>
              <w:marBottom w:val="0"/>
              <w:divBdr>
                <w:top w:val="none" w:sz="0" w:space="0" w:color="auto"/>
                <w:left w:val="none" w:sz="0" w:space="0" w:color="auto"/>
                <w:bottom w:val="none" w:sz="0" w:space="0" w:color="auto"/>
                <w:right w:val="none" w:sz="0" w:space="0" w:color="auto"/>
              </w:divBdr>
              <w:divsChild>
                <w:div w:id="1851866083">
                  <w:marLeft w:val="0"/>
                  <w:marRight w:val="0"/>
                  <w:marTop w:val="0"/>
                  <w:marBottom w:val="0"/>
                  <w:divBdr>
                    <w:top w:val="none" w:sz="0" w:space="0" w:color="auto"/>
                    <w:left w:val="none" w:sz="0" w:space="0" w:color="auto"/>
                    <w:bottom w:val="none" w:sz="0" w:space="0" w:color="auto"/>
                    <w:right w:val="none" w:sz="0" w:space="0" w:color="auto"/>
                  </w:divBdr>
                  <w:divsChild>
                    <w:div w:id="1566599111">
                      <w:marLeft w:val="0"/>
                      <w:marRight w:val="0"/>
                      <w:marTop w:val="0"/>
                      <w:marBottom w:val="0"/>
                      <w:divBdr>
                        <w:top w:val="none" w:sz="0" w:space="0" w:color="auto"/>
                        <w:left w:val="none" w:sz="0" w:space="0" w:color="auto"/>
                        <w:bottom w:val="none" w:sz="0" w:space="0" w:color="auto"/>
                        <w:right w:val="none" w:sz="0" w:space="0" w:color="auto"/>
                      </w:divBdr>
                      <w:divsChild>
                        <w:div w:id="633759073">
                          <w:marLeft w:val="0"/>
                          <w:marRight w:val="0"/>
                          <w:marTop w:val="0"/>
                          <w:marBottom w:val="0"/>
                          <w:divBdr>
                            <w:top w:val="none" w:sz="0" w:space="0" w:color="auto"/>
                            <w:left w:val="none" w:sz="0" w:space="0" w:color="auto"/>
                            <w:bottom w:val="none" w:sz="0" w:space="0" w:color="auto"/>
                            <w:right w:val="none" w:sz="0" w:space="0" w:color="auto"/>
                          </w:divBdr>
                          <w:divsChild>
                            <w:div w:id="1909996075">
                              <w:marLeft w:val="0"/>
                              <w:marRight w:val="0"/>
                              <w:marTop w:val="0"/>
                              <w:marBottom w:val="0"/>
                              <w:divBdr>
                                <w:top w:val="none" w:sz="0" w:space="0" w:color="auto"/>
                                <w:left w:val="none" w:sz="0" w:space="0" w:color="auto"/>
                                <w:bottom w:val="none" w:sz="0" w:space="0" w:color="auto"/>
                                <w:right w:val="none" w:sz="0" w:space="0" w:color="auto"/>
                              </w:divBdr>
                              <w:divsChild>
                                <w:div w:id="1421102822">
                                  <w:marLeft w:val="0"/>
                                  <w:marRight w:val="0"/>
                                  <w:marTop w:val="0"/>
                                  <w:marBottom w:val="0"/>
                                  <w:divBdr>
                                    <w:top w:val="none" w:sz="0" w:space="0" w:color="auto"/>
                                    <w:left w:val="none" w:sz="0" w:space="0" w:color="auto"/>
                                    <w:bottom w:val="none" w:sz="0" w:space="0" w:color="auto"/>
                                    <w:right w:val="none" w:sz="0" w:space="0" w:color="auto"/>
                                  </w:divBdr>
                                  <w:divsChild>
                                    <w:div w:id="993948185">
                                      <w:marLeft w:val="0"/>
                                      <w:marRight w:val="0"/>
                                      <w:marTop w:val="0"/>
                                      <w:marBottom w:val="0"/>
                                      <w:divBdr>
                                        <w:top w:val="none" w:sz="0" w:space="0" w:color="auto"/>
                                        <w:left w:val="none" w:sz="0" w:space="0" w:color="auto"/>
                                        <w:bottom w:val="none" w:sz="0" w:space="0" w:color="auto"/>
                                        <w:right w:val="none" w:sz="0" w:space="0" w:color="auto"/>
                                      </w:divBdr>
                                      <w:divsChild>
                                        <w:div w:id="2125730735">
                                          <w:marLeft w:val="0"/>
                                          <w:marRight w:val="0"/>
                                          <w:marTop w:val="18"/>
                                          <w:marBottom w:val="0"/>
                                          <w:divBdr>
                                            <w:top w:val="none" w:sz="0" w:space="0" w:color="auto"/>
                                            <w:left w:val="none" w:sz="0" w:space="0" w:color="auto"/>
                                            <w:bottom w:val="none" w:sz="0" w:space="0" w:color="auto"/>
                                            <w:right w:val="none" w:sz="0" w:space="0" w:color="auto"/>
                                          </w:divBdr>
                                          <w:divsChild>
                                            <w:div w:id="1601067514">
                                              <w:marLeft w:val="0"/>
                                              <w:marRight w:val="0"/>
                                              <w:marTop w:val="0"/>
                                              <w:marBottom w:val="0"/>
                                              <w:divBdr>
                                                <w:top w:val="none" w:sz="0" w:space="0" w:color="auto"/>
                                                <w:left w:val="none" w:sz="0" w:space="0" w:color="auto"/>
                                                <w:bottom w:val="none" w:sz="0" w:space="0" w:color="auto"/>
                                                <w:right w:val="none" w:sz="0" w:space="0" w:color="auto"/>
                                              </w:divBdr>
                                              <w:divsChild>
                                                <w:div w:id="2103528449">
                                                  <w:marLeft w:val="0"/>
                                                  <w:marRight w:val="0"/>
                                                  <w:marTop w:val="0"/>
                                                  <w:marBottom w:val="0"/>
                                                  <w:divBdr>
                                                    <w:top w:val="none" w:sz="0" w:space="0" w:color="auto"/>
                                                    <w:left w:val="none" w:sz="0" w:space="0" w:color="auto"/>
                                                    <w:bottom w:val="none" w:sz="0" w:space="0" w:color="auto"/>
                                                    <w:right w:val="none" w:sz="0" w:space="0" w:color="auto"/>
                                                  </w:divBdr>
                                                  <w:divsChild>
                                                    <w:div w:id="1687906581">
                                                      <w:marLeft w:val="0"/>
                                                      <w:marRight w:val="0"/>
                                                      <w:marTop w:val="0"/>
                                                      <w:marBottom w:val="0"/>
                                                      <w:divBdr>
                                                        <w:top w:val="none" w:sz="0" w:space="0" w:color="auto"/>
                                                        <w:left w:val="none" w:sz="0" w:space="0" w:color="auto"/>
                                                        <w:bottom w:val="none" w:sz="0" w:space="0" w:color="auto"/>
                                                        <w:right w:val="none" w:sz="0" w:space="0" w:color="auto"/>
                                                      </w:divBdr>
                                                      <w:divsChild>
                                                        <w:div w:id="715809691">
                                                          <w:marLeft w:val="0"/>
                                                          <w:marRight w:val="0"/>
                                                          <w:marTop w:val="0"/>
                                                          <w:marBottom w:val="0"/>
                                                          <w:divBdr>
                                                            <w:top w:val="none" w:sz="0" w:space="0" w:color="auto"/>
                                                            <w:left w:val="none" w:sz="0" w:space="0" w:color="auto"/>
                                                            <w:bottom w:val="none" w:sz="0" w:space="0" w:color="auto"/>
                                                            <w:right w:val="none" w:sz="0" w:space="0" w:color="auto"/>
                                                          </w:divBdr>
                                                          <w:divsChild>
                                                            <w:div w:id="130091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51835084">
      <w:bodyDiv w:val="1"/>
      <w:marLeft w:val="0"/>
      <w:marRight w:val="0"/>
      <w:marTop w:val="0"/>
      <w:marBottom w:val="0"/>
      <w:divBdr>
        <w:top w:val="none" w:sz="0" w:space="0" w:color="auto"/>
        <w:left w:val="none" w:sz="0" w:space="0" w:color="auto"/>
        <w:bottom w:val="none" w:sz="0" w:space="0" w:color="auto"/>
        <w:right w:val="none" w:sz="0" w:space="0" w:color="auto"/>
      </w:divBdr>
      <w:divsChild>
        <w:div w:id="1768769239">
          <w:marLeft w:val="0"/>
          <w:marRight w:val="0"/>
          <w:marTop w:val="0"/>
          <w:marBottom w:val="0"/>
          <w:divBdr>
            <w:top w:val="none" w:sz="0" w:space="0" w:color="auto"/>
            <w:left w:val="none" w:sz="0" w:space="0" w:color="auto"/>
            <w:bottom w:val="none" w:sz="0" w:space="0" w:color="auto"/>
            <w:right w:val="none" w:sz="0" w:space="0" w:color="auto"/>
          </w:divBdr>
          <w:divsChild>
            <w:div w:id="480968897">
              <w:marLeft w:val="0"/>
              <w:marRight w:val="0"/>
              <w:marTop w:val="0"/>
              <w:marBottom w:val="0"/>
              <w:divBdr>
                <w:top w:val="none" w:sz="0" w:space="0" w:color="auto"/>
                <w:left w:val="none" w:sz="0" w:space="0" w:color="auto"/>
                <w:bottom w:val="none" w:sz="0" w:space="0" w:color="auto"/>
                <w:right w:val="none" w:sz="0" w:space="0" w:color="auto"/>
              </w:divBdr>
              <w:divsChild>
                <w:div w:id="1600216071">
                  <w:marLeft w:val="0"/>
                  <w:marRight w:val="0"/>
                  <w:marTop w:val="0"/>
                  <w:marBottom w:val="0"/>
                  <w:divBdr>
                    <w:top w:val="none" w:sz="0" w:space="0" w:color="auto"/>
                    <w:left w:val="none" w:sz="0" w:space="0" w:color="auto"/>
                    <w:bottom w:val="none" w:sz="0" w:space="0" w:color="auto"/>
                    <w:right w:val="none" w:sz="0" w:space="0" w:color="auto"/>
                  </w:divBdr>
                  <w:divsChild>
                    <w:div w:id="1906256938">
                      <w:marLeft w:val="0"/>
                      <w:marRight w:val="0"/>
                      <w:marTop w:val="0"/>
                      <w:marBottom w:val="0"/>
                      <w:divBdr>
                        <w:top w:val="none" w:sz="0" w:space="0" w:color="auto"/>
                        <w:left w:val="none" w:sz="0" w:space="0" w:color="auto"/>
                        <w:bottom w:val="none" w:sz="0" w:space="0" w:color="auto"/>
                        <w:right w:val="none" w:sz="0" w:space="0" w:color="auto"/>
                      </w:divBdr>
                      <w:divsChild>
                        <w:div w:id="524908642">
                          <w:marLeft w:val="0"/>
                          <w:marRight w:val="0"/>
                          <w:marTop w:val="0"/>
                          <w:marBottom w:val="0"/>
                          <w:divBdr>
                            <w:top w:val="none" w:sz="0" w:space="0" w:color="auto"/>
                            <w:left w:val="none" w:sz="0" w:space="0" w:color="auto"/>
                            <w:bottom w:val="none" w:sz="0" w:space="0" w:color="auto"/>
                            <w:right w:val="none" w:sz="0" w:space="0" w:color="auto"/>
                          </w:divBdr>
                          <w:divsChild>
                            <w:div w:id="2034306817">
                              <w:marLeft w:val="0"/>
                              <w:marRight w:val="0"/>
                              <w:marTop w:val="0"/>
                              <w:marBottom w:val="0"/>
                              <w:divBdr>
                                <w:top w:val="none" w:sz="0" w:space="0" w:color="auto"/>
                                <w:left w:val="none" w:sz="0" w:space="0" w:color="auto"/>
                                <w:bottom w:val="none" w:sz="0" w:space="0" w:color="auto"/>
                                <w:right w:val="none" w:sz="0" w:space="0" w:color="auto"/>
                              </w:divBdr>
                              <w:divsChild>
                                <w:div w:id="214052630">
                                  <w:marLeft w:val="0"/>
                                  <w:marRight w:val="0"/>
                                  <w:marTop w:val="0"/>
                                  <w:marBottom w:val="0"/>
                                  <w:divBdr>
                                    <w:top w:val="none" w:sz="0" w:space="0" w:color="auto"/>
                                    <w:left w:val="none" w:sz="0" w:space="0" w:color="auto"/>
                                    <w:bottom w:val="none" w:sz="0" w:space="0" w:color="auto"/>
                                    <w:right w:val="none" w:sz="0" w:space="0" w:color="auto"/>
                                  </w:divBdr>
                                  <w:divsChild>
                                    <w:div w:id="1171947412">
                                      <w:marLeft w:val="0"/>
                                      <w:marRight w:val="0"/>
                                      <w:marTop w:val="0"/>
                                      <w:marBottom w:val="0"/>
                                      <w:divBdr>
                                        <w:top w:val="none" w:sz="0" w:space="0" w:color="auto"/>
                                        <w:left w:val="none" w:sz="0" w:space="0" w:color="auto"/>
                                        <w:bottom w:val="none" w:sz="0" w:space="0" w:color="auto"/>
                                        <w:right w:val="none" w:sz="0" w:space="0" w:color="auto"/>
                                      </w:divBdr>
                                      <w:divsChild>
                                        <w:div w:id="1735809162">
                                          <w:marLeft w:val="0"/>
                                          <w:marRight w:val="0"/>
                                          <w:marTop w:val="18"/>
                                          <w:marBottom w:val="0"/>
                                          <w:divBdr>
                                            <w:top w:val="none" w:sz="0" w:space="0" w:color="auto"/>
                                            <w:left w:val="none" w:sz="0" w:space="0" w:color="auto"/>
                                            <w:bottom w:val="none" w:sz="0" w:space="0" w:color="auto"/>
                                            <w:right w:val="none" w:sz="0" w:space="0" w:color="auto"/>
                                          </w:divBdr>
                                          <w:divsChild>
                                            <w:div w:id="75131607">
                                              <w:marLeft w:val="0"/>
                                              <w:marRight w:val="0"/>
                                              <w:marTop w:val="0"/>
                                              <w:marBottom w:val="0"/>
                                              <w:divBdr>
                                                <w:top w:val="none" w:sz="0" w:space="0" w:color="auto"/>
                                                <w:left w:val="none" w:sz="0" w:space="0" w:color="auto"/>
                                                <w:bottom w:val="none" w:sz="0" w:space="0" w:color="auto"/>
                                                <w:right w:val="none" w:sz="0" w:space="0" w:color="auto"/>
                                              </w:divBdr>
                                              <w:divsChild>
                                                <w:div w:id="891769989">
                                                  <w:marLeft w:val="0"/>
                                                  <w:marRight w:val="0"/>
                                                  <w:marTop w:val="0"/>
                                                  <w:marBottom w:val="0"/>
                                                  <w:divBdr>
                                                    <w:top w:val="none" w:sz="0" w:space="0" w:color="auto"/>
                                                    <w:left w:val="none" w:sz="0" w:space="0" w:color="auto"/>
                                                    <w:bottom w:val="none" w:sz="0" w:space="0" w:color="auto"/>
                                                    <w:right w:val="none" w:sz="0" w:space="0" w:color="auto"/>
                                                  </w:divBdr>
                                                  <w:divsChild>
                                                    <w:div w:id="901452993">
                                                      <w:marLeft w:val="0"/>
                                                      <w:marRight w:val="0"/>
                                                      <w:marTop w:val="0"/>
                                                      <w:marBottom w:val="0"/>
                                                      <w:divBdr>
                                                        <w:top w:val="none" w:sz="0" w:space="0" w:color="auto"/>
                                                        <w:left w:val="none" w:sz="0" w:space="0" w:color="auto"/>
                                                        <w:bottom w:val="none" w:sz="0" w:space="0" w:color="auto"/>
                                                        <w:right w:val="none" w:sz="0" w:space="0" w:color="auto"/>
                                                      </w:divBdr>
                                                      <w:divsChild>
                                                        <w:div w:id="1722513998">
                                                          <w:marLeft w:val="0"/>
                                                          <w:marRight w:val="0"/>
                                                          <w:marTop w:val="0"/>
                                                          <w:marBottom w:val="0"/>
                                                          <w:divBdr>
                                                            <w:top w:val="none" w:sz="0" w:space="0" w:color="auto"/>
                                                            <w:left w:val="none" w:sz="0" w:space="0" w:color="auto"/>
                                                            <w:bottom w:val="none" w:sz="0" w:space="0" w:color="auto"/>
                                                            <w:right w:val="none" w:sz="0" w:space="0" w:color="auto"/>
                                                          </w:divBdr>
                                                          <w:divsChild>
                                                            <w:div w:id="111667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68064073">
      <w:bodyDiv w:val="1"/>
      <w:marLeft w:val="0"/>
      <w:marRight w:val="0"/>
      <w:marTop w:val="0"/>
      <w:marBottom w:val="0"/>
      <w:divBdr>
        <w:top w:val="none" w:sz="0" w:space="0" w:color="auto"/>
        <w:left w:val="none" w:sz="0" w:space="0" w:color="auto"/>
        <w:bottom w:val="none" w:sz="0" w:space="0" w:color="auto"/>
        <w:right w:val="none" w:sz="0" w:space="0" w:color="auto"/>
      </w:divBdr>
      <w:divsChild>
        <w:div w:id="538736560">
          <w:marLeft w:val="0"/>
          <w:marRight w:val="0"/>
          <w:marTop w:val="0"/>
          <w:marBottom w:val="0"/>
          <w:divBdr>
            <w:top w:val="none" w:sz="0" w:space="0" w:color="auto"/>
            <w:left w:val="none" w:sz="0" w:space="0" w:color="auto"/>
            <w:bottom w:val="none" w:sz="0" w:space="0" w:color="auto"/>
            <w:right w:val="none" w:sz="0" w:space="0" w:color="auto"/>
          </w:divBdr>
          <w:divsChild>
            <w:div w:id="1917746019">
              <w:marLeft w:val="0"/>
              <w:marRight w:val="0"/>
              <w:marTop w:val="0"/>
              <w:marBottom w:val="0"/>
              <w:divBdr>
                <w:top w:val="none" w:sz="0" w:space="0" w:color="auto"/>
                <w:left w:val="none" w:sz="0" w:space="0" w:color="auto"/>
                <w:bottom w:val="none" w:sz="0" w:space="0" w:color="auto"/>
                <w:right w:val="none" w:sz="0" w:space="0" w:color="auto"/>
              </w:divBdr>
              <w:divsChild>
                <w:div w:id="1480658821">
                  <w:marLeft w:val="0"/>
                  <w:marRight w:val="0"/>
                  <w:marTop w:val="0"/>
                  <w:marBottom w:val="0"/>
                  <w:divBdr>
                    <w:top w:val="none" w:sz="0" w:space="0" w:color="auto"/>
                    <w:left w:val="none" w:sz="0" w:space="0" w:color="auto"/>
                    <w:bottom w:val="none" w:sz="0" w:space="0" w:color="auto"/>
                    <w:right w:val="none" w:sz="0" w:space="0" w:color="auto"/>
                  </w:divBdr>
                  <w:divsChild>
                    <w:div w:id="1026444866">
                      <w:marLeft w:val="0"/>
                      <w:marRight w:val="0"/>
                      <w:marTop w:val="0"/>
                      <w:marBottom w:val="0"/>
                      <w:divBdr>
                        <w:top w:val="none" w:sz="0" w:space="0" w:color="auto"/>
                        <w:left w:val="none" w:sz="0" w:space="0" w:color="auto"/>
                        <w:bottom w:val="none" w:sz="0" w:space="0" w:color="auto"/>
                        <w:right w:val="none" w:sz="0" w:space="0" w:color="auto"/>
                      </w:divBdr>
                      <w:divsChild>
                        <w:div w:id="1505781125">
                          <w:marLeft w:val="0"/>
                          <w:marRight w:val="0"/>
                          <w:marTop w:val="0"/>
                          <w:marBottom w:val="0"/>
                          <w:divBdr>
                            <w:top w:val="none" w:sz="0" w:space="0" w:color="auto"/>
                            <w:left w:val="none" w:sz="0" w:space="0" w:color="auto"/>
                            <w:bottom w:val="none" w:sz="0" w:space="0" w:color="auto"/>
                            <w:right w:val="none" w:sz="0" w:space="0" w:color="auto"/>
                          </w:divBdr>
                          <w:divsChild>
                            <w:div w:id="716203598">
                              <w:marLeft w:val="0"/>
                              <w:marRight w:val="0"/>
                              <w:marTop w:val="0"/>
                              <w:marBottom w:val="0"/>
                              <w:divBdr>
                                <w:top w:val="none" w:sz="0" w:space="0" w:color="auto"/>
                                <w:left w:val="none" w:sz="0" w:space="0" w:color="auto"/>
                                <w:bottom w:val="none" w:sz="0" w:space="0" w:color="auto"/>
                                <w:right w:val="none" w:sz="0" w:space="0" w:color="auto"/>
                              </w:divBdr>
                              <w:divsChild>
                                <w:div w:id="1758625789">
                                  <w:marLeft w:val="0"/>
                                  <w:marRight w:val="0"/>
                                  <w:marTop w:val="0"/>
                                  <w:marBottom w:val="0"/>
                                  <w:divBdr>
                                    <w:top w:val="none" w:sz="0" w:space="0" w:color="auto"/>
                                    <w:left w:val="none" w:sz="0" w:space="0" w:color="auto"/>
                                    <w:bottom w:val="none" w:sz="0" w:space="0" w:color="auto"/>
                                    <w:right w:val="none" w:sz="0" w:space="0" w:color="auto"/>
                                  </w:divBdr>
                                  <w:divsChild>
                                    <w:div w:id="912197448">
                                      <w:marLeft w:val="0"/>
                                      <w:marRight w:val="0"/>
                                      <w:marTop w:val="0"/>
                                      <w:marBottom w:val="0"/>
                                      <w:divBdr>
                                        <w:top w:val="none" w:sz="0" w:space="0" w:color="auto"/>
                                        <w:left w:val="none" w:sz="0" w:space="0" w:color="auto"/>
                                        <w:bottom w:val="none" w:sz="0" w:space="0" w:color="auto"/>
                                        <w:right w:val="none" w:sz="0" w:space="0" w:color="auto"/>
                                      </w:divBdr>
                                      <w:divsChild>
                                        <w:div w:id="380446614">
                                          <w:marLeft w:val="0"/>
                                          <w:marRight w:val="0"/>
                                          <w:marTop w:val="18"/>
                                          <w:marBottom w:val="0"/>
                                          <w:divBdr>
                                            <w:top w:val="none" w:sz="0" w:space="0" w:color="auto"/>
                                            <w:left w:val="none" w:sz="0" w:space="0" w:color="auto"/>
                                            <w:bottom w:val="none" w:sz="0" w:space="0" w:color="auto"/>
                                            <w:right w:val="none" w:sz="0" w:space="0" w:color="auto"/>
                                          </w:divBdr>
                                          <w:divsChild>
                                            <w:div w:id="608656828">
                                              <w:marLeft w:val="0"/>
                                              <w:marRight w:val="0"/>
                                              <w:marTop w:val="0"/>
                                              <w:marBottom w:val="0"/>
                                              <w:divBdr>
                                                <w:top w:val="none" w:sz="0" w:space="0" w:color="auto"/>
                                                <w:left w:val="none" w:sz="0" w:space="0" w:color="auto"/>
                                                <w:bottom w:val="none" w:sz="0" w:space="0" w:color="auto"/>
                                                <w:right w:val="none" w:sz="0" w:space="0" w:color="auto"/>
                                              </w:divBdr>
                                              <w:divsChild>
                                                <w:div w:id="1218199244">
                                                  <w:marLeft w:val="0"/>
                                                  <w:marRight w:val="0"/>
                                                  <w:marTop w:val="0"/>
                                                  <w:marBottom w:val="0"/>
                                                  <w:divBdr>
                                                    <w:top w:val="none" w:sz="0" w:space="0" w:color="auto"/>
                                                    <w:left w:val="none" w:sz="0" w:space="0" w:color="auto"/>
                                                    <w:bottom w:val="none" w:sz="0" w:space="0" w:color="auto"/>
                                                    <w:right w:val="none" w:sz="0" w:space="0" w:color="auto"/>
                                                  </w:divBdr>
                                                  <w:divsChild>
                                                    <w:div w:id="1719087122">
                                                      <w:marLeft w:val="0"/>
                                                      <w:marRight w:val="0"/>
                                                      <w:marTop w:val="0"/>
                                                      <w:marBottom w:val="0"/>
                                                      <w:divBdr>
                                                        <w:top w:val="none" w:sz="0" w:space="0" w:color="auto"/>
                                                        <w:left w:val="none" w:sz="0" w:space="0" w:color="auto"/>
                                                        <w:bottom w:val="none" w:sz="0" w:space="0" w:color="auto"/>
                                                        <w:right w:val="none" w:sz="0" w:space="0" w:color="auto"/>
                                                      </w:divBdr>
                                                      <w:divsChild>
                                                        <w:div w:id="128670452">
                                                          <w:marLeft w:val="0"/>
                                                          <w:marRight w:val="0"/>
                                                          <w:marTop w:val="0"/>
                                                          <w:marBottom w:val="0"/>
                                                          <w:divBdr>
                                                            <w:top w:val="none" w:sz="0" w:space="0" w:color="auto"/>
                                                            <w:left w:val="none" w:sz="0" w:space="0" w:color="auto"/>
                                                            <w:bottom w:val="none" w:sz="0" w:space="0" w:color="auto"/>
                                                            <w:right w:val="none" w:sz="0" w:space="0" w:color="auto"/>
                                                          </w:divBdr>
                                                          <w:divsChild>
                                                            <w:div w:id="120339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08206008">
      <w:bodyDiv w:val="1"/>
      <w:marLeft w:val="0"/>
      <w:marRight w:val="0"/>
      <w:marTop w:val="0"/>
      <w:marBottom w:val="0"/>
      <w:divBdr>
        <w:top w:val="none" w:sz="0" w:space="0" w:color="auto"/>
        <w:left w:val="none" w:sz="0" w:space="0" w:color="auto"/>
        <w:bottom w:val="none" w:sz="0" w:space="0" w:color="auto"/>
        <w:right w:val="none" w:sz="0" w:space="0" w:color="auto"/>
      </w:divBdr>
    </w:div>
    <w:div w:id="1519855640">
      <w:bodyDiv w:val="1"/>
      <w:marLeft w:val="0"/>
      <w:marRight w:val="0"/>
      <w:marTop w:val="0"/>
      <w:marBottom w:val="0"/>
      <w:divBdr>
        <w:top w:val="none" w:sz="0" w:space="0" w:color="auto"/>
        <w:left w:val="none" w:sz="0" w:space="0" w:color="auto"/>
        <w:bottom w:val="none" w:sz="0" w:space="0" w:color="auto"/>
        <w:right w:val="none" w:sz="0" w:space="0" w:color="auto"/>
      </w:divBdr>
      <w:divsChild>
        <w:div w:id="575669577">
          <w:marLeft w:val="0"/>
          <w:marRight w:val="0"/>
          <w:marTop w:val="0"/>
          <w:marBottom w:val="0"/>
          <w:divBdr>
            <w:top w:val="none" w:sz="0" w:space="0" w:color="auto"/>
            <w:left w:val="none" w:sz="0" w:space="0" w:color="auto"/>
            <w:bottom w:val="none" w:sz="0" w:space="0" w:color="auto"/>
            <w:right w:val="none" w:sz="0" w:space="0" w:color="auto"/>
          </w:divBdr>
          <w:divsChild>
            <w:div w:id="395276547">
              <w:marLeft w:val="0"/>
              <w:marRight w:val="0"/>
              <w:marTop w:val="0"/>
              <w:marBottom w:val="0"/>
              <w:divBdr>
                <w:top w:val="none" w:sz="0" w:space="0" w:color="auto"/>
                <w:left w:val="none" w:sz="0" w:space="0" w:color="auto"/>
                <w:bottom w:val="none" w:sz="0" w:space="0" w:color="auto"/>
                <w:right w:val="none" w:sz="0" w:space="0" w:color="auto"/>
              </w:divBdr>
              <w:divsChild>
                <w:div w:id="1164204679">
                  <w:marLeft w:val="0"/>
                  <w:marRight w:val="0"/>
                  <w:marTop w:val="0"/>
                  <w:marBottom w:val="0"/>
                  <w:divBdr>
                    <w:top w:val="none" w:sz="0" w:space="0" w:color="auto"/>
                    <w:left w:val="none" w:sz="0" w:space="0" w:color="auto"/>
                    <w:bottom w:val="none" w:sz="0" w:space="0" w:color="auto"/>
                    <w:right w:val="none" w:sz="0" w:space="0" w:color="auto"/>
                  </w:divBdr>
                  <w:divsChild>
                    <w:div w:id="1045446569">
                      <w:marLeft w:val="0"/>
                      <w:marRight w:val="0"/>
                      <w:marTop w:val="0"/>
                      <w:marBottom w:val="0"/>
                      <w:divBdr>
                        <w:top w:val="none" w:sz="0" w:space="0" w:color="auto"/>
                        <w:left w:val="none" w:sz="0" w:space="0" w:color="auto"/>
                        <w:bottom w:val="none" w:sz="0" w:space="0" w:color="auto"/>
                        <w:right w:val="none" w:sz="0" w:space="0" w:color="auto"/>
                      </w:divBdr>
                      <w:divsChild>
                        <w:div w:id="595096566">
                          <w:marLeft w:val="0"/>
                          <w:marRight w:val="0"/>
                          <w:marTop w:val="0"/>
                          <w:marBottom w:val="0"/>
                          <w:divBdr>
                            <w:top w:val="none" w:sz="0" w:space="0" w:color="auto"/>
                            <w:left w:val="none" w:sz="0" w:space="0" w:color="auto"/>
                            <w:bottom w:val="none" w:sz="0" w:space="0" w:color="auto"/>
                            <w:right w:val="none" w:sz="0" w:space="0" w:color="auto"/>
                          </w:divBdr>
                          <w:divsChild>
                            <w:div w:id="1043167625">
                              <w:marLeft w:val="0"/>
                              <w:marRight w:val="0"/>
                              <w:marTop w:val="0"/>
                              <w:marBottom w:val="0"/>
                              <w:divBdr>
                                <w:top w:val="none" w:sz="0" w:space="0" w:color="auto"/>
                                <w:left w:val="none" w:sz="0" w:space="0" w:color="auto"/>
                                <w:bottom w:val="none" w:sz="0" w:space="0" w:color="auto"/>
                                <w:right w:val="none" w:sz="0" w:space="0" w:color="auto"/>
                              </w:divBdr>
                              <w:divsChild>
                                <w:div w:id="700711134">
                                  <w:marLeft w:val="0"/>
                                  <w:marRight w:val="0"/>
                                  <w:marTop w:val="0"/>
                                  <w:marBottom w:val="0"/>
                                  <w:divBdr>
                                    <w:top w:val="none" w:sz="0" w:space="0" w:color="auto"/>
                                    <w:left w:val="none" w:sz="0" w:space="0" w:color="auto"/>
                                    <w:bottom w:val="none" w:sz="0" w:space="0" w:color="auto"/>
                                    <w:right w:val="none" w:sz="0" w:space="0" w:color="auto"/>
                                  </w:divBdr>
                                  <w:divsChild>
                                    <w:div w:id="1364206792">
                                      <w:marLeft w:val="0"/>
                                      <w:marRight w:val="0"/>
                                      <w:marTop w:val="0"/>
                                      <w:marBottom w:val="0"/>
                                      <w:divBdr>
                                        <w:top w:val="none" w:sz="0" w:space="0" w:color="auto"/>
                                        <w:left w:val="none" w:sz="0" w:space="0" w:color="auto"/>
                                        <w:bottom w:val="none" w:sz="0" w:space="0" w:color="auto"/>
                                        <w:right w:val="none" w:sz="0" w:space="0" w:color="auto"/>
                                      </w:divBdr>
                                      <w:divsChild>
                                        <w:div w:id="1425493807">
                                          <w:marLeft w:val="0"/>
                                          <w:marRight w:val="0"/>
                                          <w:marTop w:val="18"/>
                                          <w:marBottom w:val="0"/>
                                          <w:divBdr>
                                            <w:top w:val="none" w:sz="0" w:space="0" w:color="auto"/>
                                            <w:left w:val="none" w:sz="0" w:space="0" w:color="auto"/>
                                            <w:bottom w:val="none" w:sz="0" w:space="0" w:color="auto"/>
                                            <w:right w:val="none" w:sz="0" w:space="0" w:color="auto"/>
                                          </w:divBdr>
                                          <w:divsChild>
                                            <w:div w:id="499858869">
                                              <w:marLeft w:val="0"/>
                                              <w:marRight w:val="0"/>
                                              <w:marTop w:val="0"/>
                                              <w:marBottom w:val="0"/>
                                              <w:divBdr>
                                                <w:top w:val="none" w:sz="0" w:space="0" w:color="auto"/>
                                                <w:left w:val="none" w:sz="0" w:space="0" w:color="auto"/>
                                                <w:bottom w:val="none" w:sz="0" w:space="0" w:color="auto"/>
                                                <w:right w:val="none" w:sz="0" w:space="0" w:color="auto"/>
                                              </w:divBdr>
                                              <w:divsChild>
                                                <w:div w:id="1010989429">
                                                  <w:marLeft w:val="0"/>
                                                  <w:marRight w:val="0"/>
                                                  <w:marTop w:val="0"/>
                                                  <w:marBottom w:val="0"/>
                                                  <w:divBdr>
                                                    <w:top w:val="none" w:sz="0" w:space="0" w:color="auto"/>
                                                    <w:left w:val="none" w:sz="0" w:space="0" w:color="auto"/>
                                                    <w:bottom w:val="none" w:sz="0" w:space="0" w:color="auto"/>
                                                    <w:right w:val="none" w:sz="0" w:space="0" w:color="auto"/>
                                                  </w:divBdr>
                                                  <w:divsChild>
                                                    <w:div w:id="1260945225">
                                                      <w:marLeft w:val="0"/>
                                                      <w:marRight w:val="0"/>
                                                      <w:marTop w:val="0"/>
                                                      <w:marBottom w:val="0"/>
                                                      <w:divBdr>
                                                        <w:top w:val="none" w:sz="0" w:space="0" w:color="auto"/>
                                                        <w:left w:val="none" w:sz="0" w:space="0" w:color="auto"/>
                                                        <w:bottom w:val="none" w:sz="0" w:space="0" w:color="auto"/>
                                                        <w:right w:val="none" w:sz="0" w:space="0" w:color="auto"/>
                                                      </w:divBdr>
                                                      <w:divsChild>
                                                        <w:div w:id="73478733">
                                                          <w:marLeft w:val="0"/>
                                                          <w:marRight w:val="0"/>
                                                          <w:marTop w:val="0"/>
                                                          <w:marBottom w:val="0"/>
                                                          <w:divBdr>
                                                            <w:top w:val="none" w:sz="0" w:space="0" w:color="auto"/>
                                                            <w:left w:val="none" w:sz="0" w:space="0" w:color="auto"/>
                                                            <w:bottom w:val="none" w:sz="0" w:space="0" w:color="auto"/>
                                                            <w:right w:val="none" w:sz="0" w:space="0" w:color="auto"/>
                                                          </w:divBdr>
                                                          <w:divsChild>
                                                            <w:div w:id="111687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4462796">
      <w:bodyDiv w:val="1"/>
      <w:marLeft w:val="0"/>
      <w:marRight w:val="0"/>
      <w:marTop w:val="0"/>
      <w:marBottom w:val="0"/>
      <w:divBdr>
        <w:top w:val="none" w:sz="0" w:space="0" w:color="auto"/>
        <w:left w:val="none" w:sz="0" w:space="0" w:color="auto"/>
        <w:bottom w:val="none" w:sz="0" w:space="0" w:color="auto"/>
        <w:right w:val="none" w:sz="0" w:space="0" w:color="auto"/>
      </w:divBdr>
      <w:divsChild>
        <w:div w:id="1331133688">
          <w:marLeft w:val="0"/>
          <w:marRight w:val="0"/>
          <w:marTop w:val="0"/>
          <w:marBottom w:val="0"/>
          <w:divBdr>
            <w:top w:val="none" w:sz="0" w:space="0" w:color="auto"/>
            <w:left w:val="none" w:sz="0" w:space="0" w:color="auto"/>
            <w:bottom w:val="none" w:sz="0" w:space="0" w:color="auto"/>
            <w:right w:val="none" w:sz="0" w:space="0" w:color="auto"/>
          </w:divBdr>
          <w:divsChild>
            <w:div w:id="1337880649">
              <w:marLeft w:val="0"/>
              <w:marRight w:val="0"/>
              <w:marTop w:val="0"/>
              <w:marBottom w:val="0"/>
              <w:divBdr>
                <w:top w:val="none" w:sz="0" w:space="0" w:color="auto"/>
                <w:left w:val="none" w:sz="0" w:space="0" w:color="auto"/>
                <w:bottom w:val="none" w:sz="0" w:space="0" w:color="auto"/>
                <w:right w:val="none" w:sz="0" w:space="0" w:color="auto"/>
              </w:divBdr>
              <w:divsChild>
                <w:div w:id="1027373420">
                  <w:marLeft w:val="0"/>
                  <w:marRight w:val="0"/>
                  <w:marTop w:val="0"/>
                  <w:marBottom w:val="0"/>
                  <w:divBdr>
                    <w:top w:val="none" w:sz="0" w:space="0" w:color="auto"/>
                    <w:left w:val="none" w:sz="0" w:space="0" w:color="auto"/>
                    <w:bottom w:val="none" w:sz="0" w:space="0" w:color="auto"/>
                    <w:right w:val="none" w:sz="0" w:space="0" w:color="auto"/>
                  </w:divBdr>
                  <w:divsChild>
                    <w:div w:id="141432034">
                      <w:marLeft w:val="0"/>
                      <w:marRight w:val="0"/>
                      <w:marTop w:val="0"/>
                      <w:marBottom w:val="0"/>
                      <w:divBdr>
                        <w:top w:val="none" w:sz="0" w:space="0" w:color="auto"/>
                        <w:left w:val="none" w:sz="0" w:space="0" w:color="auto"/>
                        <w:bottom w:val="none" w:sz="0" w:space="0" w:color="auto"/>
                        <w:right w:val="none" w:sz="0" w:space="0" w:color="auto"/>
                      </w:divBdr>
                      <w:divsChild>
                        <w:div w:id="21639068">
                          <w:marLeft w:val="0"/>
                          <w:marRight w:val="0"/>
                          <w:marTop w:val="0"/>
                          <w:marBottom w:val="0"/>
                          <w:divBdr>
                            <w:top w:val="none" w:sz="0" w:space="0" w:color="auto"/>
                            <w:left w:val="none" w:sz="0" w:space="0" w:color="auto"/>
                            <w:bottom w:val="none" w:sz="0" w:space="0" w:color="auto"/>
                            <w:right w:val="none" w:sz="0" w:space="0" w:color="auto"/>
                          </w:divBdr>
                          <w:divsChild>
                            <w:div w:id="629553716">
                              <w:marLeft w:val="0"/>
                              <w:marRight w:val="0"/>
                              <w:marTop w:val="0"/>
                              <w:marBottom w:val="0"/>
                              <w:divBdr>
                                <w:top w:val="none" w:sz="0" w:space="0" w:color="auto"/>
                                <w:left w:val="none" w:sz="0" w:space="0" w:color="auto"/>
                                <w:bottom w:val="none" w:sz="0" w:space="0" w:color="auto"/>
                                <w:right w:val="none" w:sz="0" w:space="0" w:color="auto"/>
                              </w:divBdr>
                              <w:divsChild>
                                <w:div w:id="715202016">
                                  <w:marLeft w:val="0"/>
                                  <w:marRight w:val="0"/>
                                  <w:marTop w:val="0"/>
                                  <w:marBottom w:val="0"/>
                                  <w:divBdr>
                                    <w:top w:val="none" w:sz="0" w:space="0" w:color="auto"/>
                                    <w:left w:val="none" w:sz="0" w:space="0" w:color="auto"/>
                                    <w:bottom w:val="none" w:sz="0" w:space="0" w:color="auto"/>
                                    <w:right w:val="none" w:sz="0" w:space="0" w:color="auto"/>
                                  </w:divBdr>
                                  <w:divsChild>
                                    <w:div w:id="793985783">
                                      <w:marLeft w:val="0"/>
                                      <w:marRight w:val="0"/>
                                      <w:marTop w:val="0"/>
                                      <w:marBottom w:val="0"/>
                                      <w:divBdr>
                                        <w:top w:val="none" w:sz="0" w:space="0" w:color="auto"/>
                                        <w:left w:val="none" w:sz="0" w:space="0" w:color="auto"/>
                                        <w:bottom w:val="none" w:sz="0" w:space="0" w:color="auto"/>
                                        <w:right w:val="none" w:sz="0" w:space="0" w:color="auto"/>
                                      </w:divBdr>
                                      <w:divsChild>
                                        <w:div w:id="595789599">
                                          <w:marLeft w:val="0"/>
                                          <w:marRight w:val="0"/>
                                          <w:marTop w:val="18"/>
                                          <w:marBottom w:val="0"/>
                                          <w:divBdr>
                                            <w:top w:val="none" w:sz="0" w:space="0" w:color="auto"/>
                                            <w:left w:val="none" w:sz="0" w:space="0" w:color="auto"/>
                                            <w:bottom w:val="none" w:sz="0" w:space="0" w:color="auto"/>
                                            <w:right w:val="none" w:sz="0" w:space="0" w:color="auto"/>
                                          </w:divBdr>
                                          <w:divsChild>
                                            <w:div w:id="383603802">
                                              <w:marLeft w:val="0"/>
                                              <w:marRight w:val="0"/>
                                              <w:marTop w:val="0"/>
                                              <w:marBottom w:val="0"/>
                                              <w:divBdr>
                                                <w:top w:val="none" w:sz="0" w:space="0" w:color="auto"/>
                                                <w:left w:val="none" w:sz="0" w:space="0" w:color="auto"/>
                                                <w:bottom w:val="none" w:sz="0" w:space="0" w:color="auto"/>
                                                <w:right w:val="none" w:sz="0" w:space="0" w:color="auto"/>
                                              </w:divBdr>
                                              <w:divsChild>
                                                <w:div w:id="19018910">
                                                  <w:marLeft w:val="0"/>
                                                  <w:marRight w:val="0"/>
                                                  <w:marTop w:val="0"/>
                                                  <w:marBottom w:val="0"/>
                                                  <w:divBdr>
                                                    <w:top w:val="none" w:sz="0" w:space="0" w:color="auto"/>
                                                    <w:left w:val="none" w:sz="0" w:space="0" w:color="auto"/>
                                                    <w:bottom w:val="none" w:sz="0" w:space="0" w:color="auto"/>
                                                    <w:right w:val="none" w:sz="0" w:space="0" w:color="auto"/>
                                                  </w:divBdr>
                                                  <w:divsChild>
                                                    <w:div w:id="1880892615">
                                                      <w:marLeft w:val="0"/>
                                                      <w:marRight w:val="0"/>
                                                      <w:marTop w:val="0"/>
                                                      <w:marBottom w:val="0"/>
                                                      <w:divBdr>
                                                        <w:top w:val="none" w:sz="0" w:space="0" w:color="auto"/>
                                                        <w:left w:val="none" w:sz="0" w:space="0" w:color="auto"/>
                                                        <w:bottom w:val="none" w:sz="0" w:space="0" w:color="auto"/>
                                                        <w:right w:val="none" w:sz="0" w:space="0" w:color="auto"/>
                                                      </w:divBdr>
                                                      <w:divsChild>
                                                        <w:div w:id="762841505">
                                                          <w:marLeft w:val="0"/>
                                                          <w:marRight w:val="0"/>
                                                          <w:marTop w:val="0"/>
                                                          <w:marBottom w:val="0"/>
                                                          <w:divBdr>
                                                            <w:top w:val="none" w:sz="0" w:space="0" w:color="auto"/>
                                                            <w:left w:val="none" w:sz="0" w:space="0" w:color="auto"/>
                                                            <w:bottom w:val="none" w:sz="0" w:space="0" w:color="auto"/>
                                                            <w:right w:val="none" w:sz="0" w:space="0" w:color="auto"/>
                                                          </w:divBdr>
                                                          <w:divsChild>
                                                            <w:div w:id="194926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1.wmf"/><Relationship Id="rId50" Type="http://schemas.openxmlformats.org/officeDocument/2006/relationships/oleObject" Target="embeddings/oleObject21.bin"/><Relationship Id="rId55" Type="http://schemas.openxmlformats.org/officeDocument/2006/relationships/image" Target="media/image26.wmf"/><Relationship Id="rId63" Type="http://schemas.openxmlformats.org/officeDocument/2006/relationships/oleObject" Target="embeddings/oleObject26.bin"/><Relationship Id="rId68" Type="http://schemas.openxmlformats.org/officeDocument/2006/relationships/image" Target="media/image33.wmf"/><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oleObject" Target="embeddings/oleObject30.bin"/><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6.wmf"/><Relationship Id="rId40" Type="http://schemas.openxmlformats.org/officeDocument/2006/relationships/oleObject" Target="embeddings/oleObject16.bin"/><Relationship Id="rId45" Type="http://schemas.openxmlformats.org/officeDocument/2006/relationships/image" Target="media/image20.wmf"/><Relationship Id="rId53" Type="http://schemas.openxmlformats.org/officeDocument/2006/relationships/image" Target="media/image25.wmf"/><Relationship Id="rId58" Type="http://schemas.openxmlformats.org/officeDocument/2006/relationships/oleObject" Target="embeddings/oleObject24.bin"/><Relationship Id="rId66" Type="http://schemas.openxmlformats.org/officeDocument/2006/relationships/image" Target="media/image32.wmf"/><Relationship Id="rId7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2.wmf"/><Relationship Id="rId57" Type="http://schemas.openxmlformats.org/officeDocument/2006/relationships/image" Target="media/image27.wmf"/><Relationship Id="rId61" Type="http://schemas.openxmlformats.org/officeDocument/2006/relationships/oleObject" Target="embeddings/oleObject25.bin"/><Relationship Id="rId10" Type="http://schemas.openxmlformats.org/officeDocument/2006/relationships/oleObject" Target="embeddings/oleObject1.bin"/><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oleObject" Target="embeddings/oleObject18.bin"/><Relationship Id="rId52" Type="http://schemas.openxmlformats.org/officeDocument/2006/relationships/image" Target="media/image24.wmf"/><Relationship Id="rId60" Type="http://schemas.openxmlformats.org/officeDocument/2006/relationships/image" Target="media/image29.wmf"/><Relationship Id="rId65" Type="http://schemas.openxmlformats.org/officeDocument/2006/relationships/oleObject" Target="embeddings/oleObject27.bin"/><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oleObject" Target="embeddings/oleObject11.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0.bin"/><Relationship Id="rId56" Type="http://schemas.openxmlformats.org/officeDocument/2006/relationships/oleObject" Target="embeddings/oleObject23.bin"/><Relationship Id="rId64" Type="http://schemas.openxmlformats.org/officeDocument/2006/relationships/image" Target="media/image31.wmf"/><Relationship Id="rId69" Type="http://schemas.openxmlformats.org/officeDocument/2006/relationships/oleObject" Target="embeddings/oleObject29.bin"/><Relationship Id="rId77" Type="http://schemas.microsoft.com/office/2007/relationships/stylesWithEffects" Target="stylesWithEffects.xml"/><Relationship Id="rId8" Type="http://schemas.openxmlformats.org/officeDocument/2006/relationships/image" Target="media/image1.png"/><Relationship Id="rId51" Type="http://schemas.openxmlformats.org/officeDocument/2006/relationships/image" Target="media/image23.wmf"/><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8.wmf"/><Relationship Id="rId67" Type="http://schemas.openxmlformats.org/officeDocument/2006/relationships/oleObject" Target="embeddings/oleObject28.bin"/><Relationship Id="rId20" Type="http://schemas.openxmlformats.org/officeDocument/2006/relationships/oleObject" Target="embeddings/oleObject6.bin"/><Relationship Id="rId41" Type="http://schemas.openxmlformats.org/officeDocument/2006/relationships/image" Target="media/image18.wmf"/><Relationship Id="rId54" Type="http://schemas.openxmlformats.org/officeDocument/2006/relationships/oleObject" Target="embeddings/oleObject22.bin"/><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1CCF6-CBAB-4EEE-BB3A-561FAC5C6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71</Pages>
  <Words>22677</Words>
  <Characters>164166</Characters>
  <Application>Microsoft Office Word</Application>
  <DocSecurity>2</DocSecurity>
  <Lines>1368</Lines>
  <Paragraphs>372</Paragraphs>
  <ScaleCrop>false</ScaleCrop>
  <HeadingPairs>
    <vt:vector size="2" baseType="variant">
      <vt:variant>
        <vt:lpstr>Tytuł</vt:lpstr>
      </vt:variant>
      <vt:variant>
        <vt:i4>1</vt:i4>
      </vt:variant>
    </vt:vector>
  </HeadingPairs>
  <TitlesOfParts>
    <vt:vector size="1" baseType="lpstr">
      <vt:lpstr>IV</vt:lpstr>
    </vt:vector>
  </TitlesOfParts>
  <Company/>
  <LinksUpToDate>false</LinksUpToDate>
  <CharactersWithSpaces>186471</CharactersWithSpaces>
  <SharedDoc>false</SharedDoc>
  <HLinks>
    <vt:vector size="1002" baseType="variant">
      <vt:variant>
        <vt:i4>1703995</vt:i4>
      </vt:variant>
      <vt:variant>
        <vt:i4>998</vt:i4>
      </vt:variant>
      <vt:variant>
        <vt:i4>0</vt:i4>
      </vt:variant>
      <vt:variant>
        <vt:i4>5</vt:i4>
      </vt:variant>
      <vt:variant>
        <vt:lpwstr/>
      </vt:variant>
      <vt:variant>
        <vt:lpwstr>_Toc323026994</vt:lpwstr>
      </vt:variant>
      <vt:variant>
        <vt:i4>1703995</vt:i4>
      </vt:variant>
      <vt:variant>
        <vt:i4>992</vt:i4>
      </vt:variant>
      <vt:variant>
        <vt:i4>0</vt:i4>
      </vt:variant>
      <vt:variant>
        <vt:i4>5</vt:i4>
      </vt:variant>
      <vt:variant>
        <vt:lpwstr/>
      </vt:variant>
      <vt:variant>
        <vt:lpwstr>_Toc323026993</vt:lpwstr>
      </vt:variant>
      <vt:variant>
        <vt:i4>1703995</vt:i4>
      </vt:variant>
      <vt:variant>
        <vt:i4>986</vt:i4>
      </vt:variant>
      <vt:variant>
        <vt:i4>0</vt:i4>
      </vt:variant>
      <vt:variant>
        <vt:i4>5</vt:i4>
      </vt:variant>
      <vt:variant>
        <vt:lpwstr/>
      </vt:variant>
      <vt:variant>
        <vt:lpwstr>_Toc323026992</vt:lpwstr>
      </vt:variant>
      <vt:variant>
        <vt:i4>1703995</vt:i4>
      </vt:variant>
      <vt:variant>
        <vt:i4>980</vt:i4>
      </vt:variant>
      <vt:variant>
        <vt:i4>0</vt:i4>
      </vt:variant>
      <vt:variant>
        <vt:i4>5</vt:i4>
      </vt:variant>
      <vt:variant>
        <vt:lpwstr/>
      </vt:variant>
      <vt:variant>
        <vt:lpwstr>_Toc323026991</vt:lpwstr>
      </vt:variant>
      <vt:variant>
        <vt:i4>1703995</vt:i4>
      </vt:variant>
      <vt:variant>
        <vt:i4>974</vt:i4>
      </vt:variant>
      <vt:variant>
        <vt:i4>0</vt:i4>
      </vt:variant>
      <vt:variant>
        <vt:i4>5</vt:i4>
      </vt:variant>
      <vt:variant>
        <vt:lpwstr/>
      </vt:variant>
      <vt:variant>
        <vt:lpwstr>_Toc323026990</vt:lpwstr>
      </vt:variant>
      <vt:variant>
        <vt:i4>1769531</vt:i4>
      </vt:variant>
      <vt:variant>
        <vt:i4>968</vt:i4>
      </vt:variant>
      <vt:variant>
        <vt:i4>0</vt:i4>
      </vt:variant>
      <vt:variant>
        <vt:i4>5</vt:i4>
      </vt:variant>
      <vt:variant>
        <vt:lpwstr/>
      </vt:variant>
      <vt:variant>
        <vt:lpwstr>_Toc323026989</vt:lpwstr>
      </vt:variant>
      <vt:variant>
        <vt:i4>1769531</vt:i4>
      </vt:variant>
      <vt:variant>
        <vt:i4>962</vt:i4>
      </vt:variant>
      <vt:variant>
        <vt:i4>0</vt:i4>
      </vt:variant>
      <vt:variant>
        <vt:i4>5</vt:i4>
      </vt:variant>
      <vt:variant>
        <vt:lpwstr/>
      </vt:variant>
      <vt:variant>
        <vt:lpwstr>_Toc323026988</vt:lpwstr>
      </vt:variant>
      <vt:variant>
        <vt:i4>1769531</vt:i4>
      </vt:variant>
      <vt:variant>
        <vt:i4>956</vt:i4>
      </vt:variant>
      <vt:variant>
        <vt:i4>0</vt:i4>
      </vt:variant>
      <vt:variant>
        <vt:i4>5</vt:i4>
      </vt:variant>
      <vt:variant>
        <vt:lpwstr/>
      </vt:variant>
      <vt:variant>
        <vt:lpwstr>_Toc323026987</vt:lpwstr>
      </vt:variant>
      <vt:variant>
        <vt:i4>1769531</vt:i4>
      </vt:variant>
      <vt:variant>
        <vt:i4>950</vt:i4>
      </vt:variant>
      <vt:variant>
        <vt:i4>0</vt:i4>
      </vt:variant>
      <vt:variant>
        <vt:i4>5</vt:i4>
      </vt:variant>
      <vt:variant>
        <vt:lpwstr/>
      </vt:variant>
      <vt:variant>
        <vt:lpwstr>_Toc323026986</vt:lpwstr>
      </vt:variant>
      <vt:variant>
        <vt:i4>1769531</vt:i4>
      </vt:variant>
      <vt:variant>
        <vt:i4>944</vt:i4>
      </vt:variant>
      <vt:variant>
        <vt:i4>0</vt:i4>
      </vt:variant>
      <vt:variant>
        <vt:i4>5</vt:i4>
      </vt:variant>
      <vt:variant>
        <vt:lpwstr/>
      </vt:variant>
      <vt:variant>
        <vt:lpwstr>_Toc323026985</vt:lpwstr>
      </vt:variant>
      <vt:variant>
        <vt:i4>1769531</vt:i4>
      </vt:variant>
      <vt:variant>
        <vt:i4>938</vt:i4>
      </vt:variant>
      <vt:variant>
        <vt:i4>0</vt:i4>
      </vt:variant>
      <vt:variant>
        <vt:i4>5</vt:i4>
      </vt:variant>
      <vt:variant>
        <vt:lpwstr/>
      </vt:variant>
      <vt:variant>
        <vt:lpwstr>_Toc323026984</vt:lpwstr>
      </vt:variant>
      <vt:variant>
        <vt:i4>1769531</vt:i4>
      </vt:variant>
      <vt:variant>
        <vt:i4>932</vt:i4>
      </vt:variant>
      <vt:variant>
        <vt:i4>0</vt:i4>
      </vt:variant>
      <vt:variant>
        <vt:i4>5</vt:i4>
      </vt:variant>
      <vt:variant>
        <vt:lpwstr/>
      </vt:variant>
      <vt:variant>
        <vt:lpwstr>_Toc323026983</vt:lpwstr>
      </vt:variant>
      <vt:variant>
        <vt:i4>1769531</vt:i4>
      </vt:variant>
      <vt:variant>
        <vt:i4>926</vt:i4>
      </vt:variant>
      <vt:variant>
        <vt:i4>0</vt:i4>
      </vt:variant>
      <vt:variant>
        <vt:i4>5</vt:i4>
      </vt:variant>
      <vt:variant>
        <vt:lpwstr/>
      </vt:variant>
      <vt:variant>
        <vt:lpwstr>_Toc323026982</vt:lpwstr>
      </vt:variant>
      <vt:variant>
        <vt:i4>1769531</vt:i4>
      </vt:variant>
      <vt:variant>
        <vt:i4>920</vt:i4>
      </vt:variant>
      <vt:variant>
        <vt:i4>0</vt:i4>
      </vt:variant>
      <vt:variant>
        <vt:i4>5</vt:i4>
      </vt:variant>
      <vt:variant>
        <vt:lpwstr/>
      </vt:variant>
      <vt:variant>
        <vt:lpwstr>_Toc323026981</vt:lpwstr>
      </vt:variant>
      <vt:variant>
        <vt:i4>1769531</vt:i4>
      </vt:variant>
      <vt:variant>
        <vt:i4>914</vt:i4>
      </vt:variant>
      <vt:variant>
        <vt:i4>0</vt:i4>
      </vt:variant>
      <vt:variant>
        <vt:i4>5</vt:i4>
      </vt:variant>
      <vt:variant>
        <vt:lpwstr/>
      </vt:variant>
      <vt:variant>
        <vt:lpwstr>_Toc323026980</vt:lpwstr>
      </vt:variant>
      <vt:variant>
        <vt:i4>1310779</vt:i4>
      </vt:variant>
      <vt:variant>
        <vt:i4>908</vt:i4>
      </vt:variant>
      <vt:variant>
        <vt:i4>0</vt:i4>
      </vt:variant>
      <vt:variant>
        <vt:i4>5</vt:i4>
      </vt:variant>
      <vt:variant>
        <vt:lpwstr/>
      </vt:variant>
      <vt:variant>
        <vt:lpwstr>_Toc323026979</vt:lpwstr>
      </vt:variant>
      <vt:variant>
        <vt:i4>1310779</vt:i4>
      </vt:variant>
      <vt:variant>
        <vt:i4>902</vt:i4>
      </vt:variant>
      <vt:variant>
        <vt:i4>0</vt:i4>
      </vt:variant>
      <vt:variant>
        <vt:i4>5</vt:i4>
      </vt:variant>
      <vt:variant>
        <vt:lpwstr/>
      </vt:variant>
      <vt:variant>
        <vt:lpwstr>_Toc323026978</vt:lpwstr>
      </vt:variant>
      <vt:variant>
        <vt:i4>1310779</vt:i4>
      </vt:variant>
      <vt:variant>
        <vt:i4>896</vt:i4>
      </vt:variant>
      <vt:variant>
        <vt:i4>0</vt:i4>
      </vt:variant>
      <vt:variant>
        <vt:i4>5</vt:i4>
      </vt:variant>
      <vt:variant>
        <vt:lpwstr/>
      </vt:variant>
      <vt:variant>
        <vt:lpwstr>_Toc323026977</vt:lpwstr>
      </vt:variant>
      <vt:variant>
        <vt:i4>1310779</vt:i4>
      </vt:variant>
      <vt:variant>
        <vt:i4>890</vt:i4>
      </vt:variant>
      <vt:variant>
        <vt:i4>0</vt:i4>
      </vt:variant>
      <vt:variant>
        <vt:i4>5</vt:i4>
      </vt:variant>
      <vt:variant>
        <vt:lpwstr/>
      </vt:variant>
      <vt:variant>
        <vt:lpwstr>_Toc323026976</vt:lpwstr>
      </vt:variant>
      <vt:variant>
        <vt:i4>1310779</vt:i4>
      </vt:variant>
      <vt:variant>
        <vt:i4>884</vt:i4>
      </vt:variant>
      <vt:variant>
        <vt:i4>0</vt:i4>
      </vt:variant>
      <vt:variant>
        <vt:i4>5</vt:i4>
      </vt:variant>
      <vt:variant>
        <vt:lpwstr/>
      </vt:variant>
      <vt:variant>
        <vt:lpwstr>_Toc323026975</vt:lpwstr>
      </vt:variant>
      <vt:variant>
        <vt:i4>1310779</vt:i4>
      </vt:variant>
      <vt:variant>
        <vt:i4>878</vt:i4>
      </vt:variant>
      <vt:variant>
        <vt:i4>0</vt:i4>
      </vt:variant>
      <vt:variant>
        <vt:i4>5</vt:i4>
      </vt:variant>
      <vt:variant>
        <vt:lpwstr/>
      </vt:variant>
      <vt:variant>
        <vt:lpwstr>_Toc323026974</vt:lpwstr>
      </vt:variant>
      <vt:variant>
        <vt:i4>1310779</vt:i4>
      </vt:variant>
      <vt:variant>
        <vt:i4>872</vt:i4>
      </vt:variant>
      <vt:variant>
        <vt:i4>0</vt:i4>
      </vt:variant>
      <vt:variant>
        <vt:i4>5</vt:i4>
      </vt:variant>
      <vt:variant>
        <vt:lpwstr/>
      </vt:variant>
      <vt:variant>
        <vt:lpwstr>_Toc323026973</vt:lpwstr>
      </vt:variant>
      <vt:variant>
        <vt:i4>1310779</vt:i4>
      </vt:variant>
      <vt:variant>
        <vt:i4>866</vt:i4>
      </vt:variant>
      <vt:variant>
        <vt:i4>0</vt:i4>
      </vt:variant>
      <vt:variant>
        <vt:i4>5</vt:i4>
      </vt:variant>
      <vt:variant>
        <vt:lpwstr/>
      </vt:variant>
      <vt:variant>
        <vt:lpwstr>_Toc323026972</vt:lpwstr>
      </vt:variant>
      <vt:variant>
        <vt:i4>1310779</vt:i4>
      </vt:variant>
      <vt:variant>
        <vt:i4>860</vt:i4>
      </vt:variant>
      <vt:variant>
        <vt:i4>0</vt:i4>
      </vt:variant>
      <vt:variant>
        <vt:i4>5</vt:i4>
      </vt:variant>
      <vt:variant>
        <vt:lpwstr/>
      </vt:variant>
      <vt:variant>
        <vt:lpwstr>_Toc323026971</vt:lpwstr>
      </vt:variant>
      <vt:variant>
        <vt:i4>1310779</vt:i4>
      </vt:variant>
      <vt:variant>
        <vt:i4>854</vt:i4>
      </vt:variant>
      <vt:variant>
        <vt:i4>0</vt:i4>
      </vt:variant>
      <vt:variant>
        <vt:i4>5</vt:i4>
      </vt:variant>
      <vt:variant>
        <vt:lpwstr/>
      </vt:variant>
      <vt:variant>
        <vt:lpwstr>_Toc323026970</vt:lpwstr>
      </vt:variant>
      <vt:variant>
        <vt:i4>1376315</vt:i4>
      </vt:variant>
      <vt:variant>
        <vt:i4>848</vt:i4>
      </vt:variant>
      <vt:variant>
        <vt:i4>0</vt:i4>
      </vt:variant>
      <vt:variant>
        <vt:i4>5</vt:i4>
      </vt:variant>
      <vt:variant>
        <vt:lpwstr/>
      </vt:variant>
      <vt:variant>
        <vt:lpwstr>_Toc323026969</vt:lpwstr>
      </vt:variant>
      <vt:variant>
        <vt:i4>1376315</vt:i4>
      </vt:variant>
      <vt:variant>
        <vt:i4>842</vt:i4>
      </vt:variant>
      <vt:variant>
        <vt:i4>0</vt:i4>
      </vt:variant>
      <vt:variant>
        <vt:i4>5</vt:i4>
      </vt:variant>
      <vt:variant>
        <vt:lpwstr/>
      </vt:variant>
      <vt:variant>
        <vt:lpwstr>_Toc323026968</vt:lpwstr>
      </vt:variant>
      <vt:variant>
        <vt:i4>1376315</vt:i4>
      </vt:variant>
      <vt:variant>
        <vt:i4>836</vt:i4>
      </vt:variant>
      <vt:variant>
        <vt:i4>0</vt:i4>
      </vt:variant>
      <vt:variant>
        <vt:i4>5</vt:i4>
      </vt:variant>
      <vt:variant>
        <vt:lpwstr/>
      </vt:variant>
      <vt:variant>
        <vt:lpwstr>_Toc323026967</vt:lpwstr>
      </vt:variant>
      <vt:variant>
        <vt:i4>1376315</vt:i4>
      </vt:variant>
      <vt:variant>
        <vt:i4>830</vt:i4>
      </vt:variant>
      <vt:variant>
        <vt:i4>0</vt:i4>
      </vt:variant>
      <vt:variant>
        <vt:i4>5</vt:i4>
      </vt:variant>
      <vt:variant>
        <vt:lpwstr/>
      </vt:variant>
      <vt:variant>
        <vt:lpwstr>_Toc323026966</vt:lpwstr>
      </vt:variant>
      <vt:variant>
        <vt:i4>1376315</vt:i4>
      </vt:variant>
      <vt:variant>
        <vt:i4>824</vt:i4>
      </vt:variant>
      <vt:variant>
        <vt:i4>0</vt:i4>
      </vt:variant>
      <vt:variant>
        <vt:i4>5</vt:i4>
      </vt:variant>
      <vt:variant>
        <vt:lpwstr/>
      </vt:variant>
      <vt:variant>
        <vt:lpwstr>_Toc323026965</vt:lpwstr>
      </vt:variant>
      <vt:variant>
        <vt:i4>1376315</vt:i4>
      </vt:variant>
      <vt:variant>
        <vt:i4>818</vt:i4>
      </vt:variant>
      <vt:variant>
        <vt:i4>0</vt:i4>
      </vt:variant>
      <vt:variant>
        <vt:i4>5</vt:i4>
      </vt:variant>
      <vt:variant>
        <vt:lpwstr/>
      </vt:variant>
      <vt:variant>
        <vt:lpwstr>_Toc323026964</vt:lpwstr>
      </vt:variant>
      <vt:variant>
        <vt:i4>1376315</vt:i4>
      </vt:variant>
      <vt:variant>
        <vt:i4>812</vt:i4>
      </vt:variant>
      <vt:variant>
        <vt:i4>0</vt:i4>
      </vt:variant>
      <vt:variant>
        <vt:i4>5</vt:i4>
      </vt:variant>
      <vt:variant>
        <vt:lpwstr/>
      </vt:variant>
      <vt:variant>
        <vt:lpwstr>_Toc323026963</vt:lpwstr>
      </vt:variant>
      <vt:variant>
        <vt:i4>1376315</vt:i4>
      </vt:variant>
      <vt:variant>
        <vt:i4>806</vt:i4>
      </vt:variant>
      <vt:variant>
        <vt:i4>0</vt:i4>
      </vt:variant>
      <vt:variant>
        <vt:i4>5</vt:i4>
      </vt:variant>
      <vt:variant>
        <vt:lpwstr/>
      </vt:variant>
      <vt:variant>
        <vt:lpwstr>_Toc323026962</vt:lpwstr>
      </vt:variant>
      <vt:variant>
        <vt:i4>1376315</vt:i4>
      </vt:variant>
      <vt:variant>
        <vt:i4>800</vt:i4>
      </vt:variant>
      <vt:variant>
        <vt:i4>0</vt:i4>
      </vt:variant>
      <vt:variant>
        <vt:i4>5</vt:i4>
      </vt:variant>
      <vt:variant>
        <vt:lpwstr/>
      </vt:variant>
      <vt:variant>
        <vt:lpwstr>_Toc323026961</vt:lpwstr>
      </vt:variant>
      <vt:variant>
        <vt:i4>1376315</vt:i4>
      </vt:variant>
      <vt:variant>
        <vt:i4>794</vt:i4>
      </vt:variant>
      <vt:variant>
        <vt:i4>0</vt:i4>
      </vt:variant>
      <vt:variant>
        <vt:i4>5</vt:i4>
      </vt:variant>
      <vt:variant>
        <vt:lpwstr/>
      </vt:variant>
      <vt:variant>
        <vt:lpwstr>_Toc323026960</vt:lpwstr>
      </vt:variant>
      <vt:variant>
        <vt:i4>1441851</vt:i4>
      </vt:variant>
      <vt:variant>
        <vt:i4>788</vt:i4>
      </vt:variant>
      <vt:variant>
        <vt:i4>0</vt:i4>
      </vt:variant>
      <vt:variant>
        <vt:i4>5</vt:i4>
      </vt:variant>
      <vt:variant>
        <vt:lpwstr/>
      </vt:variant>
      <vt:variant>
        <vt:lpwstr>_Toc323026959</vt:lpwstr>
      </vt:variant>
      <vt:variant>
        <vt:i4>1441851</vt:i4>
      </vt:variant>
      <vt:variant>
        <vt:i4>782</vt:i4>
      </vt:variant>
      <vt:variant>
        <vt:i4>0</vt:i4>
      </vt:variant>
      <vt:variant>
        <vt:i4>5</vt:i4>
      </vt:variant>
      <vt:variant>
        <vt:lpwstr/>
      </vt:variant>
      <vt:variant>
        <vt:lpwstr>_Toc323026958</vt:lpwstr>
      </vt:variant>
      <vt:variant>
        <vt:i4>1441851</vt:i4>
      </vt:variant>
      <vt:variant>
        <vt:i4>776</vt:i4>
      </vt:variant>
      <vt:variant>
        <vt:i4>0</vt:i4>
      </vt:variant>
      <vt:variant>
        <vt:i4>5</vt:i4>
      </vt:variant>
      <vt:variant>
        <vt:lpwstr/>
      </vt:variant>
      <vt:variant>
        <vt:lpwstr>_Toc323026957</vt:lpwstr>
      </vt:variant>
      <vt:variant>
        <vt:i4>1441851</vt:i4>
      </vt:variant>
      <vt:variant>
        <vt:i4>770</vt:i4>
      </vt:variant>
      <vt:variant>
        <vt:i4>0</vt:i4>
      </vt:variant>
      <vt:variant>
        <vt:i4>5</vt:i4>
      </vt:variant>
      <vt:variant>
        <vt:lpwstr/>
      </vt:variant>
      <vt:variant>
        <vt:lpwstr>_Toc323026956</vt:lpwstr>
      </vt:variant>
      <vt:variant>
        <vt:i4>1441851</vt:i4>
      </vt:variant>
      <vt:variant>
        <vt:i4>764</vt:i4>
      </vt:variant>
      <vt:variant>
        <vt:i4>0</vt:i4>
      </vt:variant>
      <vt:variant>
        <vt:i4>5</vt:i4>
      </vt:variant>
      <vt:variant>
        <vt:lpwstr/>
      </vt:variant>
      <vt:variant>
        <vt:lpwstr>_Toc323026955</vt:lpwstr>
      </vt:variant>
      <vt:variant>
        <vt:i4>1441851</vt:i4>
      </vt:variant>
      <vt:variant>
        <vt:i4>758</vt:i4>
      </vt:variant>
      <vt:variant>
        <vt:i4>0</vt:i4>
      </vt:variant>
      <vt:variant>
        <vt:i4>5</vt:i4>
      </vt:variant>
      <vt:variant>
        <vt:lpwstr/>
      </vt:variant>
      <vt:variant>
        <vt:lpwstr>_Toc323026954</vt:lpwstr>
      </vt:variant>
      <vt:variant>
        <vt:i4>1441851</vt:i4>
      </vt:variant>
      <vt:variant>
        <vt:i4>752</vt:i4>
      </vt:variant>
      <vt:variant>
        <vt:i4>0</vt:i4>
      </vt:variant>
      <vt:variant>
        <vt:i4>5</vt:i4>
      </vt:variant>
      <vt:variant>
        <vt:lpwstr/>
      </vt:variant>
      <vt:variant>
        <vt:lpwstr>_Toc323026953</vt:lpwstr>
      </vt:variant>
      <vt:variant>
        <vt:i4>1441851</vt:i4>
      </vt:variant>
      <vt:variant>
        <vt:i4>746</vt:i4>
      </vt:variant>
      <vt:variant>
        <vt:i4>0</vt:i4>
      </vt:variant>
      <vt:variant>
        <vt:i4>5</vt:i4>
      </vt:variant>
      <vt:variant>
        <vt:lpwstr/>
      </vt:variant>
      <vt:variant>
        <vt:lpwstr>_Toc323026952</vt:lpwstr>
      </vt:variant>
      <vt:variant>
        <vt:i4>1441851</vt:i4>
      </vt:variant>
      <vt:variant>
        <vt:i4>740</vt:i4>
      </vt:variant>
      <vt:variant>
        <vt:i4>0</vt:i4>
      </vt:variant>
      <vt:variant>
        <vt:i4>5</vt:i4>
      </vt:variant>
      <vt:variant>
        <vt:lpwstr/>
      </vt:variant>
      <vt:variant>
        <vt:lpwstr>_Toc323026951</vt:lpwstr>
      </vt:variant>
      <vt:variant>
        <vt:i4>1441851</vt:i4>
      </vt:variant>
      <vt:variant>
        <vt:i4>734</vt:i4>
      </vt:variant>
      <vt:variant>
        <vt:i4>0</vt:i4>
      </vt:variant>
      <vt:variant>
        <vt:i4>5</vt:i4>
      </vt:variant>
      <vt:variant>
        <vt:lpwstr/>
      </vt:variant>
      <vt:variant>
        <vt:lpwstr>_Toc323026950</vt:lpwstr>
      </vt:variant>
      <vt:variant>
        <vt:i4>1507387</vt:i4>
      </vt:variant>
      <vt:variant>
        <vt:i4>728</vt:i4>
      </vt:variant>
      <vt:variant>
        <vt:i4>0</vt:i4>
      </vt:variant>
      <vt:variant>
        <vt:i4>5</vt:i4>
      </vt:variant>
      <vt:variant>
        <vt:lpwstr/>
      </vt:variant>
      <vt:variant>
        <vt:lpwstr>_Toc323026949</vt:lpwstr>
      </vt:variant>
      <vt:variant>
        <vt:i4>1507387</vt:i4>
      </vt:variant>
      <vt:variant>
        <vt:i4>722</vt:i4>
      </vt:variant>
      <vt:variant>
        <vt:i4>0</vt:i4>
      </vt:variant>
      <vt:variant>
        <vt:i4>5</vt:i4>
      </vt:variant>
      <vt:variant>
        <vt:lpwstr/>
      </vt:variant>
      <vt:variant>
        <vt:lpwstr>_Toc323026948</vt:lpwstr>
      </vt:variant>
      <vt:variant>
        <vt:i4>1507387</vt:i4>
      </vt:variant>
      <vt:variant>
        <vt:i4>716</vt:i4>
      </vt:variant>
      <vt:variant>
        <vt:i4>0</vt:i4>
      </vt:variant>
      <vt:variant>
        <vt:i4>5</vt:i4>
      </vt:variant>
      <vt:variant>
        <vt:lpwstr/>
      </vt:variant>
      <vt:variant>
        <vt:lpwstr>_Toc323026947</vt:lpwstr>
      </vt:variant>
      <vt:variant>
        <vt:i4>1507387</vt:i4>
      </vt:variant>
      <vt:variant>
        <vt:i4>710</vt:i4>
      </vt:variant>
      <vt:variant>
        <vt:i4>0</vt:i4>
      </vt:variant>
      <vt:variant>
        <vt:i4>5</vt:i4>
      </vt:variant>
      <vt:variant>
        <vt:lpwstr/>
      </vt:variant>
      <vt:variant>
        <vt:lpwstr>_Toc323026946</vt:lpwstr>
      </vt:variant>
      <vt:variant>
        <vt:i4>1507387</vt:i4>
      </vt:variant>
      <vt:variant>
        <vt:i4>704</vt:i4>
      </vt:variant>
      <vt:variant>
        <vt:i4>0</vt:i4>
      </vt:variant>
      <vt:variant>
        <vt:i4>5</vt:i4>
      </vt:variant>
      <vt:variant>
        <vt:lpwstr/>
      </vt:variant>
      <vt:variant>
        <vt:lpwstr>_Toc323026945</vt:lpwstr>
      </vt:variant>
      <vt:variant>
        <vt:i4>1507387</vt:i4>
      </vt:variant>
      <vt:variant>
        <vt:i4>698</vt:i4>
      </vt:variant>
      <vt:variant>
        <vt:i4>0</vt:i4>
      </vt:variant>
      <vt:variant>
        <vt:i4>5</vt:i4>
      </vt:variant>
      <vt:variant>
        <vt:lpwstr/>
      </vt:variant>
      <vt:variant>
        <vt:lpwstr>_Toc323026944</vt:lpwstr>
      </vt:variant>
      <vt:variant>
        <vt:i4>1507387</vt:i4>
      </vt:variant>
      <vt:variant>
        <vt:i4>692</vt:i4>
      </vt:variant>
      <vt:variant>
        <vt:i4>0</vt:i4>
      </vt:variant>
      <vt:variant>
        <vt:i4>5</vt:i4>
      </vt:variant>
      <vt:variant>
        <vt:lpwstr/>
      </vt:variant>
      <vt:variant>
        <vt:lpwstr>_Toc323026943</vt:lpwstr>
      </vt:variant>
      <vt:variant>
        <vt:i4>1507387</vt:i4>
      </vt:variant>
      <vt:variant>
        <vt:i4>686</vt:i4>
      </vt:variant>
      <vt:variant>
        <vt:i4>0</vt:i4>
      </vt:variant>
      <vt:variant>
        <vt:i4>5</vt:i4>
      </vt:variant>
      <vt:variant>
        <vt:lpwstr/>
      </vt:variant>
      <vt:variant>
        <vt:lpwstr>_Toc323026942</vt:lpwstr>
      </vt:variant>
      <vt:variant>
        <vt:i4>1507387</vt:i4>
      </vt:variant>
      <vt:variant>
        <vt:i4>680</vt:i4>
      </vt:variant>
      <vt:variant>
        <vt:i4>0</vt:i4>
      </vt:variant>
      <vt:variant>
        <vt:i4>5</vt:i4>
      </vt:variant>
      <vt:variant>
        <vt:lpwstr/>
      </vt:variant>
      <vt:variant>
        <vt:lpwstr>_Toc323026941</vt:lpwstr>
      </vt:variant>
      <vt:variant>
        <vt:i4>1507387</vt:i4>
      </vt:variant>
      <vt:variant>
        <vt:i4>674</vt:i4>
      </vt:variant>
      <vt:variant>
        <vt:i4>0</vt:i4>
      </vt:variant>
      <vt:variant>
        <vt:i4>5</vt:i4>
      </vt:variant>
      <vt:variant>
        <vt:lpwstr/>
      </vt:variant>
      <vt:variant>
        <vt:lpwstr>_Toc323026940</vt:lpwstr>
      </vt:variant>
      <vt:variant>
        <vt:i4>1048635</vt:i4>
      </vt:variant>
      <vt:variant>
        <vt:i4>668</vt:i4>
      </vt:variant>
      <vt:variant>
        <vt:i4>0</vt:i4>
      </vt:variant>
      <vt:variant>
        <vt:i4>5</vt:i4>
      </vt:variant>
      <vt:variant>
        <vt:lpwstr/>
      </vt:variant>
      <vt:variant>
        <vt:lpwstr>_Toc323026939</vt:lpwstr>
      </vt:variant>
      <vt:variant>
        <vt:i4>1048635</vt:i4>
      </vt:variant>
      <vt:variant>
        <vt:i4>662</vt:i4>
      </vt:variant>
      <vt:variant>
        <vt:i4>0</vt:i4>
      </vt:variant>
      <vt:variant>
        <vt:i4>5</vt:i4>
      </vt:variant>
      <vt:variant>
        <vt:lpwstr/>
      </vt:variant>
      <vt:variant>
        <vt:lpwstr>_Toc323026938</vt:lpwstr>
      </vt:variant>
      <vt:variant>
        <vt:i4>1048635</vt:i4>
      </vt:variant>
      <vt:variant>
        <vt:i4>656</vt:i4>
      </vt:variant>
      <vt:variant>
        <vt:i4>0</vt:i4>
      </vt:variant>
      <vt:variant>
        <vt:i4>5</vt:i4>
      </vt:variant>
      <vt:variant>
        <vt:lpwstr/>
      </vt:variant>
      <vt:variant>
        <vt:lpwstr>_Toc323026937</vt:lpwstr>
      </vt:variant>
      <vt:variant>
        <vt:i4>1048635</vt:i4>
      </vt:variant>
      <vt:variant>
        <vt:i4>650</vt:i4>
      </vt:variant>
      <vt:variant>
        <vt:i4>0</vt:i4>
      </vt:variant>
      <vt:variant>
        <vt:i4>5</vt:i4>
      </vt:variant>
      <vt:variant>
        <vt:lpwstr/>
      </vt:variant>
      <vt:variant>
        <vt:lpwstr>_Toc323026936</vt:lpwstr>
      </vt:variant>
      <vt:variant>
        <vt:i4>1048635</vt:i4>
      </vt:variant>
      <vt:variant>
        <vt:i4>644</vt:i4>
      </vt:variant>
      <vt:variant>
        <vt:i4>0</vt:i4>
      </vt:variant>
      <vt:variant>
        <vt:i4>5</vt:i4>
      </vt:variant>
      <vt:variant>
        <vt:lpwstr/>
      </vt:variant>
      <vt:variant>
        <vt:lpwstr>_Toc323026935</vt:lpwstr>
      </vt:variant>
      <vt:variant>
        <vt:i4>1048635</vt:i4>
      </vt:variant>
      <vt:variant>
        <vt:i4>638</vt:i4>
      </vt:variant>
      <vt:variant>
        <vt:i4>0</vt:i4>
      </vt:variant>
      <vt:variant>
        <vt:i4>5</vt:i4>
      </vt:variant>
      <vt:variant>
        <vt:lpwstr/>
      </vt:variant>
      <vt:variant>
        <vt:lpwstr>_Toc323026934</vt:lpwstr>
      </vt:variant>
      <vt:variant>
        <vt:i4>1048635</vt:i4>
      </vt:variant>
      <vt:variant>
        <vt:i4>632</vt:i4>
      </vt:variant>
      <vt:variant>
        <vt:i4>0</vt:i4>
      </vt:variant>
      <vt:variant>
        <vt:i4>5</vt:i4>
      </vt:variant>
      <vt:variant>
        <vt:lpwstr/>
      </vt:variant>
      <vt:variant>
        <vt:lpwstr>_Toc323026933</vt:lpwstr>
      </vt:variant>
      <vt:variant>
        <vt:i4>1048635</vt:i4>
      </vt:variant>
      <vt:variant>
        <vt:i4>626</vt:i4>
      </vt:variant>
      <vt:variant>
        <vt:i4>0</vt:i4>
      </vt:variant>
      <vt:variant>
        <vt:i4>5</vt:i4>
      </vt:variant>
      <vt:variant>
        <vt:lpwstr/>
      </vt:variant>
      <vt:variant>
        <vt:lpwstr>_Toc323026932</vt:lpwstr>
      </vt:variant>
      <vt:variant>
        <vt:i4>1048635</vt:i4>
      </vt:variant>
      <vt:variant>
        <vt:i4>620</vt:i4>
      </vt:variant>
      <vt:variant>
        <vt:i4>0</vt:i4>
      </vt:variant>
      <vt:variant>
        <vt:i4>5</vt:i4>
      </vt:variant>
      <vt:variant>
        <vt:lpwstr/>
      </vt:variant>
      <vt:variant>
        <vt:lpwstr>_Toc323026931</vt:lpwstr>
      </vt:variant>
      <vt:variant>
        <vt:i4>1048635</vt:i4>
      </vt:variant>
      <vt:variant>
        <vt:i4>614</vt:i4>
      </vt:variant>
      <vt:variant>
        <vt:i4>0</vt:i4>
      </vt:variant>
      <vt:variant>
        <vt:i4>5</vt:i4>
      </vt:variant>
      <vt:variant>
        <vt:lpwstr/>
      </vt:variant>
      <vt:variant>
        <vt:lpwstr>_Toc323026930</vt:lpwstr>
      </vt:variant>
      <vt:variant>
        <vt:i4>1114171</vt:i4>
      </vt:variant>
      <vt:variant>
        <vt:i4>608</vt:i4>
      </vt:variant>
      <vt:variant>
        <vt:i4>0</vt:i4>
      </vt:variant>
      <vt:variant>
        <vt:i4>5</vt:i4>
      </vt:variant>
      <vt:variant>
        <vt:lpwstr/>
      </vt:variant>
      <vt:variant>
        <vt:lpwstr>_Toc323026929</vt:lpwstr>
      </vt:variant>
      <vt:variant>
        <vt:i4>1114171</vt:i4>
      </vt:variant>
      <vt:variant>
        <vt:i4>602</vt:i4>
      </vt:variant>
      <vt:variant>
        <vt:i4>0</vt:i4>
      </vt:variant>
      <vt:variant>
        <vt:i4>5</vt:i4>
      </vt:variant>
      <vt:variant>
        <vt:lpwstr/>
      </vt:variant>
      <vt:variant>
        <vt:lpwstr>_Toc323026928</vt:lpwstr>
      </vt:variant>
      <vt:variant>
        <vt:i4>1114171</vt:i4>
      </vt:variant>
      <vt:variant>
        <vt:i4>596</vt:i4>
      </vt:variant>
      <vt:variant>
        <vt:i4>0</vt:i4>
      </vt:variant>
      <vt:variant>
        <vt:i4>5</vt:i4>
      </vt:variant>
      <vt:variant>
        <vt:lpwstr/>
      </vt:variant>
      <vt:variant>
        <vt:lpwstr>_Toc323026927</vt:lpwstr>
      </vt:variant>
      <vt:variant>
        <vt:i4>1114171</vt:i4>
      </vt:variant>
      <vt:variant>
        <vt:i4>590</vt:i4>
      </vt:variant>
      <vt:variant>
        <vt:i4>0</vt:i4>
      </vt:variant>
      <vt:variant>
        <vt:i4>5</vt:i4>
      </vt:variant>
      <vt:variant>
        <vt:lpwstr/>
      </vt:variant>
      <vt:variant>
        <vt:lpwstr>_Toc323026926</vt:lpwstr>
      </vt:variant>
      <vt:variant>
        <vt:i4>1114171</vt:i4>
      </vt:variant>
      <vt:variant>
        <vt:i4>584</vt:i4>
      </vt:variant>
      <vt:variant>
        <vt:i4>0</vt:i4>
      </vt:variant>
      <vt:variant>
        <vt:i4>5</vt:i4>
      </vt:variant>
      <vt:variant>
        <vt:lpwstr/>
      </vt:variant>
      <vt:variant>
        <vt:lpwstr>_Toc323026925</vt:lpwstr>
      </vt:variant>
      <vt:variant>
        <vt:i4>1114171</vt:i4>
      </vt:variant>
      <vt:variant>
        <vt:i4>578</vt:i4>
      </vt:variant>
      <vt:variant>
        <vt:i4>0</vt:i4>
      </vt:variant>
      <vt:variant>
        <vt:i4>5</vt:i4>
      </vt:variant>
      <vt:variant>
        <vt:lpwstr/>
      </vt:variant>
      <vt:variant>
        <vt:lpwstr>_Toc323026924</vt:lpwstr>
      </vt:variant>
      <vt:variant>
        <vt:i4>1114171</vt:i4>
      </vt:variant>
      <vt:variant>
        <vt:i4>572</vt:i4>
      </vt:variant>
      <vt:variant>
        <vt:i4>0</vt:i4>
      </vt:variant>
      <vt:variant>
        <vt:i4>5</vt:i4>
      </vt:variant>
      <vt:variant>
        <vt:lpwstr/>
      </vt:variant>
      <vt:variant>
        <vt:lpwstr>_Toc323026923</vt:lpwstr>
      </vt:variant>
      <vt:variant>
        <vt:i4>1114171</vt:i4>
      </vt:variant>
      <vt:variant>
        <vt:i4>566</vt:i4>
      </vt:variant>
      <vt:variant>
        <vt:i4>0</vt:i4>
      </vt:variant>
      <vt:variant>
        <vt:i4>5</vt:i4>
      </vt:variant>
      <vt:variant>
        <vt:lpwstr/>
      </vt:variant>
      <vt:variant>
        <vt:lpwstr>_Toc323026922</vt:lpwstr>
      </vt:variant>
      <vt:variant>
        <vt:i4>1114171</vt:i4>
      </vt:variant>
      <vt:variant>
        <vt:i4>560</vt:i4>
      </vt:variant>
      <vt:variant>
        <vt:i4>0</vt:i4>
      </vt:variant>
      <vt:variant>
        <vt:i4>5</vt:i4>
      </vt:variant>
      <vt:variant>
        <vt:lpwstr/>
      </vt:variant>
      <vt:variant>
        <vt:lpwstr>_Toc323026921</vt:lpwstr>
      </vt:variant>
      <vt:variant>
        <vt:i4>1114171</vt:i4>
      </vt:variant>
      <vt:variant>
        <vt:i4>554</vt:i4>
      </vt:variant>
      <vt:variant>
        <vt:i4>0</vt:i4>
      </vt:variant>
      <vt:variant>
        <vt:i4>5</vt:i4>
      </vt:variant>
      <vt:variant>
        <vt:lpwstr/>
      </vt:variant>
      <vt:variant>
        <vt:lpwstr>_Toc323026920</vt:lpwstr>
      </vt:variant>
      <vt:variant>
        <vt:i4>1179707</vt:i4>
      </vt:variant>
      <vt:variant>
        <vt:i4>548</vt:i4>
      </vt:variant>
      <vt:variant>
        <vt:i4>0</vt:i4>
      </vt:variant>
      <vt:variant>
        <vt:i4>5</vt:i4>
      </vt:variant>
      <vt:variant>
        <vt:lpwstr/>
      </vt:variant>
      <vt:variant>
        <vt:lpwstr>_Toc323026919</vt:lpwstr>
      </vt:variant>
      <vt:variant>
        <vt:i4>1179707</vt:i4>
      </vt:variant>
      <vt:variant>
        <vt:i4>542</vt:i4>
      </vt:variant>
      <vt:variant>
        <vt:i4>0</vt:i4>
      </vt:variant>
      <vt:variant>
        <vt:i4>5</vt:i4>
      </vt:variant>
      <vt:variant>
        <vt:lpwstr/>
      </vt:variant>
      <vt:variant>
        <vt:lpwstr>_Toc323026918</vt:lpwstr>
      </vt:variant>
      <vt:variant>
        <vt:i4>1179707</vt:i4>
      </vt:variant>
      <vt:variant>
        <vt:i4>536</vt:i4>
      </vt:variant>
      <vt:variant>
        <vt:i4>0</vt:i4>
      </vt:variant>
      <vt:variant>
        <vt:i4>5</vt:i4>
      </vt:variant>
      <vt:variant>
        <vt:lpwstr/>
      </vt:variant>
      <vt:variant>
        <vt:lpwstr>_Toc323026917</vt:lpwstr>
      </vt:variant>
      <vt:variant>
        <vt:i4>1179707</vt:i4>
      </vt:variant>
      <vt:variant>
        <vt:i4>530</vt:i4>
      </vt:variant>
      <vt:variant>
        <vt:i4>0</vt:i4>
      </vt:variant>
      <vt:variant>
        <vt:i4>5</vt:i4>
      </vt:variant>
      <vt:variant>
        <vt:lpwstr/>
      </vt:variant>
      <vt:variant>
        <vt:lpwstr>_Toc323026916</vt:lpwstr>
      </vt:variant>
      <vt:variant>
        <vt:i4>1179707</vt:i4>
      </vt:variant>
      <vt:variant>
        <vt:i4>524</vt:i4>
      </vt:variant>
      <vt:variant>
        <vt:i4>0</vt:i4>
      </vt:variant>
      <vt:variant>
        <vt:i4>5</vt:i4>
      </vt:variant>
      <vt:variant>
        <vt:lpwstr/>
      </vt:variant>
      <vt:variant>
        <vt:lpwstr>_Toc323026915</vt:lpwstr>
      </vt:variant>
      <vt:variant>
        <vt:i4>1179707</vt:i4>
      </vt:variant>
      <vt:variant>
        <vt:i4>518</vt:i4>
      </vt:variant>
      <vt:variant>
        <vt:i4>0</vt:i4>
      </vt:variant>
      <vt:variant>
        <vt:i4>5</vt:i4>
      </vt:variant>
      <vt:variant>
        <vt:lpwstr/>
      </vt:variant>
      <vt:variant>
        <vt:lpwstr>_Toc323026914</vt:lpwstr>
      </vt:variant>
      <vt:variant>
        <vt:i4>1179707</vt:i4>
      </vt:variant>
      <vt:variant>
        <vt:i4>512</vt:i4>
      </vt:variant>
      <vt:variant>
        <vt:i4>0</vt:i4>
      </vt:variant>
      <vt:variant>
        <vt:i4>5</vt:i4>
      </vt:variant>
      <vt:variant>
        <vt:lpwstr/>
      </vt:variant>
      <vt:variant>
        <vt:lpwstr>_Toc323026913</vt:lpwstr>
      </vt:variant>
      <vt:variant>
        <vt:i4>1179707</vt:i4>
      </vt:variant>
      <vt:variant>
        <vt:i4>506</vt:i4>
      </vt:variant>
      <vt:variant>
        <vt:i4>0</vt:i4>
      </vt:variant>
      <vt:variant>
        <vt:i4>5</vt:i4>
      </vt:variant>
      <vt:variant>
        <vt:lpwstr/>
      </vt:variant>
      <vt:variant>
        <vt:lpwstr>_Toc323026912</vt:lpwstr>
      </vt:variant>
      <vt:variant>
        <vt:i4>1179707</vt:i4>
      </vt:variant>
      <vt:variant>
        <vt:i4>500</vt:i4>
      </vt:variant>
      <vt:variant>
        <vt:i4>0</vt:i4>
      </vt:variant>
      <vt:variant>
        <vt:i4>5</vt:i4>
      </vt:variant>
      <vt:variant>
        <vt:lpwstr/>
      </vt:variant>
      <vt:variant>
        <vt:lpwstr>_Toc323026911</vt:lpwstr>
      </vt:variant>
      <vt:variant>
        <vt:i4>1179707</vt:i4>
      </vt:variant>
      <vt:variant>
        <vt:i4>494</vt:i4>
      </vt:variant>
      <vt:variant>
        <vt:i4>0</vt:i4>
      </vt:variant>
      <vt:variant>
        <vt:i4>5</vt:i4>
      </vt:variant>
      <vt:variant>
        <vt:lpwstr/>
      </vt:variant>
      <vt:variant>
        <vt:lpwstr>_Toc323026910</vt:lpwstr>
      </vt:variant>
      <vt:variant>
        <vt:i4>1245243</vt:i4>
      </vt:variant>
      <vt:variant>
        <vt:i4>488</vt:i4>
      </vt:variant>
      <vt:variant>
        <vt:i4>0</vt:i4>
      </vt:variant>
      <vt:variant>
        <vt:i4>5</vt:i4>
      </vt:variant>
      <vt:variant>
        <vt:lpwstr/>
      </vt:variant>
      <vt:variant>
        <vt:lpwstr>_Toc323026909</vt:lpwstr>
      </vt:variant>
      <vt:variant>
        <vt:i4>1245243</vt:i4>
      </vt:variant>
      <vt:variant>
        <vt:i4>482</vt:i4>
      </vt:variant>
      <vt:variant>
        <vt:i4>0</vt:i4>
      </vt:variant>
      <vt:variant>
        <vt:i4>5</vt:i4>
      </vt:variant>
      <vt:variant>
        <vt:lpwstr/>
      </vt:variant>
      <vt:variant>
        <vt:lpwstr>_Toc323026908</vt:lpwstr>
      </vt:variant>
      <vt:variant>
        <vt:i4>1245243</vt:i4>
      </vt:variant>
      <vt:variant>
        <vt:i4>476</vt:i4>
      </vt:variant>
      <vt:variant>
        <vt:i4>0</vt:i4>
      </vt:variant>
      <vt:variant>
        <vt:i4>5</vt:i4>
      </vt:variant>
      <vt:variant>
        <vt:lpwstr/>
      </vt:variant>
      <vt:variant>
        <vt:lpwstr>_Toc323026907</vt:lpwstr>
      </vt:variant>
      <vt:variant>
        <vt:i4>1245243</vt:i4>
      </vt:variant>
      <vt:variant>
        <vt:i4>470</vt:i4>
      </vt:variant>
      <vt:variant>
        <vt:i4>0</vt:i4>
      </vt:variant>
      <vt:variant>
        <vt:i4>5</vt:i4>
      </vt:variant>
      <vt:variant>
        <vt:lpwstr/>
      </vt:variant>
      <vt:variant>
        <vt:lpwstr>_Toc323026906</vt:lpwstr>
      </vt:variant>
      <vt:variant>
        <vt:i4>1245243</vt:i4>
      </vt:variant>
      <vt:variant>
        <vt:i4>464</vt:i4>
      </vt:variant>
      <vt:variant>
        <vt:i4>0</vt:i4>
      </vt:variant>
      <vt:variant>
        <vt:i4>5</vt:i4>
      </vt:variant>
      <vt:variant>
        <vt:lpwstr/>
      </vt:variant>
      <vt:variant>
        <vt:lpwstr>_Toc323026905</vt:lpwstr>
      </vt:variant>
      <vt:variant>
        <vt:i4>1245243</vt:i4>
      </vt:variant>
      <vt:variant>
        <vt:i4>458</vt:i4>
      </vt:variant>
      <vt:variant>
        <vt:i4>0</vt:i4>
      </vt:variant>
      <vt:variant>
        <vt:i4>5</vt:i4>
      </vt:variant>
      <vt:variant>
        <vt:lpwstr/>
      </vt:variant>
      <vt:variant>
        <vt:lpwstr>_Toc323026904</vt:lpwstr>
      </vt:variant>
      <vt:variant>
        <vt:i4>1245243</vt:i4>
      </vt:variant>
      <vt:variant>
        <vt:i4>452</vt:i4>
      </vt:variant>
      <vt:variant>
        <vt:i4>0</vt:i4>
      </vt:variant>
      <vt:variant>
        <vt:i4>5</vt:i4>
      </vt:variant>
      <vt:variant>
        <vt:lpwstr/>
      </vt:variant>
      <vt:variant>
        <vt:lpwstr>_Toc323026903</vt:lpwstr>
      </vt:variant>
      <vt:variant>
        <vt:i4>1245243</vt:i4>
      </vt:variant>
      <vt:variant>
        <vt:i4>446</vt:i4>
      </vt:variant>
      <vt:variant>
        <vt:i4>0</vt:i4>
      </vt:variant>
      <vt:variant>
        <vt:i4>5</vt:i4>
      </vt:variant>
      <vt:variant>
        <vt:lpwstr/>
      </vt:variant>
      <vt:variant>
        <vt:lpwstr>_Toc323026902</vt:lpwstr>
      </vt:variant>
      <vt:variant>
        <vt:i4>1245243</vt:i4>
      </vt:variant>
      <vt:variant>
        <vt:i4>440</vt:i4>
      </vt:variant>
      <vt:variant>
        <vt:i4>0</vt:i4>
      </vt:variant>
      <vt:variant>
        <vt:i4>5</vt:i4>
      </vt:variant>
      <vt:variant>
        <vt:lpwstr/>
      </vt:variant>
      <vt:variant>
        <vt:lpwstr>_Toc323026901</vt:lpwstr>
      </vt:variant>
      <vt:variant>
        <vt:i4>1245243</vt:i4>
      </vt:variant>
      <vt:variant>
        <vt:i4>434</vt:i4>
      </vt:variant>
      <vt:variant>
        <vt:i4>0</vt:i4>
      </vt:variant>
      <vt:variant>
        <vt:i4>5</vt:i4>
      </vt:variant>
      <vt:variant>
        <vt:lpwstr/>
      </vt:variant>
      <vt:variant>
        <vt:lpwstr>_Toc323026900</vt:lpwstr>
      </vt:variant>
      <vt:variant>
        <vt:i4>1703994</vt:i4>
      </vt:variant>
      <vt:variant>
        <vt:i4>428</vt:i4>
      </vt:variant>
      <vt:variant>
        <vt:i4>0</vt:i4>
      </vt:variant>
      <vt:variant>
        <vt:i4>5</vt:i4>
      </vt:variant>
      <vt:variant>
        <vt:lpwstr/>
      </vt:variant>
      <vt:variant>
        <vt:lpwstr>_Toc323026899</vt:lpwstr>
      </vt:variant>
      <vt:variant>
        <vt:i4>1703994</vt:i4>
      </vt:variant>
      <vt:variant>
        <vt:i4>422</vt:i4>
      </vt:variant>
      <vt:variant>
        <vt:i4>0</vt:i4>
      </vt:variant>
      <vt:variant>
        <vt:i4>5</vt:i4>
      </vt:variant>
      <vt:variant>
        <vt:lpwstr/>
      </vt:variant>
      <vt:variant>
        <vt:lpwstr>_Toc323026898</vt:lpwstr>
      </vt:variant>
      <vt:variant>
        <vt:i4>1703994</vt:i4>
      </vt:variant>
      <vt:variant>
        <vt:i4>416</vt:i4>
      </vt:variant>
      <vt:variant>
        <vt:i4>0</vt:i4>
      </vt:variant>
      <vt:variant>
        <vt:i4>5</vt:i4>
      </vt:variant>
      <vt:variant>
        <vt:lpwstr/>
      </vt:variant>
      <vt:variant>
        <vt:lpwstr>_Toc323026897</vt:lpwstr>
      </vt:variant>
      <vt:variant>
        <vt:i4>1703994</vt:i4>
      </vt:variant>
      <vt:variant>
        <vt:i4>410</vt:i4>
      </vt:variant>
      <vt:variant>
        <vt:i4>0</vt:i4>
      </vt:variant>
      <vt:variant>
        <vt:i4>5</vt:i4>
      </vt:variant>
      <vt:variant>
        <vt:lpwstr/>
      </vt:variant>
      <vt:variant>
        <vt:lpwstr>_Toc323026896</vt:lpwstr>
      </vt:variant>
      <vt:variant>
        <vt:i4>1703994</vt:i4>
      </vt:variant>
      <vt:variant>
        <vt:i4>404</vt:i4>
      </vt:variant>
      <vt:variant>
        <vt:i4>0</vt:i4>
      </vt:variant>
      <vt:variant>
        <vt:i4>5</vt:i4>
      </vt:variant>
      <vt:variant>
        <vt:lpwstr/>
      </vt:variant>
      <vt:variant>
        <vt:lpwstr>_Toc323026895</vt:lpwstr>
      </vt:variant>
      <vt:variant>
        <vt:i4>1703994</vt:i4>
      </vt:variant>
      <vt:variant>
        <vt:i4>398</vt:i4>
      </vt:variant>
      <vt:variant>
        <vt:i4>0</vt:i4>
      </vt:variant>
      <vt:variant>
        <vt:i4>5</vt:i4>
      </vt:variant>
      <vt:variant>
        <vt:lpwstr/>
      </vt:variant>
      <vt:variant>
        <vt:lpwstr>_Toc323026894</vt:lpwstr>
      </vt:variant>
      <vt:variant>
        <vt:i4>1703994</vt:i4>
      </vt:variant>
      <vt:variant>
        <vt:i4>392</vt:i4>
      </vt:variant>
      <vt:variant>
        <vt:i4>0</vt:i4>
      </vt:variant>
      <vt:variant>
        <vt:i4>5</vt:i4>
      </vt:variant>
      <vt:variant>
        <vt:lpwstr/>
      </vt:variant>
      <vt:variant>
        <vt:lpwstr>_Toc323026893</vt:lpwstr>
      </vt:variant>
      <vt:variant>
        <vt:i4>1703994</vt:i4>
      </vt:variant>
      <vt:variant>
        <vt:i4>386</vt:i4>
      </vt:variant>
      <vt:variant>
        <vt:i4>0</vt:i4>
      </vt:variant>
      <vt:variant>
        <vt:i4>5</vt:i4>
      </vt:variant>
      <vt:variant>
        <vt:lpwstr/>
      </vt:variant>
      <vt:variant>
        <vt:lpwstr>_Toc323026892</vt:lpwstr>
      </vt:variant>
      <vt:variant>
        <vt:i4>1703994</vt:i4>
      </vt:variant>
      <vt:variant>
        <vt:i4>380</vt:i4>
      </vt:variant>
      <vt:variant>
        <vt:i4>0</vt:i4>
      </vt:variant>
      <vt:variant>
        <vt:i4>5</vt:i4>
      </vt:variant>
      <vt:variant>
        <vt:lpwstr/>
      </vt:variant>
      <vt:variant>
        <vt:lpwstr>_Toc323026891</vt:lpwstr>
      </vt:variant>
      <vt:variant>
        <vt:i4>1703994</vt:i4>
      </vt:variant>
      <vt:variant>
        <vt:i4>374</vt:i4>
      </vt:variant>
      <vt:variant>
        <vt:i4>0</vt:i4>
      </vt:variant>
      <vt:variant>
        <vt:i4>5</vt:i4>
      </vt:variant>
      <vt:variant>
        <vt:lpwstr/>
      </vt:variant>
      <vt:variant>
        <vt:lpwstr>_Toc323026890</vt:lpwstr>
      </vt:variant>
      <vt:variant>
        <vt:i4>1769530</vt:i4>
      </vt:variant>
      <vt:variant>
        <vt:i4>368</vt:i4>
      </vt:variant>
      <vt:variant>
        <vt:i4>0</vt:i4>
      </vt:variant>
      <vt:variant>
        <vt:i4>5</vt:i4>
      </vt:variant>
      <vt:variant>
        <vt:lpwstr/>
      </vt:variant>
      <vt:variant>
        <vt:lpwstr>_Toc323026889</vt:lpwstr>
      </vt:variant>
      <vt:variant>
        <vt:i4>1769530</vt:i4>
      </vt:variant>
      <vt:variant>
        <vt:i4>362</vt:i4>
      </vt:variant>
      <vt:variant>
        <vt:i4>0</vt:i4>
      </vt:variant>
      <vt:variant>
        <vt:i4>5</vt:i4>
      </vt:variant>
      <vt:variant>
        <vt:lpwstr/>
      </vt:variant>
      <vt:variant>
        <vt:lpwstr>_Toc323026888</vt:lpwstr>
      </vt:variant>
      <vt:variant>
        <vt:i4>1769530</vt:i4>
      </vt:variant>
      <vt:variant>
        <vt:i4>356</vt:i4>
      </vt:variant>
      <vt:variant>
        <vt:i4>0</vt:i4>
      </vt:variant>
      <vt:variant>
        <vt:i4>5</vt:i4>
      </vt:variant>
      <vt:variant>
        <vt:lpwstr/>
      </vt:variant>
      <vt:variant>
        <vt:lpwstr>_Toc323026887</vt:lpwstr>
      </vt:variant>
      <vt:variant>
        <vt:i4>1769530</vt:i4>
      </vt:variant>
      <vt:variant>
        <vt:i4>350</vt:i4>
      </vt:variant>
      <vt:variant>
        <vt:i4>0</vt:i4>
      </vt:variant>
      <vt:variant>
        <vt:i4>5</vt:i4>
      </vt:variant>
      <vt:variant>
        <vt:lpwstr/>
      </vt:variant>
      <vt:variant>
        <vt:lpwstr>_Toc323026886</vt:lpwstr>
      </vt:variant>
      <vt:variant>
        <vt:i4>1769530</vt:i4>
      </vt:variant>
      <vt:variant>
        <vt:i4>344</vt:i4>
      </vt:variant>
      <vt:variant>
        <vt:i4>0</vt:i4>
      </vt:variant>
      <vt:variant>
        <vt:i4>5</vt:i4>
      </vt:variant>
      <vt:variant>
        <vt:lpwstr/>
      </vt:variant>
      <vt:variant>
        <vt:lpwstr>_Toc323026885</vt:lpwstr>
      </vt:variant>
      <vt:variant>
        <vt:i4>1769530</vt:i4>
      </vt:variant>
      <vt:variant>
        <vt:i4>338</vt:i4>
      </vt:variant>
      <vt:variant>
        <vt:i4>0</vt:i4>
      </vt:variant>
      <vt:variant>
        <vt:i4>5</vt:i4>
      </vt:variant>
      <vt:variant>
        <vt:lpwstr/>
      </vt:variant>
      <vt:variant>
        <vt:lpwstr>_Toc323026884</vt:lpwstr>
      </vt:variant>
      <vt:variant>
        <vt:i4>1769530</vt:i4>
      </vt:variant>
      <vt:variant>
        <vt:i4>332</vt:i4>
      </vt:variant>
      <vt:variant>
        <vt:i4>0</vt:i4>
      </vt:variant>
      <vt:variant>
        <vt:i4>5</vt:i4>
      </vt:variant>
      <vt:variant>
        <vt:lpwstr/>
      </vt:variant>
      <vt:variant>
        <vt:lpwstr>_Toc323026883</vt:lpwstr>
      </vt:variant>
      <vt:variant>
        <vt:i4>1769530</vt:i4>
      </vt:variant>
      <vt:variant>
        <vt:i4>326</vt:i4>
      </vt:variant>
      <vt:variant>
        <vt:i4>0</vt:i4>
      </vt:variant>
      <vt:variant>
        <vt:i4>5</vt:i4>
      </vt:variant>
      <vt:variant>
        <vt:lpwstr/>
      </vt:variant>
      <vt:variant>
        <vt:lpwstr>_Toc323026882</vt:lpwstr>
      </vt:variant>
      <vt:variant>
        <vt:i4>1769530</vt:i4>
      </vt:variant>
      <vt:variant>
        <vt:i4>320</vt:i4>
      </vt:variant>
      <vt:variant>
        <vt:i4>0</vt:i4>
      </vt:variant>
      <vt:variant>
        <vt:i4>5</vt:i4>
      </vt:variant>
      <vt:variant>
        <vt:lpwstr/>
      </vt:variant>
      <vt:variant>
        <vt:lpwstr>_Toc323026881</vt:lpwstr>
      </vt:variant>
      <vt:variant>
        <vt:i4>1769530</vt:i4>
      </vt:variant>
      <vt:variant>
        <vt:i4>314</vt:i4>
      </vt:variant>
      <vt:variant>
        <vt:i4>0</vt:i4>
      </vt:variant>
      <vt:variant>
        <vt:i4>5</vt:i4>
      </vt:variant>
      <vt:variant>
        <vt:lpwstr/>
      </vt:variant>
      <vt:variant>
        <vt:lpwstr>_Toc323026880</vt:lpwstr>
      </vt:variant>
      <vt:variant>
        <vt:i4>1310778</vt:i4>
      </vt:variant>
      <vt:variant>
        <vt:i4>308</vt:i4>
      </vt:variant>
      <vt:variant>
        <vt:i4>0</vt:i4>
      </vt:variant>
      <vt:variant>
        <vt:i4>5</vt:i4>
      </vt:variant>
      <vt:variant>
        <vt:lpwstr/>
      </vt:variant>
      <vt:variant>
        <vt:lpwstr>_Toc323026879</vt:lpwstr>
      </vt:variant>
      <vt:variant>
        <vt:i4>1310778</vt:i4>
      </vt:variant>
      <vt:variant>
        <vt:i4>302</vt:i4>
      </vt:variant>
      <vt:variant>
        <vt:i4>0</vt:i4>
      </vt:variant>
      <vt:variant>
        <vt:i4>5</vt:i4>
      </vt:variant>
      <vt:variant>
        <vt:lpwstr/>
      </vt:variant>
      <vt:variant>
        <vt:lpwstr>_Toc323026878</vt:lpwstr>
      </vt:variant>
      <vt:variant>
        <vt:i4>1310778</vt:i4>
      </vt:variant>
      <vt:variant>
        <vt:i4>296</vt:i4>
      </vt:variant>
      <vt:variant>
        <vt:i4>0</vt:i4>
      </vt:variant>
      <vt:variant>
        <vt:i4>5</vt:i4>
      </vt:variant>
      <vt:variant>
        <vt:lpwstr/>
      </vt:variant>
      <vt:variant>
        <vt:lpwstr>_Toc323026877</vt:lpwstr>
      </vt:variant>
      <vt:variant>
        <vt:i4>1310778</vt:i4>
      </vt:variant>
      <vt:variant>
        <vt:i4>290</vt:i4>
      </vt:variant>
      <vt:variant>
        <vt:i4>0</vt:i4>
      </vt:variant>
      <vt:variant>
        <vt:i4>5</vt:i4>
      </vt:variant>
      <vt:variant>
        <vt:lpwstr/>
      </vt:variant>
      <vt:variant>
        <vt:lpwstr>_Toc323026876</vt:lpwstr>
      </vt:variant>
      <vt:variant>
        <vt:i4>1310778</vt:i4>
      </vt:variant>
      <vt:variant>
        <vt:i4>284</vt:i4>
      </vt:variant>
      <vt:variant>
        <vt:i4>0</vt:i4>
      </vt:variant>
      <vt:variant>
        <vt:i4>5</vt:i4>
      </vt:variant>
      <vt:variant>
        <vt:lpwstr/>
      </vt:variant>
      <vt:variant>
        <vt:lpwstr>_Toc323026875</vt:lpwstr>
      </vt:variant>
      <vt:variant>
        <vt:i4>1310778</vt:i4>
      </vt:variant>
      <vt:variant>
        <vt:i4>278</vt:i4>
      </vt:variant>
      <vt:variant>
        <vt:i4>0</vt:i4>
      </vt:variant>
      <vt:variant>
        <vt:i4>5</vt:i4>
      </vt:variant>
      <vt:variant>
        <vt:lpwstr/>
      </vt:variant>
      <vt:variant>
        <vt:lpwstr>_Toc323026874</vt:lpwstr>
      </vt:variant>
      <vt:variant>
        <vt:i4>1310778</vt:i4>
      </vt:variant>
      <vt:variant>
        <vt:i4>272</vt:i4>
      </vt:variant>
      <vt:variant>
        <vt:i4>0</vt:i4>
      </vt:variant>
      <vt:variant>
        <vt:i4>5</vt:i4>
      </vt:variant>
      <vt:variant>
        <vt:lpwstr/>
      </vt:variant>
      <vt:variant>
        <vt:lpwstr>_Toc323026873</vt:lpwstr>
      </vt:variant>
      <vt:variant>
        <vt:i4>1310778</vt:i4>
      </vt:variant>
      <vt:variant>
        <vt:i4>266</vt:i4>
      </vt:variant>
      <vt:variant>
        <vt:i4>0</vt:i4>
      </vt:variant>
      <vt:variant>
        <vt:i4>5</vt:i4>
      </vt:variant>
      <vt:variant>
        <vt:lpwstr/>
      </vt:variant>
      <vt:variant>
        <vt:lpwstr>_Toc323026872</vt:lpwstr>
      </vt:variant>
      <vt:variant>
        <vt:i4>1310778</vt:i4>
      </vt:variant>
      <vt:variant>
        <vt:i4>260</vt:i4>
      </vt:variant>
      <vt:variant>
        <vt:i4>0</vt:i4>
      </vt:variant>
      <vt:variant>
        <vt:i4>5</vt:i4>
      </vt:variant>
      <vt:variant>
        <vt:lpwstr/>
      </vt:variant>
      <vt:variant>
        <vt:lpwstr>_Toc323026871</vt:lpwstr>
      </vt:variant>
      <vt:variant>
        <vt:i4>1310778</vt:i4>
      </vt:variant>
      <vt:variant>
        <vt:i4>254</vt:i4>
      </vt:variant>
      <vt:variant>
        <vt:i4>0</vt:i4>
      </vt:variant>
      <vt:variant>
        <vt:i4>5</vt:i4>
      </vt:variant>
      <vt:variant>
        <vt:lpwstr/>
      </vt:variant>
      <vt:variant>
        <vt:lpwstr>_Toc323026870</vt:lpwstr>
      </vt:variant>
      <vt:variant>
        <vt:i4>1376314</vt:i4>
      </vt:variant>
      <vt:variant>
        <vt:i4>248</vt:i4>
      </vt:variant>
      <vt:variant>
        <vt:i4>0</vt:i4>
      </vt:variant>
      <vt:variant>
        <vt:i4>5</vt:i4>
      </vt:variant>
      <vt:variant>
        <vt:lpwstr/>
      </vt:variant>
      <vt:variant>
        <vt:lpwstr>_Toc323026869</vt:lpwstr>
      </vt:variant>
      <vt:variant>
        <vt:i4>1376314</vt:i4>
      </vt:variant>
      <vt:variant>
        <vt:i4>242</vt:i4>
      </vt:variant>
      <vt:variant>
        <vt:i4>0</vt:i4>
      </vt:variant>
      <vt:variant>
        <vt:i4>5</vt:i4>
      </vt:variant>
      <vt:variant>
        <vt:lpwstr/>
      </vt:variant>
      <vt:variant>
        <vt:lpwstr>_Toc323026868</vt:lpwstr>
      </vt:variant>
      <vt:variant>
        <vt:i4>1376314</vt:i4>
      </vt:variant>
      <vt:variant>
        <vt:i4>236</vt:i4>
      </vt:variant>
      <vt:variant>
        <vt:i4>0</vt:i4>
      </vt:variant>
      <vt:variant>
        <vt:i4>5</vt:i4>
      </vt:variant>
      <vt:variant>
        <vt:lpwstr/>
      </vt:variant>
      <vt:variant>
        <vt:lpwstr>_Toc323026867</vt:lpwstr>
      </vt:variant>
      <vt:variant>
        <vt:i4>1376314</vt:i4>
      </vt:variant>
      <vt:variant>
        <vt:i4>230</vt:i4>
      </vt:variant>
      <vt:variant>
        <vt:i4>0</vt:i4>
      </vt:variant>
      <vt:variant>
        <vt:i4>5</vt:i4>
      </vt:variant>
      <vt:variant>
        <vt:lpwstr/>
      </vt:variant>
      <vt:variant>
        <vt:lpwstr>_Toc323026866</vt:lpwstr>
      </vt:variant>
      <vt:variant>
        <vt:i4>1376314</vt:i4>
      </vt:variant>
      <vt:variant>
        <vt:i4>224</vt:i4>
      </vt:variant>
      <vt:variant>
        <vt:i4>0</vt:i4>
      </vt:variant>
      <vt:variant>
        <vt:i4>5</vt:i4>
      </vt:variant>
      <vt:variant>
        <vt:lpwstr/>
      </vt:variant>
      <vt:variant>
        <vt:lpwstr>_Toc323026865</vt:lpwstr>
      </vt:variant>
      <vt:variant>
        <vt:i4>1376314</vt:i4>
      </vt:variant>
      <vt:variant>
        <vt:i4>218</vt:i4>
      </vt:variant>
      <vt:variant>
        <vt:i4>0</vt:i4>
      </vt:variant>
      <vt:variant>
        <vt:i4>5</vt:i4>
      </vt:variant>
      <vt:variant>
        <vt:lpwstr/>
      </vt:variant>
      <vt:variant>
        <vt:lpwstr>_Toc323026864</vt:lpwstr>
      </vt:variant>
      <vt:variant>
        <vt:i4>1376314</vt:i4>
      </vt:variant>
      <vt:variant>
        <vt:i4>212</vt:i4>
      </vt:variant>
      <vt:variant>
        <vt:i4>0</vt:i4>
      </vt:variant>
      <vt:variant>
        <vt:i4>5</vt:i4>
      </vt:variant>
      <vt:variant>
        <vt:lpwstr/>
      </vt:variant>
      <vt:variant>
        <vt:lpwstr>_Toc323026863</vt:lpwstr>
      </vt:variant>
      <vt:variant>
        <vt:i4>1376314</vt:i4>
      </vt:variant>
      <vt:variant>
        <vt:i4>206</vt:i4>
      </vt:variant>
      <vt:variant>
        <vt:i4>0</vt:i4>
      </vt:variant>
      <vt:variant>
        <vt:i4>5</vt:i4>
      </vt:variant>
      <vt:variant>
        <vt:lpwstr/>
      </vt:variant>
      <vt:variant>
        <vt:lpwstr>_Toc323026862</vt:lpwstr>
      </vt:variant>
      <vt:variant>
        <vt:i4>1376314</vt:i4>
      </vt:variant>
      <vt:variant>
        <vt:i4>200</vt:i4>
      </vt:variant>
      <vt:variant>
        <vt:i4>0</vt:i4>
      </vt:variant>
      <vt:variant>
        <vt:i4>5</vt:i4>
      </vt:variant>
      <vt:variant>
        <vt:lpwstr/>
      </vt:variant>
      <vt:variant>
        <vt:lpwstr>_Toc323026861</vt:lpwstr>
      </vt:variant>
      <vt:variant>
        <vt:i4>1376314</vt:i4>
      </vt:variant>
      <vt:variant>
        <vt:i4>194</vt:i4>
      </vt:variant>
      <vt:variant>
        <vt:i4>0</vt:i4>
      </vt:variant>
      <vt:variant>
        <vt:i4>5</vt:i4>
      </vt:variant>
      <vt:variant>
        <vt:lpwstr/>
      </vt:variant>
      <vt:variant>
        <vt:lpwstr>_Toc323026860</vt:lpwstr>
      </vt:variant>
      <vt:variant>
        <vt:i4>1441850</vt:i4>
      </vt:variant>
      <vt:variant>
        <vt:i4>188</vt:i4>
      </vt:variant>
      <vt:variant>
        <vt:i4>0</vt:i4>
      </vt:variant>
      <vt:variant>
        <vt:i4>5</vt:i4>
      </vt:variant>
      <vt:variant>
        <vt:lpwstr/>
      </vt:variant>
      <vt:variant>
        <vt:lpwstr>_Toc323026859</vt:lpwstr>
      </vt:variant>
      <vt:variant>
        <vt:i4>1441850</vt:i4>
      </vt:variant>
      <vt:variant>
        <vt:i4>182</vt:i4>
      </vt:variant>
      <vt:variant>
        <vt:i4>0</vt:i4>
      </vt:variant>
      <vt:variant>
        <vt:i4>5</vt:i4>
      </vt:variant>
      <vt:variant>
        <vt:lpwstr/>
      </vt:variant>
      <vt:variant>
        <vt:lpwstr>_Toc323026858</vt:lpwstr>
      </vt:variant>
      <vt:variant>
        <vt:i4>1441850</vt:i4>
      </vt:variant>
      <vt:variant>
        <vt:i4>176</vt:i4>
      </vt:variant>
      <vt:variant>
        <vt:i4>0</vt:i4>
      </vt:variant>
      <vt:variant>
        <vt:i4>5</vt:i4>
      </vt:variant>
      <vt:variant>
        <vt:lpwstr/>
      </vt:variant>
      <vt:variant>
        <vt:lpwstr>_Toc323026857</vt:lpwstr>
      </vt:variant>
      <vt:variant>
        <vt:i4>1441850</vt:i4>
      </vt:variant>
      <vt:variant>
        <vt:i4>170</vt:i4>
      </vt:variant>
      <vt:variant>
        <vt:i4>0</vt:i4>
      </vt:variant>
      <vt:variant>
        <vt:i4>5</vt:i4>
      </vt:variant>
      <vt:variant>
        <vt:lpwstr/>
      </vt:variant>
      <vt:variant>
        <vt:lpwstr>_Toc323026856</vt:lpwstr>
      </vt:variant>
      <vt:variant>
        <vt:i4>1441850</vt:i4>
      </vt:variant>
      <vt:variant>
        <vt:i4>164</vt:i4>
      </vt:variant>
      <vt:variant>
        <vt:i4>0</vt:i4>
      </vt:variant>
      <vt:variant>
        <vt:i4>5</vt:i4>
      </vt:variant>
      <vt:variant>
        <vt:lpwstr/>
      </vt:variant>
      <vt:variant>
        <vt:lpwstr>_Toc323026855</vt:lpwstr>
      </vt:variant>
      <vt:variant>
        <vt:i4>1441850</vt:i4>
      </vt:variant>
      <vt:variant>
        <vt:i4>158</vt:i4>
      </vt:variant>
      <vt:variant>
        <vt:i4>0</vt:i4>
      </vt:variant>
      <vt:variant>
        <vt:i4>5</vt:i4>
      </vt:variant>
      <vt:variant>
        <vt:lpwstr/>
      </vt:variant>
      <vt:variant>
        <vt:lpwstr>_Toc323026854</vt:lpwstr>
      </vt:variant>
      <vt:variant>
        <vt:i4>1441850</vt:i4>
      </vt:variant>
      <vt:variant>
        <vt:i4>152</vt:i4>
      </vt:variant>
      <vt:variant>
        <vt:i4>0</vt:i4>
      </vt:variant>
      <vt:variant>
        <vt:i4>5</vt:i4>
      </vt:variant>
      <vt:variant>
        <vt:lpwstr/>
      </vt:variant>
      <vt:variant>
        <vt:lpwstr>_Toc323026853</vt:lpwstr>
      </vt:variant>
      <vt:variant>
        <vt:i4>1441850</vt:i4>
      </vt:variant>
      <vt:variant>
        <vt:i4>146</vt:i4>
      </vt:variant>
      <vt:variant>
        <vt:i4>0</vt:i4>
      </vt:variant>
      <vt:variant>
        <vt:i4>5</vt:i4>
      </vt:variant>
      <vt:variant>
        <vt:lpwstr/>
      </vt:variant>
      <vt:variant>
        <vt:lpwstr>_Toc323026852</vt:lpwstr>
      </vt:variant>
      <vt:variant>
        <vt:i4>1441850</vt:i4>
      </vt:variant>
      <vt:variant>
        <vt:i4>140</vt:i4>
      </vt:variant>
      <vt:variant>
        <vt:i4>0</vt:i4>
      </vt:variant>
      <vt:variant>
        <vt:i4>5</vt:i4>
      </vt:variant>
      <vt:variant>
        <vt:lpwstr/>
      </vt:variant>
      <vt:variant>
        <vt:lpwstr>_Toc323026851</vt:lpwstr>
      </vt:variant>
      <vt:variant>
        <vt:i4>1441850</vt:i4>
      </vt:variant>
      <vt:variant>
        <vt:i4>134</vt:i4>
      </vt:variant>
      <vt:variant>
        <vt:i4>0</vt:i4>
      </vt:variant>
      <vt:variant>
        <vt:i4>5</vt:i4>
      </vt:variant>
      <vt:variant>
        <vt:lpwstr/>
      </vt:variant>
      <vt:variant>
        <vt:lpwstr>_Toc323026850</vt:lpwstr>
      </vt:variant>
      <vt:variant>
        <vt:i4>1507386</vt:i4>
      </vt:variant>
      <vt:variant>
        <vt:i4>128</vt:i4>
      </vt:variant>
      <vt:variant>
        <vt:i4>0</vt:i4>
      </vt:variant>
      <vt:variant>
        <vt:i4>5</vt:i4>
      </vt:variant>
      <vt:variant>
        <vt:lpwstr/>
      </vt:variant>
      <vt:variant>
        <vt:lpwstr>_Toc323026849</vt:lpwstr>
      </vt:variant>
      <vt:variant>
        <vt:i4>1507386</vt:i4>
      </vt:variant>
      <vt:variant>
        <vt:i4>122</vt:i4>
      </vt:variant>
      <vt:variant>
        <vt:i4>0</vt:i4>
      </vt:variant>
      <vt:variant>
        <vt:i4>5</vt:i4>
      </vt:variant>
      <vt:variant>
        <vt:lpwstr/>
      </vt:variant>
      <vt:variant>
        <vt:lpwstr>_Toc323026848</vt:lpwstr>
      </vt:variant>
      <vt:variant>
        <vt:i4>1507386</vt:i4>
      </vt:variant>
      <vt:variant>
        <vt:i4>116</vt:i4>
      </vt:variant>
      <vt:variant>
        <vt:i4>0</vt:i4>
      </vt:variant>
      <vt:variant>
        <vt:i4>5</vt:i4>
      </vt:variant>
      <vt:variant>
        <vt:lpwstr/>
      </vt:variant>
      <vt:variant>
        <vt:lpwstr>_Toc323026847</vt:lpwstr>
      </vt:variant>
      <vt:variant>
        <vt:i4>1507386</vt:i4>
      </vt:variant>
      <vt:variant>
        <vt:i4>110</vt:i4>
      </vt:variant>
      <vt:variant>
        <vt:i4>0</vt:i4>
      </vt:variant>
      <vt:variant>
        <vt:i4>5</vt:i4>
      </vt:variant>
      <vt:variant>
        <vt:lpwstr/>
      </vt:variant>
      <vt:variant>
        <vt:lpwstr>_Toc323026846</vt:lpwstr>
      </vt:variant>
      <vt:variant>
        <vt:i4>1507386</vt:i4>
      </vt:variant>
      <vt:variant>
        <vt:i4>104</vt:i4>
      </vt:variant>
      <vt:variant>
        <vt:i4>0</vt:i4>
      </vt:variant>
      <vt:variant>
        <vt:i4>5</vt:i4>
      </vt:variant>
      <vt:variant>
        <vt:lpwstr/>
      </vt:variant>
      <vt:variant>
        <vt:lpwstr>_Toc323026845</vt:lpwstr>
      </vt:variant>
      <vt:variant>
        <vt:i4>1507386</vt:i4>
      </vt:variant>
      <vt:variant>
        <vt:i4>98</vt:i4>
      </vt:variant>
      <vt:variant>
        <vt:i4>0</vt:i4>
      </vt:variant>
      <vt:variant>
        <vt:i4>5</vt:i4>
      </vt:variant>
      <vt:variant>
        <vt:lpwstr/>
      </vt:variant>
      <vt:variant>
        <vt:lpwstr>_Toc323026844</vt:lpwstr>
      </vt:variant>
      <vt:variant>
        <vt:i4>1507386</vt:i4>
      </vt:variant>
      <vt:variant>
        <vt:i4>92</vt:i4>
      </vt:variant>
      <vt:variant>
        <vt:i4>0</vt:i4>
      </vt:variant>
      <vt:variant>
        <vt:i4>5</vt:i4>
      </vt:variant>
      <vt:variant>
        <vt:lpwstr/>
      </vt:variant>
      <vt:variant>
        <vt:lpwstr>_Toc323026843</vt:lpwstr>
      </vt:variant>
      <vt:variant>
        <vt:i4>1507386</vt:i4>
      </vt:variant>
      <vt:variant>
        <vt:i4>86</vt:i4>
      </vt:variant>
      <vt:variant>
        <vt:i4>0</vt:i4>
      </vt:variant>
      <vt:variant>
        <vt:i4>5</vt:i4>
      </vt:variant>
      <vt:variant>
        <vt:lpwstr/>
      </vt:variant>
      <vt:variant>
        <vt:lpwstr>_Toc323026842</vt:lpwstr>
      </vt:variant>
      <vt:variant>
        <vt:i4>1507386</vt:i4>
      </vt:variant>
      <vt:variant>
        <vt:i4>80</vt:i4>
      </vt:variant>
      <vt:variant>
        <vt:i4>0</vt:i4>
      </vt:variant>
      <vt:variant>
        <vt:i4>5</vt:i4>
      </vt:variant>
      <vt:variant>
        <vt:lpwstr/>
      </vt:variant>
      <vt:variant>
        <vt:lpwstr>_Toc323026841</vt:lpwstr>
      </vt:variant>
      <vt:variant>
        <vt:i4>1507386</vt:i4>
      </vt:variant>
      <vt:variant>
        <vt:i4>74</vt:i4>
      </vt:variant>
      <vt:variant>
        <vt:i4>0</vt:i4>
      </vt:variant>
      <vt:variant>
        <vt:i4>5</vt:i4>
      </vt:variant>
      <vt:variant>
        <vt:lpwstr/>
      </vt:variant>
      <vt:variant>
        <vt:lpwstr>_Toc323026840</vt:lpwstr>
      </vt:variant>
      <vt:variant>
        <vt:i4>1048634</vt:i4>
      </vt:variant>
      <vt:variant>
        <vt:i4>68</vt:i4>
      </vt:variant>
      <vt:variant>
        <vt:i4>0</vt:i4>
      </vt:variant>
      <vt:variant>
        <vt:i4>5</vt:i4>
      </vt:variant>
      <vt:variant>
        <vt:lpwstr/>
      </vt:variant>
      <vt:variant>
        <vt:lpwstr>_Toc323026839</vt:lpwstr>
      </vt:variant>
      <vt:variant>
        <vt:i4>1048634</vt:i4>
      </vt:variant>
      <vt:variant>
        <vt:i4>62</vt:i4>
      </vt:variant>
      <vt:variant>
        <vt:i4>0</vt:i4>
      </vt:variant>
      <vt:variant>
        <vt:i4>5</vt:i4>
      </vt:variant>
      <vt:variant>
        <vt:lpwstr/>
      </vt:variant>
      <vt:variant>
        <vt:lpwstr>_Toc323026838</vt:lpwstr>
      </vt:variant>
      <vt:variant>
        <vt:i4>1048634</vt:i4>
      </vt:variant>
      <vt:variant>
        <vt:i4>56</vt:i4>
      </vt:variant>
      <vt:variant>
        <vt:i4>0</vt:i4>
      </vt:variant>
      <vt:variant>
        <vt:i4>5</vt:i4>
      </vt:variant>
      <vt:variant>
        <vt:lpwstr/>
      </vt:variant>
      <vt:variant>
        <vt:lpwstr>_Toc323026837</vt:lpwstr>
      </vt:variant>
      <vt:variant>
        <vt:i4>1048634</vt:i4>
      </vt:variant>
      <vt:variant>
        <vt:i4>50</vt:i4>
      </vt:variant>
      <vt:variant>
        <vt:i4>0</vt:i4>
      </vt:variant>
      <vt:variant>
        <vt:i4>5</vt:i4>
      </vt:variant>
      <vt:variant>
        <vt:lpwstr/>
      </vt:variant>
      <vt:variant>
        <vt:lpwstr>_Toc323026836</vt:lpwstr>
      </vt:variant>
      <vt:variant>
        <vt:i4>1048634</vt:i4>
      </vt:variant>
      <vt:variant>
        <vt:i4>44</vt:i4>
      </vt:variant>
      <vt:variant>
        <vt:i4>0</vt:i4>
      </vt:variant>
      <vt:variant>
        <vt:i4>5</vt:i4>
      </vt:variant>
      <vt:variant>
        <vt:lpwstr/>
      </vt:variant>
      <vt:variant>
        <vt:lpwstr>_Toc323026835</vt:lpwstr>
      </vt:variant>
      <vt:variant>
        <vt:i4>1048634</vt:i4>
      </vt:variant>
      <vt:variant>
        <vt:i4>38</vt:i4>
      </vt:variant>
      <vt:variant>
        <vt:i4>0</vt:i4>
      </vt:variant>
      <vt:variant>
        <vt:i4>5</vt:i4>
      </vt:variant>
      <vt:variant>
        <vt:lpwstr/>
      </vt:variant>
      <vt:variant>
        <vt:lpwstr>_Toc323026834</vt:lpwstr>
      </vt:variant>
      <vt:variant>
        <vt:i4>1048634</vt:i4>
      </vt:variant>
      <vt:variant>
        <vt:i4>32</vt:i4>
      </vt:variant>
      <vt:variant>
        <vt:i4>0</vt:i4>
      </vt:variant>
      <vt:variant>
        <vt:i4>5</vt:i4>
      </vt:variant>
      <vt:variant>
        <vt:lpwstr/>
      </vt:variant>
      <vt:variant>
        <vt:lpwstr>_Toc323026833</vt:lpwstr>
      </vt:variant>
      <vt:variant>
        <vt:i4>1048634</vt:i4>
      </vt:variant>
      <vt:variant>
        <vt:i4>26</vt:i4>
      </vt:variant>
      <vt:variant>
        <vt:i4>0</vt:i4>
      </vt:variant>
      <vt:variant>
        <vt:i4>5</vt:i4>
      </vt:variant>
      <vt:variant>
        <vt:lpwstr/>
      </vt:variant>
      <vt:variant>
        <vt:lpwstr>_Toc323026832</vt:lpwstr>
      </vt:variant>
      <vt:variant>
        <vt:i4>1048634</vt:i4>
      </vt:variant>
      <vt:variant>
        <vt:i4>20</vt:i4>
      </vt:variant>
      <vt:variant>
        <vt:i4>0</vt:i4>
      </vt:variant>
      <vt:variant>
        <vt:i4>5</vt:i4>
      </vt:variant>
      <vt:variant>
        <vt:lpwstr/>
      </vt:variant>
      <vt:variant>
        <vt:lpwstr>_Toc323026831</vt:lpwstr>
      </vt:variant>
      <vt:variant>
        <vt:i4>1048634</vt:i4>
      </vt:variant>
      <vt:variant>
        <vt:i4>14</vt:i4>
      </vt:variant>
      <vt:variant>
        <vt:i4>0</vt:i4>
      </vt:variant>
      <vt:variant>
        <vt:i4>5</vt:i4>
      </vt:variant>
      <vt:variant>
        <vt:lpwstr/>
      </vt:variant>
      <vt:variant>
        <vt:lpwstr>_Toc323026830</vt:lpwstr>
      </vt:variant>
      <vt:variant>
        <vt:i4>1114170</vt:i4>
      </vt:variant>
      <vt:variant>
        <vt:i4>8</vt:i4>
      </vt:variant>
      <vt:variant>
        <vt:i4>0</vt:i4>
      </vt:variant>
      <vt:variant>
        <vt:i4>5</vt:i4>
      </vt:variant>
      <vt:variant>
        <vt:lpwstr/>
      </vt:variant>
      <vt:variant>
        <vt:lpwstr>_Toc323026829</vt:lpwstr>
      </vt:variant>
      <vt:variant>
        <vt:i4>1114170</vt:i4>
      </vt:variant>
      <vt:variant>
        <vt:i4>2</vt:i4>
      </vt:variant>
      <vt:variant>
        <vt:i4>0</vt:i4>
      </vt:variant>
      <vt:variant>
        <vt:i4>5</vt:i4>
      </vt:variant>
      <vt:variant>
        <vt:lpwstr/>
      </vt:variant>
      <vt:variant>
        <vt:lpwstr>_Toc323026828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IV</dc:title>
  <dc:subject/>
  <dc:creator>Telekomunikacja Polska</dc:creator>
  <cp:keywords/>
  <dc:description/>
  <cp:lastModifiedBy>aldona gawron</cp:lastModifiedBy>
  <cp:revision>22</cp:revision>
  <cp:lastPrinted>2014-03-25T13:34:00Z</cp:lastPrinted>
  <dcterms:created xsi:type="dcterms:W3CDTF">2014-03-24T08:35:00Z</dcterms:created>
  <dcterms:modified xsi:type="dcterms:W3CDTF">2014-04-02T11:09:00Z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