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B12" w:rsidRPr="00321B12" w:rsidRDefault="00321B12" w:rsidP="00321B12">
      <w:pPr>
        <w:spacing w:before="120" w:after="120" w:line="240" w:lineRule="auto"/>
        <w:jc w:val="both"/>
        <w:rPr>
          <w:rFonts w:ascii="Arial" w:hAnsi="Arial" w:cs="Arial"/>
          <w:b/>
        </w:rPr>
      </w:pPr>
      <w:r w:rsidRPr="00321B12">
        <w:rPr>
          <w:rFonts w:ascii="Arial" w:hAnsi="Arial" w:cs="Arial"/>
          <w:b/>
        </w:rPr>
        <w:t>ZAŁĄCZNIK A:</w:t>
      </w:r>
    </w:p>
    <w:p w:rsidR="00321B12" w:rsidRPr="00321B12" w:rsidRDefault="00321B12" w:rsidP="00321B12">
      <w:pPr>
        <w:spacing w:before="120" w:after="120" w:line="240" w:lineRule="auto"/>
        <w:jc w:val="both"/>
        <w:rPr>
          <w:rFonts w:ascii="Arial" w:hAnsi="Arial" w:cs="Arial"/>
          <w:b/>
        </w:rPr>
      </w:pPr>
      <w:r w:rsidRPr="00321B12">
        <w:rPr>
          <w:rFonts w:ascii="Arial" w:hAnsi="Arial" w:cs="Arial"/>
          <w:b/>
        </w:rPr>
        <w:t>Instrukcje dotyczące formularza w zakresie roamingu międzynarodowego.</w:t>
      </w:r>
    </w:p>
    <w:p w:rsidR="00321B12" w:rsidRPr="00321B12" w:rsidRDefault="00321B12" w:rsidP="00321B12">
      <w:pPr>
        <w:spacing w:before="120" w:after="120" w:line="240" w:lineRule="auto"/>
        <w:jc w:val="both"/>
        <w:rPr>
          <w:rFonts w:ascii="Arial" w:hAnsi="Arial" w:cs="Arial"/>
        </w:rPr>
      </w:pPr>
      <w:r w:rsidRPr="00321B12">
        <w:rPr>
          <w:rFonts w:ascii="Arial" w:hAnsi="Arial" w:cs="Arial"/>
        </w:rPr>
        <w:t>Forma przekazania danych:</w:t>
      </w:r>
    </w:p>
    <w:p w:rsidR="00321B12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 w:rsidRPr="00321B12">
        <w:rPr>
          <w:rFonts w:ascii="Arial" w:hAnsi="Arial" w:cs="Arial"/>
        </w:rPr>
        <w:t>1.</w:t>
      </w:r>
      <w:r w:rsidRPr="00321B12">
        <w:rPr>
          <w:rFonts w:ascii="Arial" w:hAnsi="Arial" w:cs="Arial"/>
        </w:rPr>
        <w:tab/>
        <w:t>Dane w formie formularza należy przekazać w formie elektronicznej, na podpisanej nazwą firmy płycie CD/DVD (plik MS Excel, nazwa pliku: tylko pełna nazwa przedsiębiorcy telekomunikacyjnego) stanowiącej załącznik 1.</w:t>
      </w:r>
    </w:p>
    <w:p w:rsidR="00321B12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 w:rsidRPr="00321B12">
        <w:rPr>
          <w:rFonts w:ascii="Arial" w:hAnsi="Arial" w:cs="Arial"/>
        </w:rPr>
        <w:t>2.</w:t>
      </w:r>
      <w:r w:rsidRPr="00321B12">
        <w:rPr>
          <w:rFonts w:ascii="Arial" w:hAnsi="Arial" w:cs="Arial"/>
        </w:rPr>
        <w:tab/>
        <w:t xml:space="preserve">Wszelkie komentarze w zakresie sposobu przedstawienia danych (w tym ich braków) można przedstawić wyłącznie </w:t>
      </w:r>
      <w:bookmarkStart w:id="0" w:name="_GoBack"/>
      <w:bookmarkEnd w:id="0"/>
      <w:r w:rsidRPr="00321B12">
        <w:rPr>
          <w:rFonts w:ascii="Arial" w:hAnsi="Arial" w:cs="Arial"/>
        </w:rPr>
        <w:t>w pozycji „</w:t>
      </w:r>
      <w:proofErr w:type="spellStart"/>
      <w:r w:rsidRPr="00321B12">
        <w:rPr>
          <w:rFonts w:ascii="Arial" w:hAnsi="Arial" w:cs="Arial"/>
        </w:rPr>
        <w:t>other</w:t>
      </w:r>
      <w:proofErr w:type="spellEnd"/>
      <w:r w:rsidRPr="00321B12">
        <w:rPr>
          <w:rFonts w:ascii="Arial" w:hAnsi="Arial" w:cs="Arial"/>
        </w:rPr>
        <w:t xml:space="preserve"> </w:t>
      </w:r>
      <w:proofErr w:type="spellStart"/>
      <w:r w:rsidRPr="00321B12">
        <w:rPr>
          <w:rFonts w:ascii="Arial" w:hAnsi="Arial" w:cs="Arial"/>
        </w:rPr>
        <w:t>comments</w:t>
      </w:r>
      <w:proofErr w:type="spellEnd"/>
      <w:r w:rsidRPr="00321B12">
        <w:rPr>
          <w:rFonts w:ascii="Arial" w:hAnsi="Arial" w:cs="Arial"/>
        </w:rPr>
        <w:t>” wstępnej części formularza lub w danej pozycji, której komentarz dotyczy.</w:t>
      </w:r>
    </w:p>
    <w:p w:rsidR="00321B12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 w:rsidRPr="00321B12">
        <w:rPr>
          <w:rFonts w:ascii="Arial" w:hAnsi="Arial" w:cs="Arial"/>
        </w:rPr>
        <w:t>3.</w:t>
      </w:r>
      <w:r w:rsidRPr="00321B12">
        <w:rPr>
          <w:rFonts w:ascii="Arial" w:hAnsi="Arial" w:cs="Arial"/>
        </w:rPr>
        <w:tab/>
        <w:t xml:space="preserve">W przypadku konieczności obarczenia danej pozycji komentarzem, należy stosować wyłącznie funkcję MS Excel (wstaw &gt; komentarz). Nie należy wpisywać komentarzy, dodatkowych kalkulacji </w:t>
      </w:r>
      <w:proofErr w:type="spellStart"/>
      <w:r w:rsidRPr="00321B12">
        <w:rPr>
          <w:rFonts w:ascii="Arial" w:hAnsi="Arial" w:cs="Arial"/>
        </w:rPr>
        <w:t>itp</w:t>
      </w:r>
      <w:proofErr w:type="spellEnd"/>
      <w:r w:rsidRPr="00321B12">
        <w:rPr>
          <w:rFonts w:ascii="Arial" w:hAnsi="Arial" w:cs="Arial"/>
        </w:rPr>
        <w:t>, w innych - np. sąsiednich komórkach formularza.</w:t>
      </w:r>
    </w:p>
    <w:p w:rsidR="00321B12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 w:rsidRPr="00321B12">
        <w:rPr>
          <w:rFonts w:ascii="Arial" w:hAnsi="Arial" w:cs="Arial"/>
        </w:rPr>
        <w:t>4.</w:t>
      </w:r>
      <w:r w:rsidRPr="00321B12">
        <w:rPr>
          <w:rFonts w:ascii="Arial" w:hAnsi="Arial" w:cs="Arial"/>
        </w:rPr>
        <w:tab/>
        <w:t>Wzorzec formularza jest unikalny, stąd też nie można ingerować w jego strukturę (tj. scalać / dzielić komórki, zmieniać opisy, przeklejać do innego arkusza, konwertować na PDF/JPG, itd.). Niedopuszczalna jest również zmiana formatów komórki.</w:t>
      </w:r>
    </w:p>
    <w:p w:rsidR="00321B12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 w:rsidRPr="00321B12">
        <w:rPr>
          <w:rFonts w:ascii="Arial" w:hAnsi="Arial" w:cs="Arial"/>
        </w:rPr>
        <w:t>5.</w:t>
      </w:r>
      <w:r w:rsidRPr="00321B12">
        <w:rPr>
          <w:rFonts w:ascii="Arial" w:hAnsi="Arial" w:cs="Arial"/>
        </w:rPr>
        <w:tab/>
        <w:t>Wartości liczbowe należy wpisywać z rozwinięciem dziesiętnym zgodnym z</w:t>
      </w:r>
      <w:r>
        <w:rPr>
          <w:rFonts w:ascii="Arial" w:hAnsi="Arial" w:cs="Arial"/>
        </w:rPr>
        <w:t> </w:t>
      </w:r>
      <w:r w:rsidRPr="00321B12">
        <w:rPr>
          <w:rFonts w:ascii="Arial" w:hAnsi="Arial" w:cs="Arial"/>
        </w:rPr>
        <w:t xml:space="preserve">formatem komórki - np. </w:t>
      </w:r>
      <w:proofErr w:type="spellStart"/>
      <w:r w:rsidRPr="00321B12">
        <w:rPr>
          <w:rFonts w:ascii="Arial" w:hAnsi="Arial" w:cs="Arial"/>
        </w:rPr>
        <w:t>billed</w:t>
      </w:r>
      <w:proofErr w:type="spellEnd"/>
      <w:r w:rsidRPr="00321B12">
        <w:rPr>
          <w:rFonts w:ascii="Arial" w:hAnsi="Arial" w:cs="Arial"/>
        </w:rPr>
        <w:t xml:space="preserve"> </w:t>
      </w:r>
      <w:proofErr w:type="spellStart"/>
      <w:r w:rsidRPr="00321B12">
        <w:rPr>
          <w:rFonts w:ascii="Arial" w:hAnsi="Arial" w:cs="Arial"/>
        </w:rPr>
        <w:t>minutes</w:t>
      </w:r>
      <w:proofErr w:type="spellEnd"/>
      <w:r w:rsidRPr="00321B12">
        <w:rPr>
          <w:rFonts w:ascii="Arial" w:hAnsi="Arial" w:cs="Arial"/>
        </w:rPr>
        <w:t xml:space="preserve"> (</w:t>
      </w:r>
      <w:proofErr w:type="spellStart"/>
      <w:r w:rsidRPr="00321B12">
        <w:rPr>
          <w:rFonts w:ascii="Arial" w:hAnsi="Arial" w:cs="Arial"/>
        </w:rPr>
        <w:t>millions</w:t>
      </w:r>
      <w:proofErr w:type="spellEnd"/>
      <w:r w:rsidRPr="00321B12">
        <w:rPr>
          <w:rFonts w:ascii="Arial" w:hAnsi="Arial" w:cs="Arial"/>
        </w:rPr>
        <w:t>) w zadanym formacie komórki 00,000000. (tj. rozwinięcie dziesiętne do sześciu miejsc po przecinku). Dzięki temu, operatorzy mają możliwość zamieszczenia dokładnych danych o wolumenach &lt;&lt;</w:t>
      </w:r>
      <w:r>
        <w:rPr>
          <w:rFonts w:ascii="Arial" w:hAnsi="Arial" w:cs="Arial"/>
        </w:rPr>
        <w:t> </w:t>
      </w:r>
      <w:r w:rsidRPr="00321B12">
        <w:rPr>
          <w:rFonts w:ascii="Arial" w:hAnsi="Arial" w:cs="Arial"/>
        </w:rPr>
        <w:t>1</w:t>
      </w:r>
      <w:r>
        <w:rPr>
          <w:rFonts w:ascii="Arial" w:hAnsi="Arial" w:cs="Arial"/>
        </w:rPr>
        <w:t> </w:t>
      </w:r>
      <w:r w:rsidRPr="00321B12">
        <w:rPr>
          <w:rFonts w:ascii="Arial" w:hAnsi="Arial" w:cs="Arial"/>
        </w:rPr>
        <w:t xml:space="preserve">mln, 1 tys. </w:t>
      </w:r>
    </w:p>
    <w:p w:rsidR="00321B12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 w:rsidRPr="00321B12">
        <w:rPr>
          <w:rFonts w:ascii="Arial" w:hAnsi="Arial" w:cs="Arial"/>
        </w:rPr>
        <w:t>6.</w:t>
      </w:r>
      <w:r w:rsidRPr="00321B12">
        <w:rPr>
          <w:rFonts w:ascii="Arial" w:hAnsi="Arial" w:cs="Arial"/>
        </w:rPr>
        <w:tab/>
        <w:t>Z uwagi na integralność formularza operatora, wskazane jest wypełnianie formularza, w tym umieszczanie komentarzy wyłącznie w wersji anglojęzycznej.</w:t>
      </w:r>
    </w:p>
    <w:p w:rsidR="00321B12" w:rsidRPr="00321B12" w:rsidRDefault="00321B12" w:rsidP="00321B12">
      <w:pPr>
        <w:spacing w:before="120" w:after="120" w:line="240" w:lineRule="auto"/>
        <w:jc w:val="both"/>
        <w:rPr>
          <w:rFonts w:ascii="Arial" w:hAnsi="Arial" w:cs="Arial"/>
        </w:rPr>
      </w:pPr>
      <w:r w:rsidRPr="00321B12">
        <w:rPr>
          <w:rFonts w:ascii="Arial" w:hAnsi="Arial" w:cs="Arial"/>
        </w:rPr>
        <w:t>Zakres danych:</w:t>
      </w:r>
    </w:p>
    <w:p w:rsidR="00321B12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 w:rsidRPr="00321B12">
        <w:rPr>
          <w:rFonts w:ascii="Arial" w:hAnsi="Arial" w:cs="Arial"/>
        </w:rPr>
        <w:t>7.</w:t>
      </w:r>
      <w:r w:rsidRPr="00321B12">
        <w:rPr>
          <w:rFonts w:ascii="Arial" w:hAnsi="Arial" w:cs="Arial"/>
        </w:rPr>
        <w:tab/>
        <w:t>W części detalicznej formularza (sekcja 2) operatorzy typu MNO oraz MVNO przedstawiają wyłącznie wolumen ruchu i przychody realizowane w roamingu aktywnym (</w:t>
      </w:r>
      <w:proofErr w:type="spellStart"/>
      <w:r w:rsidRPr="00321B12">
        <w:rPr>
          <w:rFonts w:ascii="Arial" w:hAnsi="Arial" w:cs="Arial"/>
        </w:rPr>
        <w:t>outbound</w:t>
      </w:r>
      <w:proofErr w:type="spellEnd"/>
      <w:r w:rsidRPr="00321B12">
        <w:rPr>
          <w:rFonts w:ascii="Arial" w:hAnsi="Arial" w:cs="Arial"/>
        </w:rPr>
        <w:t>), tj. na rzecz klientów własnych sieci/własnych marek, korzystających w roamingu z sieci zagranicznych operatorów.</w:t>
      </w:r>
    </w:p>
    <w:p w:rsidR="00321B12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 w:rsidRPr="00321B12">
        <w:rPr>
          <w:rFonts w:ascii="Arial" w:hAnsi="Arial" w:cs="Arial"/>
        </w:rPr>
        <w:t>8.</w:t>
      </w:r>
      <w:r w:rsidRPr="00321B12">
        <w:rPr>
          <w:rFonts w:ascii="Arial" w:hAnsi="Arial" w:cs="Arial"/>
        </w:rPr>
        <w:tab/>
        <w:t>W części hurtowej formularza (sekcja 3) operatorzy typu MNO przedstawiają wyłącznie wolumen ruchu i przychody realizowane w roamingu pasywnym (</w:t>
      </w:r>
      <w:proofErr w:type="spellStart"/>
      <w:r w:rsidRPr="00321B12">
        <w:rPr>
          <w:rFonts w:ascii="Arial" w:hAnsi="Arial" w:cs="Arial"/>
        </w:rPr>
        <w:t>inbound</w:t>
      </w:r>
      <w:proofErr w:type="spellEnd"/>
      <w:r w:rsidRPr="00321B12">
        <w:rPr>
          <w:rFonts w:ascii="Arial" w:hAnsi="Arial" w:cs="Arial"/>
        </w:rPr>
        <w:t>), tj. na rzecz klientów sieci zagranicznych operatorów korzystających w</w:t>
      </w:r>
      <w:r>
        <w:rPr>
          <w:rFonts w:ascii="Arial" w:hAnsi="Arial" w:cs="Arial"/>
        </w:rPr>
        <w:t> </w:t>
      </w:r>
      <w:r w:rsidRPr="00321B12">
        <w:rPr>
          <w:rFonts w:ascii="Arial" w:hAnsi="Arial" w:cs="Arial"/>
        </w:rPr>
        <w:t>roamingu z sieci polskich operatorów.</w:t>
      </w:r>
    </w:p>
    <w:p w:rsidR="00321B12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 w:rsidRPr="00321B12">
        <w:rPr>
          <w:rFonts w:ascii="Arial" w:hAnsi="Arial" w:cs="Arial"/>
        </w:rPr>
        <w:t>9.</w:t>
      </w:r>
      <w:r w:rsidRPr="00321B12">
        <w:rPr>
          <w:rFonts w:ascii="Arial" w:hAnsi="Arial" w:cs="Arial"/>
        </w:rPr>
        <w:tab/>
        <w:t>Operatorzy typu MVNO nie wypełniają sekcji 3, 4 i 5.</w:t>
      </w:r>
    </w:p>
    <w:p w:rsidR="00321B12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10. </w:t>
      </w:r>
      <w:r w:rsidRPr="00321B12">
        <w:rPr>
          <w:rFonts w:ascii="Arial" w:hAnsi="Arial" w:cs="Arial"/>
        </w:rPr>
        <w:t>Nie należy wypełniać / ingerować w treść sekcji „</w:t>
      </w:r>
      <w:proofErr w:type="spellStart"/>
      <w:r w:rsidRPr="00321B12">
        <w:rPr>
          <w:rFonts w:ascii="Arial" w:hAnsi="Arial" w:cs="Arial"/>
        </w:rPr>
        <w:t>Calculated</w:t>
      </w:r>
      <w:proofErr w:type="spellEnd"/>
      <w:r w:rsidRPr="00321B12">
        <w:rPr>
          <w:rFonts w:ascii="Arial" w:hAnsi="Arial" w:cs="Arial"/>
        </w:rPr>
        <w:t xml:space="preserve"> </w:t>
      </w:r>
      <w:proofErr w:type="spellStart"/>
      <w:r w:rsidRPr="00321B12">
        <w:rPr>
          <w:rFonts w:ascii="Arial" w:hAnsi="Arial" w:cs="Arial"/>
        </w:rPr>
        <w:t>averages</w:t>
      </w:r>
      <w:proofErr w:type="spellEnd"/>
      <w:r w:rsidRPr="00321B12">
        <w:rPr>
          <w:rFonts w:ascii="Arial" w:hAnsi="Arial" w:cs="Arial"/>
        </w:rPr>
        <w:t xml:space="preserve"> and </w:t>
      </w:r>
      <w:proofErr w:type="spellStart"/>
      <w:r w:rsidRPr="00321B12">
        <w:rPr>
          <w:rFonts w:ascii="Arial" w:hAnsi="Arial" w:cs="Arial"/>
        </w:rPr>
        <w:t>totals</w:t>
      </w:r>
      <w:proofErr w:type="spellEnd"/>
      <w:r w:rsidRPr="00321B12">
        <w:rPr>
          <w:rFonts w:ascii="Arial" w:hAnsi="Arial" w:cs="Arial"/>
        </w:rPr>
        <w:t>”, która służy wyłącznie do weryfikacji poprawności danych.</w:t>
      </w:r>
    </w:p>
    <w:p w:rsidR="00321B12" w:rsidRPr="00321B12" w:rsidRDefault="00321B12" w:rsidP="00321B12">
      <w:pPr>
        <w:spacing w:before="120" w:after="120" w:line="240" w:lineRule="auto"/>
        <w:jc w:val="both"/>
        <w:rPr>
          <w:rFonts w:ascii="Arial" w:hAnsi="Arial" w:cs="Arial"/>
        </w:rPr>
      </w:pPr>
      <w:r w:rsidRPr="00321B12">
        <w:rPr>
          <w:rFonts w:ascii="Arial" w:hAnsi="Arial" w:cs="Arial"/>
        </w:rPr>
        <w:t>Braki w danych:</w:t>
      </w:r>
    </w:p>
    <w:p w:rsidR="00321B12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11. </w:t>
      </w:r>
      <w:r w:rsidRPr="00321B12">
        <w:rPr>
          <w:rFonts w:ascii="Arial" w:hAnsi="Arial" w:cs="Arial"/>
        </w:rPr>
        <w:t>W przypadku gdy występuje brak danych należy wpisać „n/a”. Wpisanie wartości „0” jest interpretowane jako zerowy przychód / ruch z dostępnej usługi, a nie jako brak usługi.</w:t>
      </w:r>
    </w:p>
    <w:p w:rsidR="00321B12" w:rsidRPr="00321B12" w:rsidRDefault="00321B12" w:rsidP="00321B12">
      <w:pPr>
        <w:spacing w:before="120" w:after="120" w:line="240" w:lineRule="auto"/>
        <w:jc w:val="both"/>
        <w:rPr>
          <w:rFonts w:ascii="Arial" w:hAnsi="Arial" w:cs="Arial"/>
        </w:rPr>
      </w:pPr>
      <w:r w:rsidRPr="00321B12">
        <w:rPr>
          <w:rFonts w:ascii="Arial" w:hAnsi="Arial" w:cs="Arial"/>
        </w:rPr>
        <w:t>Informacje dodatkowe:</w:t>
      </w:r>
    </w:p>
    <w:p w:rsidR="00321B12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12. </w:t>
      </w:r>
      <w:r w:rsidRPr="00321B12">
        <w:rPr>
          <w:rFonts w:ascii="Arial" w:hAnsi="Arial" w:cs="Arial"/>
        </w:rPr>
        <w:t>Dla części detalicznej, do kalkulacji za okres 1 października 2013 r. – 30 marca 2014 r., należy przyjąć średni kurs, dla kursów waluty opublikowanych w: Dzienniku Urzędowym UE z dn. 28 lutego (2013/C 60/02), 28 marca (2013/C 94/03) i</w:t>
      </w:r>
      <w:r>
        <w:rPr>
          <w:rFonts w:ascii="Arial" w:hAnsi="Arial" w:cs="Arial"/>
        </w:rPr>
        <w:t> </w:t>
      </w:r>
      <w:r w:rsidRPr="00321B12">
        <w:rPr>
          <w:rFonts w:ascii="Arial" w:hAnsi="Arial" w:cs="Arial"/>
        </w:rPr>
        <w:t>30</w:t>
      </w:r>
      <w:r>
        <w:rPr>
          <w:rFonts w:ascii="Arial" w:hAnsi="Arial" w:cs="Arial"/>
        </w:rPr>
        <w:t> </w:t>
      </w:r>
      <w:r w:rsidRPr="00321B12">
        <w:rPr>
          <w:rFonts w:ascii="Arial" w:hAnsi="Arial" w:cs="Arial"/>
        </w:rPr>
        <w:t>kwietnia (2013/C 125/03), tj. 1€ = 4,1608 PLN . Dla części hurtowej, do kalkulacji należy przyjąć kurs waluty opublikowany w Dzienniku Urzędowym UE z dn. 30</w:t>
      </w:r>
      <w:r>
        <w:rPr>
          <w:rFonts w:ascii="Arial" w:hAnsi="Arial" w:cs="Arial"/>
        </w:rPr>
        <w:t> </w:t>
      </w:r>
      <w:r w:rsidRPr="00321B12">
        <w:rPr>
          <w:rFonts w:ascii="Arial" w:hAnsi="Arial" w:cs="Arial"/>
        </w:rPr>
        <w:t>kwietnia (2013/C 125/03), tj. 1€ = 4,1504 PLN.</w:t>
      </w:r>
    </w:p>
    <w:p w:rsidR="00321B12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13. </w:t>
      </w:r>
      <w:r w:rsidRPr="00321B12">
        <w:rPr>
          <w:rFonts w:ascii="Arial" w:hAnsi="Arial" w:cs="Arial"/>
        </w:rPr>
        <w:t>Należy literalnie interpretować notę końcową nr 16 formularza (tj. połączenia inicjowane przez klientów operatorów z EU/EEA, w krajach EU/EEA, ale terminowane poza EU/EEA, należy klasyfikować do kategorii RoW).</w:t>
      </w:r>
    </w:p>
    <w:p w:rsidR="00183759" w:rsidRPr="00321B12" w:rsidRDefault="00321B12" w:rsidP="00321B12">
      <w:pPr>
        <w:spacing w:before="120" w:after="120" w:line="240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14. </w:t>
      </w:r>
      <w:r w:rsidRPr="00321B12">
        <w:rPr>
          <w:rFonts w:ascii="Arial" w:hAnsi="Arial" w:cs="Arial"/>
        </w:rPr>
        <w:t>Przed przesłaniem do UKE wypełnionego formularza, można samodzielnie zweryfikować poprawność zamieszczonym w nim wartości liczbowych. W tym celu należy przeanalizować wartości zwrócone w sekcji „</w:t>
      </w:r>
      <w:proofErr w:type="spellStart"/>
      <w:r w:rsidRPr="00321B12">
        <w:rPr>
          <w:rFonts w:ascii="Arial" w:hAnsi="Arial" w:cs="Arial"/>
        </w:rPr>
        <w:t>Calculated</w:t>
      </w:r>
      <w:proofErr w:type="spellEnd"/>
      <w:r w:rsidRPr="00321B12">
        <w:rPr>
          <w:rFonts w:ascii="Arial" w:hAnsi="Arial" w:cs="Arial"/>
        </w:rPr>
        <w:t xml:space="preserve"> </w:t>
      </w:r>
      <w:proofErr w:type="spellStart"/>
      <w:r w:rsidRPr="00321B12">
        <w:rPr>
          <w:rFonts w:ascii="Arial" w:hAnsi="Arial" w:cs="Arial"/>
        </w:rPr>
        <w:t>averages</w:t>
      </w:r>
      <w:proofErr w:type="spellEnd"/>
      <w:r w:rsidRPr="00321B12">
        <w:rPr>
          <w:rFonts w:ascii="Arial" w:hAnsi="Arial" w:cs="Arial"/>
        </w:rPr>
        <w:t xml:space="preserve"> and </w:t>
      </w:r>
      <w:proofErr w:type="spellStart"/>
      <w:r w:rsidRPr="00321B12">
        <w:rPr>
          <w:rFonts w:ascii="Arial" w:hAnsi="Arial" w:cs="Arial"/>
        </w:rPr>
        <w:t>totals</w:t>
      </w:r>
      <w:proofErr w:type="spellEnd"/>
      <w:r w:rsidRPr="00321B12">
        <w:rPr>
          <w:rFonts w:ascii="Arial" w:hAnsi="Arial" w:cs="Arial"/>
        </w:rPr>
        <w:t>”.</w:t>
      </w:r>
    </w:p>
    <w:sectPr w:rsidR="00183759" w:rsidRPr="00321B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B12"/>
    <w:rsid w:val="00183759"/>
    <w:rsid w:val="00321B12"/>
    <w:rsid w:val="00D7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481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Warzecki Przemysław</dc:creator>
  <cp:keywords/>
  <dc:description/>
  <cp:lastModifiedBy>Warzecki Przemysław</cp:lastModifiedBy>
  <cp:revision>1</cp:revision>
  <dcterms:created xsi:type="dcterms:W3CDTF">2014-03-21T07:47:00Z</dcterms:created>
  <dcterms:modified xsi:type="dcterms:W3CDTF">2014-03-21T07:50:00Z</dcterms:modified>
</cp:coreProperties>
</file>