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1A75" w:rsidRPr="00712217" w:rsidRDefault="00EF1A75" w:rsidP="00DB53C5">
      <w:pPr>
        <w:spacing w:before="120" w:after="120"/>
        <w:jc w:val="center"/>
        <w:rPr>
          <w:b/>
        </w:rPr>
      </w:pPr>
      <w:r w:rsidRPr="00712217">
        <w:rPr>
          <w:b/>
        </w:rPr>
        <w:t>Wyniki konsultacji Kwestionariuszy MS/PS</w:t>
      </w:r>
    </w:p>
    <w:p w:rsidR="00EF1A75" w:rsidRPr="00712217" w:rsidRDefault="00EF1A75" w:rsidP="00DB53C5">
      <w:pPr>
        <w:spacing w:before="120" w:after="120"/>
        <w:jc w:val="both"/>
      </w:pPr>
      <w:r w:rsidRPr="00712217">
        <w:t xml:space="preserve">W dniu 30 stycznia 2015 r. Prezes Urzędu Komunikacji Elektronicznej przedstawił </w:t>
      </w:r>
      <w:r w:rsidR="00DB53C5">
        <w:br/>
      </w:r>
      <w:r w:rsidRPr="00712217">
        <w:t xml:space="preserve">do konsultacji projekt „Stanowiska Prezesa UKE w sprawie szczegółowych metod przeprowadzania testów zawężania marży i zawężania ceny” (dalej „Stanowisko Testów MS/PS”) oraz jego trzech załączników: „Kwestionariusza w sprawie danych </w:t>
      </w:r>
      <w:r w:rsidR="00DB53C5">
        <w:br/>
      </w:r>
      <w:r w:rsidRPr="00712217">
        <w:t xml:space="preserve">do przeprowadzania Testów MS/PS w odniesieniu do usług detalicznych Orange Polska S.A.” oraz „Kwestionariusza alokacji kategorii kosztowych” (dalej „Kwestionariusze”), a także formularza „Wniosku o Testy”. </w:t>
      </w:r>
    </w:p>
    <w:p w:rsidR="00EF1A75" w:rsidRPr="00712217" w:rsidRDefault="00EF1A75" w:rsidP="00DB53C5">
      <w:pPr>
        <w:spacing w:before="120" w:after="120"/>
        <w:jc w:val="both"/>
      </w:pPr>
      <w:r w:rsidRPr="00712217">
        <w:t xml:space="preserve">Uwagi do konsultowanych projektów dokumentów można było składać do dnia 13 lutego 2015 r. </w:t>
      </w:r>
    </w:p>
    <w:p w:rsidR="00EF1A75" w:rsidRPr="00712217" w:rsidRDefault="00EF1A75" w:rsidP="00DB53C5">
      <w:pPr>
        <w:spacing w:before="120" w:after="120"/>
        <w:jc w:val="both"/>
      </w:pPr>
      <w:r w:rsidRPr="00712217">
        <w:t>W czasie konsultacji zostały zgłoszone uwagi dotyczące projektów Kwestionariuszy przez:</w:t>
      </w:r>
    </w:p>
    <w:p w:rsidR="00EF1A75" w:rsidRPr="00712217" w:rsidRDefault="00EF1A75" w:rsidP="00DB53C5">
      <w:pPr>
        <w:numPr>
          <w:ilvl w:val="0"/>
          <w:numId w:val="6"/>
        </w:numPr>
        <w:spacing w:before="120" w:after="120"/>
        <w:ind w:left="714" w:hanging="357"/>
        <w:jc w:val="both"/>
      </w:pPr>
      <w:r w:rsidRPr="00712217">
        <w:t xml:space="preserve">Orange Polska S.A. (dalej </w:t>
      </w:r>
      <w:r>
        <w:t>„</w:t>
      </w:r>
      <w:r w:rsidRPr="00712217">
        <w:t>OPL</w:t>
      </w:r>
      <w:r>
        <w:t>”</w:t>
      </w:r>
      <w:r w:rsidRPr="00712217">
        <w:t>)</w:t>
      </w:r>
    </w:p>
    <w:p w:rsidR="00EF1A75" w:rsidRPr="00712217" w:rsidRDefault="00EF1A75" w:rsidP="00DB53C5">
      <w:pPr>
        <w:numPr>
          <w:ilvl w:val="0"/>
          <w:numId w:val="6"/>
        </w:numPr>
        <w:spacing w:before="120" w:after="120"/>
        <w:ind w:left="714" w:hanging="357"/>
        <w:jc w:val="both"/>
      </w:pPr>
      <w:r w:rsidRPr="00712217">
        <w:t>Polsk</w:t>
      </w:r>
      <w:r>
        <w:t>ą</w:t>
      </w:r>
      <w:r w:rsidRPr="00712217">
        <w:t xml:space="preserve"> Izb</w:t>
      </w:r>
      <w:r>
        <w:t>ę</w:t>
      </w:r>
      <w:r w:rsidRPr="00712217">
        <w:t xml:space="preserve"> Informatyki i Telekomunikacji (dalej </w:t>
      </w:r>
      <w:r>
        <w:t>„</w:t>
      </w:r>
      <w:r w:rsidRPr="00712217">
        <w:t>PIIT</w:t>
      </w:r>
      <w:r>
        <w:t>”</w:t>
      </w:r>
      <w:r w:rsidRPr="00712217">
        <w:t>).</w:t>
      </w:r>
    </w:p>
    <w:p w:rsidR="00EF1A75" w:rsidRPr="00EF1A75" w:rsidRDefault="00EF1A75" w:rsidP="00DB53C5">
      <w:pPr>
        <w:spacing w:before="120" w:after="120"/>
        <w:jc w:val="both"/>
        <w:rPr>
          <w:b/>
        </w:rPr>
      </w:pPr>
      <w:r w:rsidRPr="00712217">
        <w:rPr>
          <w:b/>
        </w:rPr>
        <w:t>Po dokonaniu analizy przedłożonych stanowisk konsultacyjnych Prezes UKE przedstawia co następuje:</w:t>
      </w:r>
    </w:p>
    <w:p w:rsidR="00EF1A75" w:rsidRPr="00712217" w:rsidRDefault="00EF1A75" w:rsidP="00DB53C5">
      <w:pPr>
        <w:numPr>
          <w:ilvl w:val="0"/>
          <w:numId w:val="7"/>
        </w:numPr>
        <w:spacing w:before="120" w:after="120"/>
        <w:ind w:left="714" w:hanging="357"/>
        <w:jc w:val="both"/>
        <w:rPr>
          <w:b/>
        </w:rPr>
      </w:pPr>
      <w:r w:rsidRPr="00712217">
        <w:rPr>
          <w:b/>
        </w:rPr>
        <w:t>Uwagi OPL:</w:t>
      </w:r>
    </w:p>
    <w:p w:rsidR="00EF1A75" w:rsidRPr="00712217" w:rsidRDefault="00EF1A75" w:rsidP="00DB53C5">
      <w:pPr>
        <w:numPr>
          <w:ilvl w:val="0"/>
          <w:numId w:val="8"/>
        </w:numPr>
        <w:spacing w:before="120" w:after="120"/>
        <w:ind w:left="641" w:right="-113" w:hanging="357"/>
        <w:jc w:val="both"/>
        <w:rPr>
          <w:i/>
        </w:rPr>
      </w:pPr>
      <w:r w:rsidRPr="00712217">
        <w:t xml:space="preserve">Uwaga OPL: </w:t>
      </w:r>
      <w:r w:rsidRPr="00712217">
        <w:rPr>
          <w:i/>
        </w:rPr>
        <w:t xml:space="preserve">Dodanie kolumny „Całkowitego dwukierunkowego ruchu wchodzącego </w:t>
      </w:r>
      <w:r w:rsidR="00DB53C5">
        <w:rPr>
          <w:i/>
        </w:rPr>
        <w:br/>
      </w:r>
      <w:r w:rsidRPr="00712217">
        <w:rPr>
          <w:i/>
        </w:rPr>
        <w:t>w GB na poziomie odpowiedniej warstwy (z wyłączenie</w:t>
      </w:r>
      <w:r w:rsidR="00DB53C5">
        <w:rPr>
          <w:i/>
        </w:rPr>
        <w:t xml:space="preserve">m punktów wymiany ruchu)” </w:t>
      </w:r>
      <w:r w:rsidRPr="00712217">
        <w:rPr>
          <w:i/>
        </w:rPr>
        <w:t>(załącznik nr 2, zakładka „</w:t>
      </w:r>
      <w:proofErr w:type="spellStart"/>
      <w:r w:rsidRPr="00712217">
        <w:rPr>
          <w:i/>
        </w:rPr>
        <w:t>dane_kazdego_operatora</w:t>
      </w:r>
      <w:proofErr w:type="spellEnd"/>
      <w:r w:rsidRPr="00712217">
        <w:rPr>
          <w:i/>
        </w:rPr>
        <w:t>” w sekcji B „Dane o infrastrukturze sieciowej operatora”)</w:t>
      </w:r>
    </w:p>
    <w:p w:rsidR="00EF1A75" w:rsidRPr="00712217" w:rsidRDefault="00EF1A75" w:rsidP="00DB53C5">
      <w:pPr>
        <w:spacing w:before="120" w:after="120"/>
        <w:ind w:right="-113"/>
        <w:jc w:val="both"/>
      </w:pPr>
      <w:r w:rsidRPr="00712217">
        <w:t xml:space="preserve">OPL wniosła o przywrócenie w Kwestionariuszu Danych definicji „Całkowitego dwukierunkowego ruchu wchodzącego w GB na poziomie odpowiedniej warstwy (z wyłączeniem punktów wymiany ruchu)” oraz formuł iloczynu pól: </w:t>
      </w:r>
    </w:p>
    <w:p w:rsidR="00EF1A75" w:rsidRPr="00712217" w:rsidRDefault="00EF1A75" w:rsidP="00DB53C5">
      <w:pPr>
        <w:spacing w:before="120" w:after="120"/>
        <w:ind w:right="-113"/>
        <w:jc w:val="both"/>
      </w:pPr>
      <w:r w:rsidRPr="00712217">
        <w:t xml:space="preserve">„Dwukierunkowy ruch wchodzący w GB na poziomie odpowiedniej warstwy </w:t>
      </w:r>
      <w:r w:rsidRPr="00712217">
        <w:br/>
        <w:t xml:space="preserve">(z wyłączeniem punktów wymiany ruchu) do/od abonentów usług szerokopasmowych oferowanych w oparciu o usługę hurtową BSA (na poszczególnym poziomie sieci)” </w:t>
      </w:r>
      <w:r w:rsidRPr="00712217">
        <w:br/>
        <w:t>– ruch rzeczywisty</w:t>
      </w:r>
      <w:r w:rsidR="00DB53C5">
        <w:t>.</w:t>
      </w:r>
    </w:p>
    <w:p w:rsidR="00EF1A75" w:rsidRPr="00712217" w:rsidRDefault="00EF1A75" w:rsidP="00DB53C5">
      <w:pPr>
        <w:spacing w:before="120" w:after="120"/>
        <w:ind w:right="-113"/>
        <w:jc w:val="both"/>
      </w:pPr>
      <w:r w:rsidRPr="00712217">
        <w:t>oraz</w:t>
      </w:r>
    </w:p>
    <w:p w:rsidR="00EF1A75" w:rsidRPr="00712217" w:rsidRDefault="00EF1A75" w:rsidP="00DB53C5">
      <w:pPr>
        <w:spacing w:before="120" w:after="120"/>
        <w:ind w:right="-113"/>
        <w:jc w:val="both"/>
      </w:pPr>
      <w:r w:rsidRPr="00712217">
        <w:t>„Współczynnik wykorzystania elementów sieciowych liczony jako średni ruch na elemencie sieciowym (na podstawie danych z całego roku)/pojemność pomniejszoną o rezerwę techniczną (rozumiana jako margines bezpieczeństwa przed okresowym przeciążeniem wynikający z</w:t>
      </w:r>
      <w:r w:rsidR="00DB53C5">
        <w:t>e stosowanych reguł inżynierii)”.</w:t>
      </w:r>
    </w:p>
    <w:p w:rsidR="00EF1A75" w:rsidRPr="00712217" w:rsidRDefault="00EF1A75" w:rsidP="00DB53C5">
      <w:pPr>
        <w:spacing w:before="120" w:after="120"/>
        <w:ind w:right="-142"/>
        <w:jc w:val="both"/>
      </w:pPr>
      <w:r w:rsidRPr="00712217">
        <w:t>W ocenie Prezesa UKE wartości określone jako „Dwukierunkowy ruch wchodzący</w:t>
      </w:r>
      <w:r w:rsidRPr="00712217">
        <w:br/>
        <w:t xml:space="preserve">w GB na poziomie odpowiedniej warstwy (z wyłączeniem punktów wymiany ruchu) do/od abonentów usług szerokopasmowych oferowanych w oparciu o usługę hurtową BSA </w:t>
      </w:r>
      <w:r w:rsidR="00DB53C5">
        <w:br/>
      </w:r>
      <w:r w:rsidRPr="00712217">
        <w:t>(na poszczególnym poziomie sieci)”, pozyskane od OPDK, odwzorowują rzeczywiste wykorzystanie ruchu przypadającego na dany element sieci. Takie podejście jest bardziej spójne z ideą przeprowadzania Testów MS/PS niż proponowane przez OPL.</w:t>
      </w:r>
    </w:p>
    <w:p w:rsidR="00EF1A75" w:rsidRPr="00712217" w:rsidRDefault="00EF1A75" w:rsidP="00DB53C5">
      <w:pPr>
        <w:numPr>
          <w:ilvl w:val="0"/>
          <w:numId w:val="8"/>
        </w:numPr>
        <w:spacing w:before="120" w:after="120"/>
        <w:ind w:left="641" w:right="-113" w:hanging="357"/>
        <w:jc w:val="both"/>
        <w:rPr>
          <w:i/>
        </w:rPr>
      </w:pPr>
      <w:r w:rsidRPr="00712217">
        <w:t xml:space="preserve">Uwaga OPL: </w:t>
      </w:r>
      <w:r w:rsidRPr="00712217">
        <w:rPr>
          <w:i/>
        </w:rPr>
        <w:t>Wartość Brutto zaangażowanych środków trwałych (załącznik nr 2, zakładka „</w:t>
      </w:r>
      <w:proofErr w:type="spellStart"/>
      <w:r w:rsidRPr="00712217">
        <w:rPr>
          <w:i/>
        </w:rPr>
        <w:t>dane_kazdego_operatora</w:t>
      </w:r>
      <w:proofErr w:type="spellEnd"/>
      <w:r w:rsidRPr="00712217">
        <w:rPr>
          <w:i/>
        </w:rPr>
        <w:t>” w sekcji B „Dane o infrastrukturze sieciowej operatora”)</w:t>
      </w:r>
    </w:p>
    <w:p w:rsidR="00DB53C5" w:rsidRDefault="00EF1A75" w:rsidP="00DB53C5">
      <w:pPr>
        <w:spacing w:before="120" w:after="120"/>
        <w:ind w:right="-113"/>
        <w:jc w:val="both"/>
      </w:pPr>
      <w:r w:rsidRPr="00712217">
        <w:t>OPL wniosła o wykreślenie tych danych z zakresu Kwestionariusza Danych argumentując tym, iż wielkości te nie są wykorzystywane w procedurze ustalania Wartości Średnich</w:t>
      </w:r>
      <w:r>
        <w:t>.</w:t>
      </w:r>
    </w:p>
    <w:p w:rsidR="00EF1A75" w:rsidRPr="00712217" w:rsidRDefault="00EF1A75" w:rsidP="00DB53C5">
      <w:pPr>
        <w:spacing w:before="120" w:after="120"/>
        <w:ind w:right="-113"/>
        <w:jc w:val="both"/>
      </w:pPr>
      <w:r w:rsidRPr="00712217">
        <w:lastRenderedPageBreak/>
        <w:t>W ocenie Prezesa UKE „Wartość brutto zaangażowanych środków trwałych” nie jest wykorzystywana w testach, ale służy do weryfikacji „Wartości netto zaangażowanych środków trwałych” i porównywalności danych rok do roku.</w:t>
      </w:r>
    </w:p>
    <w:p w:rsidR="00EF1A75" w:rsidRPr="00712217" w:rsidRDefault="00EF1A75" w:rsidP="00DB53C5">
      <w:pPr>
        <w:numPr>
          <w:ilvl w:val="0"/>
          <w:numId w:val="8"/>
        </w:numPr>
        <w:spacing w:before="120" w:after="120"/>
        <w:ind w:left="641" w:right="-113" w:hanging="357"/>
        <w:jc w:val="both"/>
        <w:rPr>
          <w:b/>
        </w:rPr>
      </w:pPr>
      <w:r w:rsidRPr="00712217">
        <w:t xml:space="preserve">Uwaga OPL: </w:t>
      </w:r>
      <w:r w:rsidRPr="00712217">
        <w:rPr>
          <w:i/>
        </w:rPr>
        <w:t>Odrębny WACC dla usług FTTH</w:t>
      </w:r>
    </w:p>
    <w:p w:rsidR="00EF1A75" w:rsidRPr="00712217" w:rsidRDefault="00EF1A75" w:rsidP="00DB53C5">
      <w:pPr>
        <w:spacing w:before="120" w:after="120"/>
        <w:ind w:right="-113"/>
        <w:jc w:val="both"/>
      </w:pPr>
      <w:r w:rsidRPr="00712217">
        <w:t xml:space="preserve">OPL nie widzi potrzeby uwzględnienia wyższego wskaźnika WACC dla dostępowej sieci światłowodowej gdyż w testach MS/PS w oparciu o Usługę Regulowaną BSA, koszt sieci dostępowej uwzględniany jest w elemencie CH, ponieważ dostarczany jest przez OPL. </w:t>
      </w:r>
    </w:p>
    <w:p w:rsidR="00EF1A75" w:rsidRPr="004931B8" w:rsidRDefault="00EF1A75" w:rsidP="00DB53C5">
      <w:pPr>
        <w:tabs>
          <w:tab w:val="left" w:pos="2160"/>
        </w:tabs>
        <w:spacing w:before="120" w:after="120"/>
        <w:jc w:val="both"/>
      </w:pPr>
      <w:r w:rsidRPr="00712217">
        <w:t xml:space="preserve">W ocenie Prezesa UKE </w:t>
      </w:r>
      <w:r w:rsidRPr="004931B8">
        <w:t>WACC dla infrastruktury światłowodowej dotyczy jedynie sieci dostępowej OPL</w:t>
      </w:r>
      <w:r>
        <w:t xml:space="preserve"> - </w:t>
      </w:r>
      <w:r w:rsidRPr="004931B8">
        <w:t>nie będzie stosowany w wyższych w</w:t>
      </w:r>
      <w:r>
        <w:t xml:space="preserve">arstwach sieci. </w:t>
      </w:r>
      <w:r w:rsidRPr="004931B8">
        <w:t xml:space="preserve"> </w:t>
      </w:r>
    </w:p>
    <w:p w:rsidR="00EF1A75" w:rsidRPr="00712217" w:rsidRDefault="00EF1A75" w:rsidP="00DB53C5">
      <w:pPr>
        <w:numPr>
          <w:ilvl w:val="0"/>
          <w:numId w:val="8"/>
        </w:numPr>
        <w:overflowPunct w:val="0"/>
        <w:autoSpaceDE w:val="0"/>
        <w:autoSpaceDN w:val="0"/>
        <w:adjustRightInd w:val="0"/>
        <w:spacing w:before="120" w:after="120"/>
        <w:ind w:left="641" w:hanging="357"/>
        <w:jc w:val="both"/>
        <w:textAlignment w:val="baseline"/>
        <w:rPr>
          <w:i/>
        </w:rPr>
      </w:pPr>
      <w:r w:rsidRPr="00712217">
        <w:t xml:space="preserve">Uwaga OPL: </w:t>
      </w:r>
      <w:r w:rsidRPr="00712217">
        <w:rPr>
          <w:i/>
        </w:rPr>
        <w:t>Uwzględnienie potencjalnej liczby abonentów na porcie danego typu</w:t>
      </w:r>
    </w:p>
    <w:p w:rsidR="00EF1A75" w:rsidRPr="00712217" w:rsidRDefault="00EF1A75" w:rsidP="00DB53C5">
      <w:pPr>
        <w:spacing w:before="120" w:after="120"/>
        <w:ind w:right="-113"/>
        <w:jc w:val="both"/>
      </w:pPr>
      <w:r w:rsidRPr="00712217">
        <w:t>OPL wniosła o usunięcie z Kwestionariusza Danych, wierszy dotyczących „Średniej liczby abonentów na portach używanych w różnych trybach” (tryb kolokacji, liniowy, dedykowany) w podziale na poszczególne rodzaje portów.</w:t>
      </w:r>
    </w:p>
    <w:p w:rsidR="00EF1A75" w:rsidRPr="00712217" w:rsidRDefault="00EF1A75" w:rsidP="00DB53C5">
      <w:pPr>
        <w:tabs>
          <w:tab w:val="left" w:pos="2160"/>
        </w:tabs>
        <w:spacing w:before="120" w:after="120"/>
        <w:jc w:val="both"/>
      </w:pPr>
      <w:r w:rsidRPr="00712217">
        <w:t>Stanowisko Testów MS/PS w tym względzie wskazuje, iż:</w:t>
      </w:r>
    </w:p>
    <w:p w:rsidR="00EF1A75" w:rsidRPr="00712217" w:rsidRDefault="00EF1A75" w:rsidP="00DB53C5">
      <w:pPr>
        <w:spacing w:before="120" w:after="120"/>
        <w:ind w:right="-113"/>
        <w:jc w:val="both"/>
        <w:rPr>
          <w:i/>
        </w:rPr>
      </w:pPr>
      <w:r w:rsidRPr="00712217">
        <w:rPr>
          <w:i/>
        </w:rPr>
        <w:t>„W celu uzyskania sumy kosztów, jakie ponosi OA w związku z połączeniem z siecią Orange (koszt PDU) według poziomów dostępu należy ustalić rzeczywistą liczbę abonentów przypadającą na łącze danego rodzaju w jednym z trzech trybów połączenia sieci. Alternatywnie należy ustalić dopuszczalną liczbę abonentów przypadającą na łącze danego rodzaju w jednym z trzech trybów połączenia sieci”.</w:t>
      </w:r>
    </w:p>
    <w:p w:rsidR="00EF1A75" w:rsidRPr="00712217" w:rsidRDefault="00EF1A75" w:rsidP="00DB53C5">
      <w:pPr>
        <w:spacing w:before="120" w:after="120"/>
        <w:ind w:right="-113"/>
        <w:jc w:val="both"/>
      </w:pPr>
      <w:r w:rsidRPr="00712217">
        <w:t>W ocenie Prezesa UKE Stanowisko w przypadku zajętości portów daje możliwość zastosowania danych rzeczywistych bądź potencjalnych, w zależności od wyniku procesu weryfikacji danych OPDK.</w:t>
      </w:r>
    </w:p>
    <w:p w:rsidR="00EF1A75" w:rsidRPr="00712217" w:rsidRDefault="00EF1A75" w:rsidP="00DB53C5">
      <w:pPr>
        <w:numPr>
          <w:ilvl w:val="0"/>
          <w:numId w:val="7"/>
        </w:numPr>
        <w:spacing w:before="120" w:after="120"/>
        <w:ind w:left="714" w:hanging="357"/>
        <w:jc w:val="both"/>
        <w:rPr>
          <w:b/>
        </w:rPr>
      </w:pPr>
      <w:r w:rsidRPr="00712217">
        <w:rPr>
          <w:b/>
        </w:rPr>
        <w:t>Uwagi PIIT:</w:t>
      </w:r>
    </w:p>
    <w:p w:rsidR="00EF1A75" w:rsidRPr="00712217" w:rsidRDefault="00EF1A75" w:rsidP="00DB53C5">
      <w:pPr>
        <w:numPr>
          <w:ilvl w:val="0"/>
          <w:numId w:val="9"/>
        </w:numPr>
        <w:spacing w:before="120" w:after="120"/>
        <w:ind w:left="714" w:right="-113" w:hanging="357"/>
        <w:jc w:val="both"/>
        <w:rPr>
          <w:i/>
        </w:rPr>
      </w:pPr>
      <w:r w:rsidRPr="00712217">
        <w:t xml:space="preserve">Uwaga PIIT: </w:t>
      </w:r>
      <w:r w:rsidRPr="00712217">
        <w:rPr>
          <w:i/>
        </w:rPr>
        <w:t xml:space="preserve">Dodanie kolumny „Całkowitego dwukierunkowego ruchu wchodzącego </w:t>
      </w:r>
      <w:r w:rsidR="00DB53C5">
        <w:rPr>
          <w:i/>
        </w:rPr>
        <w:br/>
      </w:r>
      <w:r w:rsidRPr="00712217">
        <w:rPr>
          <w:i/>
        </w:rPr>
        <w:t>w GB na poziomie odpowiedniej warstwy (z wyłączeniem punktów wymiany ruchu)” (załącznik nr 2, zakładka „</w:t>
      </w:r>
      <w:proofErr w:type="spellStart"/>
      <w:r w:rsidRPr="00712217">
        <w:rPr>
          <w:i/>
        </w:rPr>
        <w:t>dane_kazdego_operatora</w:t>
      </w:r>
      <w:proofErr w:type="spellEnd"/>
      <w:r w:rsidRPr="00712217">
        <w:rPr>
          <w:i/>
        </w:rPr>
        <w:t>” w sekcji B „Dane o infrastrukturze sieciowej operatora”)</w:t>
      </w:r>
    </w:p>
    <w:p w:rsidR="00EF1A75" w:rsidRPr="00712217" w:rsidRDefault="00EF1A75" w:rsidP="00DB53C5">
      <w:pPr>
        <w:spacing w:before="120" w:after="120"/>
        <w:ind w:right="-113"/>
        <w:jc w:val="both"/>
      </w:pPr>
      <w:r w:rsidRPr="00712217">
        <w:t>PIIT wni</w:t>
      </w:r>
      <w:r>
        <w:t>o</w:t>
      </w:r>
      <w:r w:rsidRPr="00712217">
        <w:t xml:space="preserve">sła o przywrócenie w Kwestionariuszu Danych definicji i wyliczenia „Całkowitego dwukierunkowego ruchu wchodzącego w GB na poziomie odpowiedniej warstwy (z wyłączeniem punktów wymiany ruchu)” </w:t>
      </w:r>
    </w:p>
    <w:p w:rsidR="00EF1A75" w:rsidRDefault="00EF1A75" w:rsidP="00DB53C5">
      <w:pPr>
        <w:spacing w:before="120" w:after="120"/>
        <w:ind w:right="-142"/>
        <w:jc w:val="both"/>
      </w:pPr>
      <w:r w:rsidRPr="00712217">
        <w:t>W ocenie Prezesa UKE wartości określone jako „Dwukierunkowy ruch wchodzący</w:t>
      </w:r>
      <w:r w:rsidRPr="00712217">
        <w:br/>
        <w:t xml:space="preserve">w GB na poziomie odpowiedniej warstwy (z wyłączeniem punktów wymiany ruchu) do/od abonentów usług szerokopasmowych oferowanych w oparciu o usługę hurtową BSA </w:t>
      </w:r>
      <w:r w:rsidR="00DB53C5">
        <w:br/>
      </w:r>
      <w:r w:rsidRPr="00712217">
        <w:t xml:space="preserve">(na poszczególnym poziomie sieci)”, pozyskane od OPDK, odwzorowują rzeczywiste wykorzystanie ruchu przypadającego na dany element sieci. </w:t>
      </w:r>
      <w:r w:rsidR="00746310" w:rsidRPr="00712217">
        <w:t>Takie podejście jest bardziej spójne z ideą przeprowadzania Testów MS/PS.</w:t>
      </w:r>
    </w:p>
    <w:p w:rsidR="00EF1A75" w:rsidRPr="00712217" w:rsidRDefault="00EF1A75" w:rsidP="00DB53C5">
      <w:pPr>
        <w:spacing w:before="120" w:after="120"/>
        <w:ind w:right="-142"/>
        <w:jc w:val="both"/>
      </w:pPr>
      <w:r w:rsidRPr="00712217">
        <w:t>OPL i PIIT nie wniosły żadnych uwag odnośnie Kwestionariusza Alokacji.</w:t>
      </w:r>
    </w:p>
    <w:p w:rsidR="00165155" w:rsidRDefault="00165155" w:rsidP="00DB53C5">
      <w:pPr>
        <w:spacing w:before="120" w:after="120"/>
        <w:jc w:val="both"/>
        <w:rPr>
          <w:bCs/>
        </w:rPr>
      </w:pPr>
    </w:p>
    <w:p w:rsidR="001C4C61" w:rsidRDefault="001C4C61" w:rsidP="00DB53C5">
      <w:pPr>
        <w:spacing w:before="120" w:after="120"/>
        <w:jc w:val="both"/>
        <w:rPr>
          <w:bCs/>
        </w:rPr>
      </w:pPr>
    </w:p>
    <w:p w:rsidR="004E0BB1" w:rsidRDefault="004E0BB1" w:rsidP="00DB53C5">
      <w:pPr>
        <w:pStyle w:val="Tekstpodstawowy"/>
        <w:spacing w:before="120" w:after="120" w:line="240" w:lineRule="auto"/>
        <w:rPr>
          <w:rFonts w:ascii="Times New Roman" w:hAnsi="Times New Roman" w:cs="Times New Roman"/>
          <w:bCs/>
          <w:sz w:val="22"/>
          <w:szCs w:val="20"/>
          <w:u w:val="single"/>
        </w:rPr>
      </w:pPr>
    </w:p>
    <w:p w:rsidR="006D7D42" w:rsidRPr="004E0BB1" w:rsidRDefault="006D7D42" w:rsidP="00DB53C5">
      <w:pPr>
        <w:pStyle w:val="Tekstpodstawowy"/>
        <w:spacing w:before="120" w:after="120" w:line="240" w:lineRule="auto"/>
        <w:rPr>
          <w:rFonts w:ascii="Times New Roman" w:hAnsi="Times New Roman" w:cs="Times New Roman"/>
          <w:bCs/>
          <w:sz w:val="22"/>
          <w:szCs w:val="20"/>
          <w:u w:val="single"/>
        </w:rPr>
      </w:pPr>
    </w:p>
    <w:sectPr w:rsidR="006D7D42" w:rsidRPr="004E0BB1" w:rsidSect="004E0BB1">
      <w:footerReference w:type="even" r:id="rId8"/>
      <w:footerReference w:type="default" r:id="rId9"/>
      <w:footerReference w:type="first" r:id="rId10"/>
      <w:pgSz w:w="11906" w:h="16838"/>
      <w:pgMar w:top="1135" w:right="1417" w:bottom="993" w:left="1417" w:header="709" w:footer="41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44E38" w:rsidRDefault="00E44E38">
      <w:r>
        <w:separator/>
      </w:r>
    </w:p>
  </w:endnote>
  <w:endnote w:type="continuationSeparator" w:id="0">
    <w:p w:rsidR="00E44E38" w:rsidRDefault="00E44E3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3830" w:rsidRDefault="00FB01BF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873830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873830" w:rsidRDefault="00873830">
    <w:pPr>
      <w:pStyle w:val="Stopka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3830" w:rsidRDefault="00FB01BF">
    <w:pPr>
      <w:pStyle w:val="Stopka"/>
      <w:framePr w:wrap="around" w:vAnchor="text" w:hAnchor="margin" w:xAlign="right" w:y="1"/>
      <w:rPr>
        <w:rStyle w:val="Numerstrony"/>
        <w:sz w:val="22"/>
        <w:szCs w:val="22"/>
      </w:rPr>
    </w:pPr>
    <w:r>
      <w:rPr>
        <w:rStyle w:val="Numerstrony"/>
        <w:sz w:val="22"/>
        <w:szCs w:val="22"/>
      </w:rPr>
      <w:fldChar w:fldCharType="begin"/>
    </w:r>
    <w:r w:rsidR="00873830">
      <w:rPr>
        <w:rStyle w:val="Numerstrony"/>
        <w:sz w:val="22"/>
        <w:szCs w:val="22"/>
      </w:rPr>
      <w:instrText xml:space="preserve">PAGE  </w:instrText>
    </w:r>
    <w:r>
      <w:rPr>
        <w:rStyle w:val="Numerstrony"/>
        <w:sz w:val="22"/>
        <w:szCs w:val="22"/>
      </w:rPr>
      <w:fldChar w:fldCharType="separate"/>
    </w:r>
    <w:r w:rsidR="00DB53C5">
      <w:rPr>
        <w:rStyle w:val="Numerstrony"/>
        <w:noProof/>
        <w:sz w:val="22"/>
        <w:szCs w:val="22"/>
      </w:rPr>
      <w:t>1</w:t>
    </w:r>
    <w:r>
      <w:rPr>
        <w:rStyle w:val="Numerstrony"/>
        <w:sz w:val="22"/>
        <w:szCs w:val="22"/>
      </w:rPr>
      <w:fldChar w:fldCharType="end"/>
    </w:r>
  </w:p>
  <w:p w:rsidR="00873830" w:rsidRDefault="00873830">
    <w:pPr>
      <w:pStyle w:val="Stopka"/>
      <w:ind w:right="360"/>
      <w:jc w:val="center"/>
      <w:rPr>
        <w:sz w:val="16"/>
      </w:rPr>
    </w:pPr>
    <w:r>
      <w:rPr>
        <w:sz w:val="16"/>
      </w:rPr>
      <w:t>Urząd Komunikacji Elektronicznej</w:t>
    </w:r>
  </w:p>
  <w:p w:rsidR="00873830" w:rsidRDefault="00873830">
    <w:pPr>
      <w:pStyle w:val="Stopka"/>
      <w:jc w:val="center"/>
      <w:rPr>
        <w:sz w:val="16"/>
      </w:rPr>
    </w:pPr>
    <w:r>
      <w:rPr>
        <w:sz w:val="16"/>
      </w:rPr>
      <w:t>Departament Hurtowego Rynku Telekomunikacyjnego</w:t>
    </w:r>
  </w:p>
  <w:p w:rsidR="00873830" w:rsidRPr="00260274" w:rsidRDefault="00873830" w:rsidP="00260274">
    <w:pPr>
      <w:pStyle w:val="Stopka"/>
      <w:jc w:val="center"/>
      <w:rPr>
        <w:sz w:val="16"/>
      </w:rPr>
    </w:pPr>
    <w:r>
      <w:rPr>
        <w:sz w:val="16"/>
      </w:rPr>
      <w:t xml:space="preserve">Warszawa, ul. Kasprzaka 18/20, tel. 22 53 49 440, </w:t>
    </w:r>
    <w:proofErr w:type="spellStart"/>
    <w:r>
      <w:rPr>
        <w:sz w:val="16"/>
      </w:rPr>
      <w:t>fax</w:t>
    </w:r>
    <w:proofErr w:type="spellEnd"/>
    <w:r>
      <w:rPr>
        <w:sz w:val="16"/>
      </w:rPr>
      <w:t xml:space="preserve"> 22 53 49 306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3830" w:rsidRDefault="00873830">
    <w:pPr>
      <w:pStyle w:val="Stopka"/>
      <w:ind w:right="-60" w:firstLine="2880"/>
      <w:rPr>
        <w:sz w:val="16"/>
      </w:rPr>
    </w:pPr>
  </w:p>
  <w:p w:rsidR="00873830" w:rsidRDefault="00873830">
    <w:pPr>
      <w:pStyle w:val="Stopka"/>
      <w:ind w:right="360"/>
      <w:jc w:val="center"/>
      <w:rPr>
        <w:sz w:val="16"/>
      </w:rPr>
    </w:pPr>
    <w:r>
      <w:rPr>
        <w:sz w:val="16"/>
      </w:rPr>
      <w:t>Urząd Komunikacji Elektronicznej</w:t>
    </w:r>
  </w:p>
  <w:p w:rsidR="00873830" w:rsidRDefault="00873830">
    <w:pPr>
      <w:pStyle w:val="Stopka"/>
      <w:jc w:val="center"/>
      <w:rPr>
        <w:sz w:val="16"/>
      </w:rPr>
    </w:pPr>
    <w:r>
      <w:rPr>
        <w:sz w:val="16"/>
      </w:rPr>
      <w:t>Departament Hurtowego Rynku Telekomunikacyjnego</w:t>
    </w:r>
  </w:p>
  <w:p w:rsidR="00873830" w:rsidRDefault="00873830">
    <w:pPr>
      <w:pStyle w:val="Stopka"/>
      <w:jc w:val="center"/>
    </w:pPr>
    <w:r>
      <w:rPr>
        <w:sz w:val="16"/>
      </w:rPr>
      <w:t xml:space="preserve">Warszawa, ul. Kasprzaka 18/20, tel. 22 53 49 440, </w:t>
    </w:r>
    <w:proofErr w:type="spellStart"/>
    <w:r>
      <w:rPr>
        <w:sz w:val="16"/>
      </w:rPr>
      <w:t>fax</w:t>
    </w:r>
    <w:proofErr w:type="spellEnd"/>
    <w:r>
      <w:rPr>
        <w:sz w:val="16"/>
      </w:rPr>
      <w:t xml:space="preserve"> 22 53 49 306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44E38" w:rsidRDefault="00E44E38">
      <w:r>
        <w:separator/>
      </w:r>
    </w:p>
  </w:footnote>
  <w:footnote w:type="continuationSeparator" w:id="0">
    <w:p w:rsidR="00E44E38" w:rsidRDefault="00E44E3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7E2AB5"/>
    <w:multiLevelType w:val="hybridMultilevel"/>
    <w:tmpl w:val="1DF6B2AC"/>
    <w:lvl w:ilvl="0" w:tplc="7452E12C">
      <w:start w:val="1"/>
      <w:numFmt w:val="decimal"/>
      <w:lvlText w:val="%1."/>
      <w:lvlJc w:val="left"/>
      <w:pPr>
        <w:tabs>
          <w:tab w:val="num" w:pos="179"/>
        </w:tabs>
        <w:ind w:left="179" w:hanging="360"/>
      </w:pPr>
      <w:rPr>
        <w:rFonts w:ascii="Times New Roman" w:hAnsi="Times New Roman" w:cs="Times New Roman" w:hint="default"/>
        <w:b w:val="0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259"/>
        </w:tabs>
        <w:ind w:left="1259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979"/>
        </w:tabs>
        <w:ind w:left="1979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699"/>
        </w:tabs>
        <w:ind w:left="2699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419"/>
        </w:tabs>
        <w:ind w:left="3419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139"/>
        </w:tabs>
        <w:ind w:left="4139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859"/>
        </w:tabs>
        <w:ind w:left="4859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579"/>
        </w:tabs>
        <w:ind w:left="5579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299"/>
        </w:tabs>
        <w:ind w:left="6299" w:hanging="180"/>
      </w:pPr>
    </w:lvl>
  </w:abstractNum>
  <w:abstractNum w:abstractNumId="1">
    <w:nsid w:val="08E73E76"/>
    <w:multiLevelType w:val="hybridMultilevel"/>
    <w:tmpl w:val="A9A6B362"/>
    <w:lvl w:ilvl="0" w:tplc="7452E12C">
      <w:start w:val="1"/>
      <w:numFmt w:val="decimal"/>
      <w:lvlText w:val="%1."/>
      <w:lvlJc w:val="left"/>
      <w:pPr>
        <w:tabs>
          <w:tab w:val="num" w:pos="179"/>
        </w:tabs>
        <w:ind w:left="179" w:hanging="360"/>
      </w:pPr>
      <w:rPr>
        <w:rFonts w:ascii="Times New Roman" w:hAnsi="Times New Roman" w:cs="Times New Roman" w:hint="default"/>
        <w:b w:val="0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259"/>
        </w:tabs>
        <w:ind w:left="1259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979"/>
        </w:tabs>
        <w:ind w:left="1979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699"/>
        </w:tabs>
        <w:ind w:left="2699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419"/>
        </w:tabs>
        <w:ind w:left="3419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139"/>
        </w:tabs>
        <w:ind w:left="4139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859"/>
        </w:tabs>
        <w:ind w:left="4859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579"/>
        </w:tabs>
        <w:ind w:left="5579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299"/>
        </w:tabs>
        <w:ind w:left="6299" w:hanging="180"/>
      </w:pPr>
    </w:lvl>
  </w:abstractNum>
  <w:abstractNum w:abstractNumId="2">
    <w:nsid w:val="20562961"/>
    <w:multiLevelType w:val="hybridMultilevel"/>
    <w:tmpl w:val="5ADC0EFC"/>
    <w:lvl w:ilvl="0" w:tplc="5E6847E2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25D05946"/>
    <w:multiLevelType w:val="hybridMultilevel"/>
    <w:tmpl w:val="402E8F4C"/>
    <w:lvl w:ilvl="0" w:tplc="98D809A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30D3B4B"/>
    <w:multiLevelType w:val="hybridMultilevel"/>
    <w:tmpl w:val="FA8C7788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5">
    <w:nsid w:val="4FCA3911"/>
    <w:multiLevelType w:val="hybridMultilevel"/>
    <w:tmpl w:val="DC901D58"/>
    <w:lvl w:ilvl="0" w:tplc="1F1A9B7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6">
    <w:nsid w:val="62EA736B"/>
    <w:multiLevelType w:val="hybridMultilevel"/>
    <w:tmpl w:val="F478281A"/>
    <w:lvl w:ilvl="0" w:tplc="1E0AD50E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6550ADA"/>
    <w:multiLevelType w:val="hybridMultilevel"/>
    <w:tmpl w:val="D7E61C28"/>
    <w:lvl w:ilvl="0" w:tplc="A79458DE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5DB17B8"/>
    <w:multiLevelType w:val="hybridMultilevel"/>
    <w:tmpl w:val="72CEDA08"/>
    <w:lvl w:ilvl="0" w:tplc="0EFC4166">
      <w:start w:val="1"/>
      <w:numFmt w:val="lowerLetter"/>
      <w:lvlText w:val="%1)"/>
      <w:lvlJc w:val="left"/>
      <w:pPr>
        <w:ind w:left="644" w:hanging="360"/>
      </w:pPr>
      <w:rPr>
        <w:rFonts w:hint="default"/>
        <w:b w:val="0"/>
        <w:i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5"/>
  </w:num>
  <w:num w:numId="5">
    <w:abstractNumId w:val="4"/>
  </w:num>
  <w:num w:numId="6">
    <w:abstractNumId w:val="3"/>
  </w:num>
  <w:num w:numId="7">
    <w:abstractNumId w:val="6"/>
  </w:num>
  <w:num w:numId="8">
    <w:abstractNumId w:val="8"/>
  </w:num>
  <w:num w:numId="9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stylePaneFormatFilter w:val="3F01"/>
  <w:defaultTabStop w:val="708"/>
  <w:hyphenationZone w:val="425"/>
  <w:drawingGridHorizontalSpacing w:val="120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B0963"/>
    <w:rsid w:val="000503A2"/>
    <w:rsid w:val="000B6D55"/>
    <w:rsid w:val="000D48BA"/>
    <w:rsid w:val="000F49E3"/>
    <w:rsid w:val="00155D79"/>
    <w:rsid w:val="00165155"/>
    <w:rsid w:val="00177421"/>
    <w:rsid w:val="001A3068"/>
    <w:rsid w:val="001C4C61"/>
    <w:rsid w:val="0020438D"/>
    <w:rsid w:val="002313BB"/>
    <w:rsid w:val="00234954"/>
    <w:rsid w:val="002352CC"/>
    <w:rsid w:val="00260274"/>
    <w:rsid w:val="00273FD9"/>
    <w:rsid w:val="002766A5"/>
    <w:rsid w:val="002821B9"/>
    <w:rsid w:val="00286D40"/>
    <w:rsid w:val="002A63B2"/>
    <w:rsid w:val="00333285"/>
    <w:rsid w:val="003502D1"/>
    <w:rsid w:val="00350DCD"/>
    <w:rsid w:val="0035704A"/>
    <w:rsid w:val="0037309B"/>
    <w:rsid w:val="003828AC"/>
    <w:rsid w:val="003C48AC"/>
    <w:rsid w:val="003D301A"/>
    <w:rsid w:val="003E27A2"/>
    <w:rsid w:val="003F097E"/>
    <w:rsid w:val="003F55AF"/>
    <w:rsid w:val="00423CF8"/>
    <w:rsid w:val="00445E60"/>
    <w:rsid w:val="00466FA4"/>
    <w:rsid w:val="00467933"/>
    <w:rsid w:val="00496795"/>
    <w:rsid w:val="004B0963"/>
    <w:rsid w:val="004E0BB1"/>
    <w:rsid w:val="00526A75"/>
    <w:rsid w:val="00543558"/>
    <w:rsid w:val="00547187"/>
    <w:rsid w:val="00551F2A"/>
    <w:rsid w:val="005556BF"/>
    <w:rsid w:val="00564829"/>
    <w:rsid w:val="00566AD1"/>
    <w:rsid w:val="0057737D"/>
    <w:rsid w:val="005815EE"/>
    <w:rsid w:val="005A1214"/>
    <w:rsid w:val="005C705D"/>
    <w:rsid w:val="005C7256"/>
    <w:rsid w:val="005E19EC"/>
    <w:rsid w:val="005E2428"/>
    <w:rsid w:val="005E6F7C"/>
    <w:rsid w:val="0063113B"/>
    <w:rsid w:val="00691381"/>
    <w:rsid w:val="006C7EC3"/>
    <w:rsid w:val="006D6F37"/>
    <w:rsid w:val="006D7D42"/>
    <w:rsid w:val="00701322"/>
    <w:rsid w:val="00713BCE"/>
    <w:rsid w:val="00726719"/>
    <w:rsid w:val="00746310"/>
    <w:rsid w:val="007566B7"/>
    <w:rsid w:val="007C0B66"/>
    <w:rsid w:val="007F3F5A"/>
    <w:rsid w:val="00802208"/>
    <w:rsid w:val="00805B44"/>
    <w:rsid w:val="00832256"/>
    <w:rsid w:val="00855F7E"/>
    <w:rsid w:val="008676BD"/>
    <w:rsid w:val="00873830"/>
    <w:rsid w:val="008B5398"/>
    <w:rsid w:val="008E707C"/>
    <w:rsid w:val="00902781"/>
    <w:rsid w:val="00941E06"/>
    <w:rsid w:val="0094589B"/>
    <w:rsid w:val="0096785C"/>
    <w:rsid w:val="00990675"/>
    <w:rsid w:val="009A1A04"/>
    <w:rsid w:val="009D094E"/>
    <w:rsid w:val="009D656B"/>
    <w:rsid w:val="00A83ECF"/>
    <w:rsid w:val="00AA0F3B"/>
    <w:rsid w:val="00B15DF2"/>
    <w:rsid w:val="00B35B3B"/>
    <w:rsid w:val="00B81DD5"/>
    <w:rsid w:val="00BA7F76"/>
    <w:rsid w:val="00BF73ED"/>
    <w:rsid w:val="00C05E79"/>
    <w:rsid w:val="00C05EA2"/>
    <w:rsid w:val="00C160FC"/>
    <w:rsid w:val="00C201B6"/>
    <w:rsid w:val="00C35068"/>
    <w:rsid w:val="00C94FA1"/>
    <w:rsid w:val="00CA31FA"/>
    <w:rsid w:val="00D31353"/>
    <w:rsid w:val="00D3320D"/>
    <w:rsid w:val="00D60EFD"/>
    <w:rsid w:val="00DA4C78"/>
    <w:rsid w:val="00DB12E6"/>
    <w:rsid w:val="00DB53C5"/>
    <w:rsid w:val="00DC4221"/>
    <w:rsid w:val="00DD71F0"/>
    <w:rsid w:val="00E42A01"/>
    <w:rsid w:val="00E44E38"/>
    <w:rsid w:val="00E92E15"/>
    <w:rsid w:val="00EC3105"/>
    <w:rsid w:val="00EF1A75"/>
    <w:rsid w:val="00F34A96"/>
    <w:rsid w:val="00F540CF"/>
    <w:rsid w:val="00F82261"/>
    <w:rsid w:val="00FB01BF"/>
    <w:rsid w:val="00FE2E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53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sid w:val="00F34A96"/>
    <w:rPr>
      <w:sz w:val="24"/>
      <w:szCs w:val="24"/>
    </w:rPr>
  </w:style>
  <w:style w:type="paragraph" w:styleId="Nagwek1">
    <w:name w:val="heading 1"/>
    <w:basedOn w:val="Normalny"/>
    <w:next w:val="Normalny"/>
    <w:qFormat/>
    <w:rsid w:val="00F34A96"/>
    <w:pPr>
      <w:keepNext/>
      <w:tabs>
        <w:tab w:val="left" w:pos="3600"/>
      </w:tabs>
      <w:ind w:right="5472"/>
      <w:jc w:val="center"/>
      <w:outlineLvl w:val="0"/>
    </w:pPr>
    <w:rPr>
      <w:b/>
      <w:bCs/>
    </w:rPr>
  </w:style>
  <w:style w:type="paragraph" w:styleId="Nagwek2">
    <w:name w:val="heading 2"/>
    <w:basedOn w:val="Normalny"/>
    <w:next w:val="Normalny"/>
    <w:qFormat/>
    <w:rsid w:val="00F34A96"/>
    <w:pPr>
      <w:keepNext/>
      <w:outlineLvl w:val="1"/>
    </w:pPr>
    <w:rPr>
      <w:b/>
      <w:bCs/>
    </w:rPr>
  </w:style>
  <w:style w:type="paragraph" w:styleId="Nagwek3">
    <w:name w:val="heading 3"/>
    <w:basedOn w:val="Normalny"/>
    <w:next w:val="Normalny"/>
    <w:qFormat/>
    <w:rsid w:val="00F34A96"/>
    <w:pPr>
      <w:keepNext/>
      <w:ind w:left="5580"/>
      <w:outlineLvl w:val="2"/>
    </w:pPr>
    <w:rPr>
      <w:b/>
      <w:bCs/>
    </w:rPr>
  </w:style>
  <w:style w:type="paragraph" w:styleId="Nagwek4">
    <w:name w:val="heading 4"/>
    <w:basedOn w:val="Normalny"/>
    <w:next w:val="Normalny"/>
    <w:qFormat/>
    <w:rsid w:val="00F34A96"/>
    <w:pPr>
      <w:keepNext/>
      <w:ind w:left="4680"/>
      <w:outlineLvl w:val="3"/>
    </w:pPr>
    <w:rPr>
      <w:b/>
      <w:bCs/>
      <w:sz w:val="26"/>
    </w:rPr>
  </w:style>
  <w:style w:type="paragraph" w:styleId="Nagwek5">
    <w:name w:val="heading 5"/>
    <w:basedOn w:val="Normalny"/>
    <w:next w:val="Normalny"/>
    <w:qFormat/>
    <w:rsid w:val="00F34A96"/>
    <w:pPr>
      <w:keepNext/>
      <w:spacing w:line="312" w:lineRule="auto"/>
      <w:jc w:val="both"/>
      <w:outlineLvl w:val="4"/>
    </w:pPr>
    <w:rPr>
      <w:b/>
      <w:bCs/>
    </w:rPr>
  </w:style>
  <w:style w:type="paragraph" w:styleId="Nagwek6">
    <w:name w:val="heading 6"/>
    <w:basedOn w:val="Normalny"/>
    <w:next w:val="Normalny"/>
    <w:qFormat/>
    <w:rsid w:val="00F34A96"/>
    <w:pPr>
      <w:keepNext/>
      <w:outlineLvl w:val="5"/>
    </w:pPr>
    <w:rPr>
      <w:rFonts w:ascii="Arial" w:hAnsi="Arial" w:cs="Arial"/>
      <w:sz w:val="18"/>
      <w:u w:val="singl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rsid w:val="00F34A96"/>
    <w:rPr>
      <w:color w:val="0000FF"/>
      <w:u w:val="single"/>
    </w:rPr>
  </w:style>
  <w:style w:type="paragraph" w:styleId="Tekstprzypisudolnego">
    <w:name w:val="footnote text"/>
    <w:basedOn w:val="Normalny"/>
    <w:link w:val="TekstprzypisudolnegoZnak"/>
    <w:semiHidden/>
    <w:rsid w:val="00F34A96"/>
    <w:rPr>
      <w:sz w:val="20"/>
      <w:szCs w:val="20"/>
    </w:rPr>
  </w:style>
  <w:style w:type="character" w:styleId="Odwoanieprzypisudolnego">
    <w:name w:val="footnote reference"/>
    <w:basedOn w:val="Domylnaczcionkaakapitu"/>
    <w:semiHidden/>
    <w:rsid w:val="00F34A96"/>
    <w:rPr>
      <w:vertAlign w:val="superscript"/>
    </w:rPr>
  </w:style>
  <w:style w:type="paragraph" w:styleId="Tekstpodstawowy">
    <w:name w:val="Body Text"/>
    <w:aliases w:val="b,b1,L1 Body Text"/>
    <w:basedOn w:val="Normalny"/>
    <w:link w:val="TekstpodstawowyZnak"/>
    <w:rsid w:val="00F34A96"/>
    <w:pPr>
      <w:spacing w:line="312" w:lineRule="auto"/>
      <w:jc w:val="both"/>
    </w:pPr>
    <w:rPr>
      <w:rFonts w:ascii="Verdana" w:hAnsi="Verdana" w:cs="Tahoma"/>
      <w:sz w:val="28"/>
    </w:rPr>
  </w:style>
  <w:style w:type="paragraph" w:styleId="Nagwek">
    <w:name w:val="header"/>
    <w:basedOn w:val="Normalny"/>
    <w:link w:val="NagwekZnak"/>
    <w:rsid w:val="00F34A96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rsid w:val="00F34A96"/>
    <w:pPr>
      <w:tabs>
        <w:tab w:val="center" w:pos="4536"/>
        <w:tab w:val="right" w:pos="9072"/>
      </w:tabs>
    </w:pPr>
  </w:style>
  <w:style w:type="paragraph" w:styleId="Tekstpodstawowy2">
    <w:name w:val="Body Text 2"/>
    <w:basedOn w:val="Normalny"/>
    <w:rsid w:val="00F34A96"/>
    <w:pPr>
      <w:tabs>
        <w:tab w:val="left" w:pos="3780"/>
      </w:tabs>
      <w:ind w:right="5472"/>
      <w:jc w:val="center"/>
    </w:pPr>
    <w:rPr>
      <w:b/>
      <w:bCs/>
    </w:rPr>
  </w:style>
  <w:style w:type="character" w:styleId="Numerstrony">
    <w:name w:val="page number"/>
    <w:basedOn w:val="Domylnaczcionkaakapitu"/>
    <w:rsid w:val="00F34A96"/>
  </w:style>
  <w:style w:type="paragraph" w:styleId="Tekstpodstawowywcity">
    <w:name w:val="Body Text Indent"/>
    <w:basedOn w:val="Normalny"/>
    <w:link w:val="TekstpodstawowywcityZnak"/>
    <w:rsid w:val="00F34A96"/>
    <w:pPr>
      <w:spacing w:after="120"/>
      <w:ind w:left="283"/>
    </w:pPr>
  </w:style>
  <w:style w:type="paragraph" w:styleId="Tekstpodstawowy3">
    <w:name w:val="Body Text 3"/>
    <w:basedOn w:val="Normalny"/>
    <w:link w:val="Tekstpodstawowy3Znak"/>
    <w:rsid w:val="00F34A96"/>
    <w:pPr>
      <w:spacing w:after="120"/>
    </w:pPr>
    <w:rPr>
      <w:sz w:val="16"/>
      <w:szCs w:val="16"/>
    </w:rPr>
  </w:style>
  <w:style w:type="paragraph" w:styleId="Tekstprzypisukocowego">
    <w:name w:val="endnote text"/>
    <w:basedOn w:val="Normalny"/>
    <w:semiHidden/>
    <w:rsid w:val="00F34A96"/>
    <w:rPr>
      <w:sz w:val="20"/>
      <w:szCs w:val="20"/>
    </w:rPr>
  </w:style>
  <w:style w:type="character" w:styleId="Odwoanieprzypisukocowego">
    <w:name w:val="endnote reference"/>
    <w:basedOn w:val="Domylnaczcionkaakapitu"/>
    <w:semiHidden/>
    <w:rsid w:val="00F34A96"/>
    <w:rPr>
      <w:vertAlign w:val="superscript"/>
    </w:rPr>
  </w:style>
  <w:style w:type="character" w:styleId="UyteHipercze">
    <w:name w:val="FollowedHyperlink"/>
    <w:basedOn w:val="Domylnaczcionkaakapitu"/>
    <w:rsid w:val="00F34A96"/>
    <w:rPr>
      <w:color w:val="800080"/>
      <w:u w:val="single"/>
    </w:rPr>
  </w:style>
  <w:style w:type="paragraph" w:styleId="Tekstdymka">
    <w:name w:val="Balloon Text"/>
    <w:basedOn w:val="Normalny"/>
    <w:semiHidden/>
    <w:rsid w:val="00F34A96"/>
    <w:rPr>
      <w:rFonts w:ascii="Tahoma" w:hAnsi="Tahoma" w:cs="Tahoma"/>
      <w:sz w:val="16"/>
      <w:szCs w:val="16"/>
    </w:rPr>
  </w:style>
  <w:style w:type="character" w:styleId="Odwoaniedokomentarza">
    <w:name w:val="annotation reference"/>
    <w:basedOn w:val="Domylnaczcionkaakapitu"/>
    <w:semiHidden/>
    <w:rsid w:val="00F34A96"/>
    <w:rPr>
      <w:sz w:val="16"/>
      <w:szCs w:val="16"/>
    </w:rPr>
  </w:style>
  <w:style w:type="paragraph" w:styleId="Tekstkomentarza">
    <w:name w:val="annotation text"/>
    <w:basedOn w:val="Normalny"/>
    <w:semiHidden/>
    <w:rsid w:val="00F34A96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semiHidden/>
    <w:rsid w:val="00F34A96"/>
    <w:rPr>
      <w:b/>
      <w:bCs/>
    </w:rPr>
  </w:style>
  <w:style w:type="character" w:customStyle="1" w:styleId="TekstpodstawowyZnak">
    <w:name w:val="Tekst podstawowy Znak"/>
    <w:aliases w:val="b Znak1,b1 Znak1,L1 Body Text Znak"/>
    <w:basedOn w:val="Domylnaczcionkaakapitu"/>
    <w:link w:val="Tekstpodstawowy"/>
    <w:semiHidden/>
    <w:locked/>
    <w:rsid w:val="00F34A96"/>
    <w:rPr>
      <w:rFonts w:ascii="Verdana" w:hAnsi="Verdana" w:cs="Tahoma"/>
      <w:sz w:val="28"/>
      <w:szCs w:val="24"/>
      <w:lang w:val="pl-PL" w:eastAsia="pl-PL" w:bidi="ar-SA"/>
    </w:rPr>
  </w:style>
  <w:style w:type="paragraph" w:customStyle="1" w:styleId="Default">
    <w:name w:val="Default"/>
    <w:rsid w:val="00F34A96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Tekstpodstawowywcity2">
    <w:name w:val="Body Text Indent 2"/>
    <w:basedOn w:val="Normalny"/>
    <w:rsid w:val="00F34A96"/>
    <w:pPr>
      <w:spacing w:after="120" w:line="480" w:lineRule="auto"/>
      <w:ind w:left="283"/>
    </w:pPr>
  </w:style>
  <w:style w:type="paragraph" w:customStyle="1" w:styleId="BodyText21">
    <w:name w:val="Body Text 21"/>
    <w:basedOn w:val="Normalny"/>
    <w:rsid w:val="00F34A96"/>
    <w:pPr>
      <w:jc w:val="both"/>
    </w:pPr>
    <w:rPr>
      <w:i/>
      <w:szCs w:val="20"/>
    </w:rPr>
  </w:style>
  <w:style w:type="character" w:customStyle="1" w:styleId="Tekstpodstawowy3Znak">
    <w:name w:val="Tekst podstawowy 3 Znak"/>
    <w:basedOn w:val="Domylnaczcionkaakapitu"/>
    <w:link w:val="Tekstpodstawowy3"/>
    <w:semiHidden/>
    <w:locked/>
    <w:rsid w:val="00F34A96"/>
    <w:rPr>
      <w:sz w:val="16"/>
      <w:szCs w:val="16"/>
      <w:lang w:val="pl-PL" w:eastAsia="pl-PL" w:bidi="ar-SA"/>
    </w:rPr>
  </w:style>
  <w:style w:type="character" w:customStyle="1" w:styleId="bZnak">
    <w:name w:val="b Znak"/>
    <w:aliases w:val="b1 Znak,L1 Body Text Znak Znak"/>
    <w:basedOn w:val="Domylnaczcionkaakapitu"/>
    <w:semiHidden/>
    <w:locked/>
    <w:rsid w:val="00F34A96"/>
    <w:rPr>
      <w:rFonts w:ascii="Verdana" w:hAnsi="Verdana" w:cs="Tahoma"/>
      <w:sz w:val="28"/>
      <w:szCs w:val="24"/>
      <w:lang w:val="pl-PL" w:eastAsia="pl-PL" w:bidi="ar-SA"/>
    </w:rPr>
  </w:style>
  <w:style w:type="paragraph" w:styleId="NormalnyWeb">
    <w:name w:val="Normal (Web)"/>
    <w:basedOn w:val="Normalny"/>
    <w:rsid w:val="00F34A96"/>
    <w:pPr>
      <w:spacing w:after="120"/>
    </w:pPr>
  </w:style>
  <w:style w:type="paragraph" w:customStyle="1" w:styleId="NormalnyWyjustowany">
    <w:name w:val="Normalny + Wyjustowany"/>
    <w:aliases w:val="Przed:  6 pt"/>
    <w:basedOn w:val="Normalny"/>
    <w:link w:val="NormalnyWyjustowanyPrzed6ptZnak"/>
    <w:rsid w:val="00F34A96"/>
    <w:pPr>
      <w:overflowPunct w:val="0"/>
      <w:autoSpaceDE w:val="0"/>
      <w:autoSpaceDN w:val="0"/>
      <w:adjustRightInd w:val="0"/>
      <w:spacing w:before="120"/>
      <w:jc w:val="both"/>
    </w:pPr>
  </w:style>
  <w:style w:type="character" w:customStyle="1" w:styleId="NormalnyWyjustowanyPrzed6ptZnak">
    <w:name w:val="Normalny + Wyjustowany;Przed:  6 pt Znak"/>
    <w:basedOn w:val="Domylnaczcionkaakapitu"/>
    <w:link w:val="NormalnyWyjustowany"/>
    <w:rsid w:val="00F34A96"/>
    <w:rPr>
      <w:sz w:val="24"/>
      <w:szCs w:val="24"/>
      <w:lang w:val="pl-PL" w:eastAsia="pl-PL" w:bidi="ar-SA"/>
    </w:rPr>
  </w:style>
  <w:style w:type="character" w:customStyle="1" w:styleId="NagwekZnak">
    <w:name w:val="Nagłówek Znak"/>
    <w:basedOn w:val="Domylnaczcionkaakapitu"/>
    <w:link w:val="Nagwek"/>
    <w:semiHidden/>
    <w:locked/>
    <w:rsid w:val="00F34A96"/>
    <w:rPr>
      <w:sz w:val="24"/>
      <w:szCs w:val="24"/>
      <w:lang w:val="pl-PL" w:eastAsia="pl-PL" w:bidi="ar-SA"/>
    </w:rPr>
  </w:style>
  <w:style w:type="character" w:customStyle="1" w:styleId="TekstprzypisudolnegoZnak">
    <w:name w:val="Tekst przypisu dolnego Znak"/>
    <w:basedOn w:val="Domylnaczcionkaakapitu"/>
    <w:link w:val="Tekstprzypisudolnego"/>
    <w:semiHidden/>
    <w:locked/>
    <w:rsid w:val="00F34A96"/>
    <w:rPr>
      <w:lang w:val="pl-PL" w:eastAsia="pl-PL" w:bidi="ar-SA"/>
    </w:rPr>
  </w:style>
  <w:style w:type="character" w:customStyle="1" w:styleId="TekstpodstawowywcityZnak">
    <w:name w:val="Tekst podstawowy wcięty Znak"/>
    <w:basedOn w:val="Domylnaczcionkaakapitu"/>
    <w:link w:val="Tekstpodstawowywcity"/>
    <w:semiHidden/>
    <w:locked/>
    <w:rsid w:val="00F34A96"/>
    <w:rPr>
      <w:sz w:val="24"/>
      <w:szCs w:val="24"/>
      <w:lang w:val="pl-PL" w:eastAsia="pl-PL" w:bidi="ar-SA"/>
    </w:rPr>
  </w:style>
  <w:style w:type="character" w:customStyle="1" w:styleId="Stylwiadomocie-mail441">
    <w:name w:val="Styl wiadomości e-mail 44"/>
    <w:aliases w:val="Styl wiadomości e-mail 44"/>
    <w:basedOn w:val="Domylnaczcionkaakapitu"/>
    <w:semiHidden/>
    <w:personal/>
    <w:personalReply/>
    <w:rsid w:val="00F34A96"/>
    <w:rPr>
      <w:rFonts w:ascii="Arial" w:hAnsi="Arial" w:cs="Arial"/>
      <w:color w:val="000080"/>
      <w:sz w:val="20"/>
      <w:szCs w:val="20"/>
    </w:rPr>
  </w:style>
  <w:style w:type="paragraph" w:styleId="Tytu">
    <w:name w:val="Title"/>
    <w:basedOn w:val="Normalny"/>
    <w:qFormat/>
    <w:rsid w:val="00F34A96"/>
    <w:pPr>
      <w:widowControl w:val="0"/>
      <w:overflowPunct w:val="0"/>
      <w:autoSpaceDE w:val="0"/>
      <w:autoSpaceDN w:val="0"/>
      <w:adjustRightInd w:val="0"/>
      <w:jc w:val="center"/>
    </w:pPr>
    <w:rPr>
      <w:b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864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414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426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348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25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754322">
      <w:bodyDiv w:val="1"/>
      <w:marLeft w:val="0"/>
      <w:marRight w:val="0"/>
      <w:marTop w:val="75"/>
      <w:marBottom w:val="22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5074836">
          <w:marLeft w:val="180"/>
          <w:marRight w:val="1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4374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8311906">
                  <w:marLeft w:val="300"/>
                  <w:marRight w:val="0"/>
                  <w:marTop w:val="0"/>
                  <w:marBottom w:val="0"/>
                  <w:divBdr>
                    <w:top w:val="single" w:sz="6" w:space="0" w:color="E6E4E5"/>
                    <w:left w:val="single" w:sz="6" w:space="0" w:color="E6E4E5"/>
                    <w:bottom w:val="single" w:sz="6" w:space="0" w:color="E6E4E5"/>
                    <w:right w:val="single" w:sz="6" w:space="0" w:color="E6E4E5"/>
                  </w:divBdr>
                  <w:divsChild>
                    <w:div w:id="18553134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BFBFBF"/>
                        <w:left w:val="single" w:sz="6" w:space="0" w:color="BFBFBF"/>
                        <w:bottom w:val="single" w:sz="6" w:space="11" w:color="BFBFBF"/>
                        <w:right w:val="single" w:sz="6" w:space="8" w:color="BFBFBF"/>
                      </w:divBdr>
                      <w:divsChild>
                        <w:div w:id="20519997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8487177">
                              <w:marLeft w:val="225"/>
                              <w:marRight w:val="4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50652547">
      <w:bodyDiv w:val="1"/>
      <w:marLeft w:val="0"/>
      <w:marRight w:val="0"/>
      <w:marTop w:val="150"/>
      <w:marBottom w:val="22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5948562">
          <w:marLeft w:val="180"/>
          <w:marRight w:val="1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531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716658">
                  <w:marLeft w:val="300"/>
                  <w:marRight w:val="0"/>
                  <w:marTop w:val="0"/>
                  <w:marBottom w:val="0"/>
                  <w:divBdr>
                    <w:top w:val="single" w:sz="6" w:space="0" w:color="E6E4E5"/>
                    <w:left w:val="single" w:sz="6" w:space="0" w:color="E6E4E5"/>
                    <w:bottom w:val="single" w:sz="6" w:space="0" w:color="E6E4E5"/>
                    <w:right w:val="single" w:sz="6" w:space="0" w:color="E6E4E5"/>
                  </w:divBdr>
                  <w:divsChild>
                    <w:div w:id="232468700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BFBFBF"/>
                        <w:left w:val="single" w:sz="6" w:space="0" w:color="BFBFBF"/>
                        <w:bottom w:val="single" w:sz="6" w:space="11" w:color="BFBFBF"/>
                        <w:right w:val="single" w:sz="6" w:space="8" w:color="BFBFBF"/>
                      </w:divBdr>
                      <w:divsChild>
                        <w:div w:id="18581085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8411105">
                              <w:marLeft w:val="225"/>
                              <w:marRight w:val="4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35658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330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992537">
      <w:bodyDiv w:val="1"/>
      <w:marLeft w:val="0"/>
      <w:marRight w:val="0"/>
      <w:marTop w:val="107"/>
      <w:marBottom w:val="161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657002">
          <w:marLeft w:val="129"/>
          <w:marRight w:val="129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8127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160567">
                  <w:marLeft w:val="215"/>
                  <w:marRight w:val="0"/>
                  <w:marTop w:val="0"/>
                  <w:marBottom w:val="0"/>
                  <w:divBdr>
                    <w:top w:val="single" w:sz="4" w:space="0" w:color="E6E4E5"/>
                    <w:left w:val="single" w:sz="4" w:space="0" w:color="E6E4E5"/>
                    <w:bottom w:val="single" w:sz="4" w:space="0" w:color="E6E4E5"/>
                    <w:right w:val="single" w:sz="4" w:space="0" w:color="E6E4E5"/>
                  </w:divBdr>
                  <w:divsChild>
                    <w:div w:id="1004556190">
                      <w:marLeft w:val="0"/>
                      <w:marRight w:val="0"/>
                      <w:marTop w:val="0"/>
                      <w:marBottom w:val="0"/>
                      <w:divBdr>
                        <w:top w:val="single" w:sz="4" w:space="0" w:color="BFBFBF"/>
                        <w:left w:val="single" w:sz="4" w:space="0" w:color="BFBFBF"/>
                        <w:bottom w:val="single" w:sz="4" w:space="8" w:color="BFBFBF"/>
                        <w:right w:val="single" w:sz="4" w:space="5" w:color="BFBFBF"/>
                      </w:divBdr>
                      <w:divsChild>
                        <w:div w:id="7378700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7144850">
                              <w:marLeft w:val="161"/>
                              <w:marRight w:val="322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569857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68772555">
                              <w:marLeft w:val="161"/>
                              <w:marRight w:val="322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B825D94-6191-461A-A18C-DB8FD70FB6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762</Words>
  <Characters>4572</Characters>
  <Application>Microsoft Office Word</Application>
  <DocSecurity>0</DocSecurity>
  <Lines>38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URT</Company>
  <LinksUpToDate>false</LinksUpToDate>
  <CharactersWithSpaces>5324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Grzegorz Pięta</dc:creator>
  <cp:lastModifiedBy>Aldona Gawron</cp:lastModifiedBy>
  <cp:revision>6</cp:revision>
  <cp:lastPrinted>2015-02-27T08:53:00Z</cp:lastPrinted>
  <dcterms:created xsi:type="dcterms:W3CDTF">2015-03-05T13:44:00Z</dcterms:created>
  <dcterms:modified xsi:type="dcterms:W3CDTF">2015-03-06T07:21:00Z</dcterms:modified>
</cp:coreProperties>
</file>