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43F" w:rsidRPr="004D343F" w:rsidRDefault="004D343F" w:rsidP="004D343F">
      <w:pPr>
        <w:jc w:val="right"/>
      </w:pPr>
      <w:r w:rsidRPr="004D343F">
        <w:t xml:space="preserve">Szprotawa, dn. </w:t>
      </w:r>
      <w:r w:rsidR="00D94318">
        <w:t>22.07.</w:t>
      </w:r>
      <w:r w:rsidRPr="004D343F">
        <w:t>2017 r.</w:t>
      </w:r>
    </w:p>
    <w:p w:rsidR="004D343F" w:rsidRPr="004D343F" w:rsidRDefault="004D343F" w:rsidP="004D343F">
      <w:pPr>
        <w:tabs>
          <w:tab w:val="left" w:pos="1230"/>
        </w:tabs>
      </w:pPr>
    </w:p>
    <w:p w:rsidR="003748DF" w:rsidRDefault="003748DF" w:rsidP="004D343F"/>
    <w:p w:rsidR="003748DF" w:rsidRDefault="003748DF" w:rsidP="004D343F"/>
    <w:p w:rsidR="00230C5B" w:rsidRDefault="00230C5B" w:rsidP="004D343F">
      <w:r>
        <w:t>PPHU Haker Mateusz Dymitruk</w:t>
      </w:r>
    </w:p>
    <w:p w:rsidR="00230C5B" w:rsidRDefault="00230C5B" w:rsidP="004D343F">
      <w:r>
        <w:t>Ul. Odrodzenia 13</w:t>
      </w:r>
    </w:p>
    <w:p w:rsidR="004D343F" w:rsidRPr="004D343F" w:rsidRDefault="00230C5B" w:rsidP="004D343F">
      <w:r>
        <w:t>67-300 Szprotawa</w:t>
      </w:r>
      <w:r w:rsidR="004D343F" w:rsidRPr="004D343F">
        <w:t xml:space="preserve">                                                           </w:t>
      </w:r>
    </w:p>
    <w:p w:rsidR="004D343F" w:rsidRPr="004D343F" w:rsidRDefault="004D343F" w:rsidP="004D343F">
      <w:pPr>
        <w:tabs>
          <w:tab w:val="left" w:pos="6120"/>
        </w:tabs>
      </w:pPr>
      <w:r w:rsidRPr="004D343F">
        <w:tab/>
      </w:r>
    </w:p>
    <w:p w:rsidR="004D343F" w:rsidRPr="004D343F" w:rsidRDefault="004D343F" w:rsidP="004D343F">
      <w:pPr>
        <w:tabs>
          <w:tab w:val="left" w:pos="5205"/>
        </w:tabs>
      </w:pPr>
    </w:p>
    <w:p w:rsidR="004D343F" w:rsidRPr="004D343F" w:rsidRDefault="004D343F" w:rsidP="004D343F">
      <w:pPr>
        <w:tabs>
          <w:tab w:val="left" w:pos="5205"/>
        </w:tabs>
      </w:pPr>
    </w:p>
    <w:p w:rsidR="004D343F" w:rsidRPr="004D343F" w:rsidRDefault="004D343F" w:rsidP="004D343F">
      <w:pPr>
        <w:tabs>
          <w:tab w:val="left" w:pos="5205"/>
        </w:tabs>
        <w:rPr>
          <w:b/>
        </w:rPr>
      </w:pPr>
      <w:r w:rsidRPr="004D343F">
        <w:rPr>
          <w:b/>
        </w:rPr>
        <w:t xml:space="preserve">                                                                              Urząd Komunikacji Elektronicznej</w:t>
      </w:r>
    </w:p>
    <w:p w:rsidR="004D343F" w:rsidRPr="004D343F" w:rsidRDefault="004D343F" w:rsidP="004D343F">
      <w:pPr>
        <w:tabs>
          <w:tab w:val="left" w:pos="5205"/>
        </w:tabs>
        <w:rPr>
          <w:b/>
        </w:rPr>
      </w:pPr>
      <w:r w:rsidRPr="004D343F">
        <w:rPr>
          <w:b/>
        </w:rPr>
        <w:t xml:space="preserve">                                                                              ul. Kasprzaka 18/20, 01-211 Warszawa</w:t>
      </w:r>
    </w:p>
    <w:p w:rsidR="004D343F" w:rsidRPr="004D343F" w:rsidRDefault="004D343F" w:rsidP="004D343F">
      <w:pPr>
        <w:jc w:val="both"/>
        <w:rPr>
          <w:i/>
        </w:rPr>
      </w:pPr>
    </w:p>
    <w:p w:rsidR="004D343F" w:rsidRPr="004D343F" w:rsidRDefault="004D343F" w:rsidP="004D343F">
      <w:pPr>
        <w:rPr>
          <w:i/>
        </w:rPr>
      </w:pPr>
    </w:p>
    <w:p w:rsidR="004D343F" w:rsidRPr="004D343F" w:rsidRDefault="004D343F" w:rsidP="004D343F">
      <w:pPr>
        <w:rPr>
          <w:b/>
        </w:rPr>
      </w:pPr>
      <w:r w:rsidRPr="004D343F">
        <w:rPr>
          <w:b/>
        </w:rPr>
        <w:t>Stanowisko dotyczące projektu decyzji Prezesa Urzędu Komunikacji Elektronicznej                  w sprawie zapewnienia dostępu dla Łukasza Piwowarczyka prowadzącego działalność gospodarczą pod firmą Przedsiębiorstwo Wielobranżowe „Skrętka” Łukasz Piwowarczyk do infrastruktury technicznej Marcina Barszcza prowadzącego działalność gospodarczą pod firmą CONECT Marcin Barszcz w zakresie kanalizacji telekomunikacyjnej budynków oraz szaf telekomunikacyjnych w budynkach oraz umorzenia postępowania w części dotyczącej ustalenia warunków dostępu do przyłączy do budynków posadowionych na nieruchomościach we Włoszczowie.</w:t>
      </w:r>
    </w:p>
    <w:p w:rsidR="004D343F" w:rsidRPr="004D343F" w:rsidRDefault="004D343F" w:rsidP="004D343F">
      <w:pPr>
        <w:jc w:val="both"/>
        <w:rPr>
          <w:i/>
        </w:rPr>
      </w:pPr>
    </w:p>
    <w:p w:rsidR="009B47D2" w:rsidRDefault="00264305" w:rsidP="00C14C81">
      <w:pPr>
        <w:spacing w:line="276" w:lineRule="auto"/>
        <w:ind w:firstLine="708"/>
        <w:jc w:val="both"/>
      </w:pPr>
      <w:r>
        <w:t>W nawiązaniu do prowadzonych od dnia 26.06.2017 r. konsultacji w sprawie projektu decyzji Prezesa UKE, która ma ustanowić warunki i zapewnić dostęp firmie SKRĘTKA do infrastruktury firmy CONECT zlokalizowanej w budynkach wielomieszkaniowych we Włoszczowie pod adresami</w:t>
      </w:r>
      <w:r w:rsidR="00AF05D8">
        <w:t>:</w:t>
      </w:r>
      <w:r w:rsidR="004D343F" w:rsidRPr="004D343F">
        <w:t xml:space="preserve"> os. Armii</w:t>
      </w:r>
      <w:r>
        <w:t xml:space="preserve"> Krajowej 1, 2, 3, </w:t>
      </w:r>
      <w:r w:rsidR="004D343F" w:rsidRPr="004D343F">
        <w:t xml:space="preserve">os. Broniewskiego 1, 2, 9, 10, 11, 12, 13, 15, </w:t>
      </w:r>
      <w:r>
        <w:t xml:space="preserve">16, 17, 18, 19, 20, 21, 22, 23, </w:t>
      </w:r>
      <w:r w:rsidR="004D343F" w:rsidRPr="004D343F">
        <w:t xml:space="preserve">os. Brożka </w:t>
      </w:r>
      <w:r>
        <w:t>1</w:t>
      </w:r>
      <w:r w:rsidR="00325AB2">
        <w:t xml:space="preserve">1, 12, 15, 17, 19, 25, 26, 27, </w:t>
      </w:r>
      <w:r>
        <w:t xml:space="preserve">ul. Wiśniowa 13, </w:t>
      </w:r>
      <w:r w:rsidR="00C14C81">
        <w:t xml:space="preserve">ul. Jędrzejowska 81b, poniżej przedstawiamy własne stanowisko konsultacyjne. </w:t>
      </w:r>
    </w:p>
    <w:p w:rsidR="00C14C81" w:rsidRDefault="00C14C81" w:rsidP="00C14C81">
      <w:pPr>
        <w:spacing w:line="276" w:lineRule="auto"/>
        <w:jc w:val="both"/>
      </w:pPr>
    </w:p>
    <w:p w:rsidR="00C14C81" w:rsidRDefault="00A20BCA" w:rsidP="00C14C81">
      <w:pPr>
        <w:spacing w:line="276" w:lineRule="auto"/>
        <w:jc w:val="both"/>
      </w:pPr>
      <w:r w:rsidRPr="00A20BCA">
        <w:rPr>
          <w:b/>
        </w:rPr>
        <w:t>1.</w:t>
      </w:r>
      <w:r>
        <w:t xml:space="preserve"> </w:t>
      </w:r>
      <w:r w:rsidR="00AF05D8">
        <w:t xml:space="preserve">Po przeanalizowaniu treści projektu decyzji należy zwrócić uwagę szczególnie niekorzystne dla udostępniającego uregulowanie w zakresie opłaty dostępowej w wys. 0,09 zł netto za 1 mb kanalizacji budynkowej w celu zamontowania tam kabla o średnicy 8mm. </w:t>
      </w:r>
      <w:r w:rsidR="009A0068">
        <w:t xml:space="preserve">                               Z przeanalizowanych danych rynkowych wynika, że takiej wysokości opłat</w:t>
      </w:r>
      <w:r w:rsidR="00074723">
        <w:t>a</w:t>
      </w:r>
      <w:r w:rsidR="009A0068">
        <w:t xml:space="preserve"> w zakresie tego poziomu usług nigdzie nie występuje. </w:t>
      </w:r>
      <w:r w:rsidR="00074723">
        <w:t>Ponad to UKE</w:t>
      </w:r>
      <w:r w:rsidR="00D80172">
        <w:t xml:space="preserve"> przy wyznaczaniu opłat w projekcie decyzji</w:t>
      </w:r>
      <w:r w:rsidR="00074723">
        <w:t xml:space="preserve"> wskazuje na podejście benchmarkowe </w:t>
      </w:r>
      <w:r w:rsidR="00D80172">
        <w:t xml:space="preserve">w oparciu o opłaty stosowane przez przedsiębiorcę o znaczącej pozycji rynkowej. Należy wskazać że CONECT to dostawca usług telekomunikacyjnych z sektora ISP podobnie jak operator SKRĘTKA. Zatem wyznaczanie stawki opłaty w decyzji </w:t>
      </w:r>
      <w:r w:rsidR="008B7233">
        <w:t xml:space="preserve">wydawanej dla dwóch operatorów ISP nie powinno opierać się na opłatach stosowanych przez przedsiębiorcę o znacznej pozycji rynkowej, ponieważ ISP zazwyczaj działają lokalnie lub na niewielkim obszarze kilku gmin lub powiatów. Dlatego ustalając opłatę z tytułu kanalizacji telekomunikacyjnej Budynków, Prezes UKE </w:t>
      </w:r>
      <w:r w:rsidR="00D80172">
        <w:t xml:space="preserve"> </w:t>
      </w:r>
      <w:r w:rsidR="008B7233">
        <w:t>niesłusznie wziął pod uwagę opłaty zawarte w Ofercie ROI. W tym względzie w pierwszej kolejności nie zrozumiała jest kwestia rozbież</w:t>
      </w:r>
      <w:r w:rsidR="00C87BFB">
        <w:t xml:space="preserve">ności pomiędzy ceną za dostęp do kanalizacji kablowej </w:t>
      </w:r>
      <w:r w:rsidR="00FE5096">
        <w:t xml:space="preserve">                   </w:t>
      </w:r>
      <w:r w:rsidR="00C87BFB">
        <w:t xml:space="preserve">z Oferty ROI, która wynosi 1,32 zł netto  za każdy rozpoczęty metr bieżący pełnego otworu kanalizacji kablowej a opłatą dostępową w wys. 0,09 zł netto za 1mb kanalizacji budynkowej, o której mowa w projekcie decyzji UKE. Skoro </w:t>
      </w:r>
      <w:r w:rsidR="003748DF">
        <w:t xml:space="preserve">Prezes UKE wyznacza opłatę dostępową </w:t>
      </w:r>
      <w:r w:rsidR="00FE5096">
        <w:t xml:space="preserve">                </w:t>
      </w:r>
      <w:r w:rsidR="003748DF">
        <w:t xml:space="preserve">w analizowanym projekcie decyzji w oparciu o cenę z Oferty ROI to dlaczego obydwie opłaty się od siebie różnią ? W naszym przekonaniu opłata za dostęp do samego orurowania </w:t>
      </w:r>
      <w:r w:rsidR="003748DF">
        <w:lastRenderedPageBreak/>
        <w:t xml:space="preserve">wewnątrzbudynkowego powinna być o wiele wyższa niż nawet przyjęta opłata 1,32 zł netto </w:t>
      </w:r>
      <w:r w:rsidR="00FE5096">
        <w:t xml:space="preserve">           </w:t>
      </w:r>
      <w:r w:rsidR="003748DF">
        <w:t xml:space="preserve">z Oferty ROI. Należy zaznaczyć, że Oferta ROI </w:t>
      </w:r>
      <w:r w:rsidR="004F16ED">
        <w:t>reguluje dostępy w zakresie kanalizacji kab</w:t>
      </w:r>
      <w:r w:rsidR="003B5CC9">
        <w:t xml:space="preserve">lowej w terenie poza budynkami, a charakter techniczny i przeznaczenie takich dostępów jest szerszy niż w zakresie tylko i wyłącznie kanalizacji wewnątrzbudynkowej. </w:t>
      </w:r>
      <w:r w:rsidR="00886B15">
        <w:t xml:space="preserve">Kanalizację kablową poza budynkami w terenie operatorzy wynajmują w celu dotarcia do budynków jednorodzinnych, wielorodzinnych lub osiedli, w celu ominięcia przeszkód typu mosty, wiadukty, rzeki, itp., w celu wybudowania sieci dostępowych na terenach gdzie nie ma innych warunków technicznych na lokalizację kolejnych rurociągów, w celu realizacji połączeń magistralnych i dystrybucyjnych na rzecz sieci przemysłowych pomiędzy zakładami produkcyjnymi lub w celu lokalizacji kabli sterowania np. oświetleniem ulicznym                         i sygnalizacją świetlną. Dostępy budynkowe w zakresie kanalizacji kablowej są to dostępy tylko i wyłącznie dostępy na etapie ostatniej mili, gdzie bezpośrednim celem takie dostępu jest podłączenie abonenta. O ile dzierżawa kanalizacji kablowej w terenie nie zawsze </w:t>
      </w:r>
      <w:r w:rsidR="00606F06">
        <w:t xml:space="preserve">ma na celu bezpośrednie podłączenie użytkownika końcowego, to dzierżawa kanalizacji wewnątrz budynków już tak. W takim wypadku należy wziąć pod uwagę, co zyskuje </w:t>
      </w:r>
      <w:r w:rsidR="00C308B0">
        <w:t xml:space="preserve">Udostępniający gdy zagwarantuje przy obecnie proponowanej stawce 0,09 zł netto dostęp pod lokal abonenta dla operatora najemcy. Otóż zyskuje wyłącznie symboliczną opłatę, gdyż operator korzystając z kabla łatwego dostępu 8mm w rzeczywistości zyskuje dostęp do kilku lokali mieszkalnych. W zależności od ilości lokali oraz włókien światłowodowych w kablu może być to nawet </w:t>
      </w:r>
      <w:r w:rsidR="00FC1C6F">
        <w:t xml:space="preserve">           </w:t>
      </w:r>
      <w:r w:rsidR="001C40CD">
        <w:t>12 lokali mieszkalnych.</w:t>
      </w:r>
      <w:r w:rsidR="00C308B0">
        <w:t xml:space="preserve"> </w:t>
      </w:r>
      <w:r w:rsidR="00FC1C6F">
        <w:t>Automatycznie Udostępniający zapewniając dostęp do kanalizacji wewnątrzbudynkowej dla operatora najemcy pod lokal abonenta traci szansę na podłączenie takiego abonenta</w:t>
      </w:r>
      <w:r w:rsidR="001B6CD0">
        <w:t xml:space="preserve"> i odnoszenie z tego tytułu korzyści w postaci abonamentu ze </w:t>
      </w:r>
      <w:r w:rsidR="001C40CD">
        <w:t>sprzedanych usług telekomunikac</w:t>
      </w:r>
      <w:r w:rsidR="001B6CD0">
        <w:t>yjnych</w:t>
      </w:r>
      <w:r w:rsidR="00FC1C6F">
        <w:t>. Natomiast przychód jaki uzyskuje z tytułu takiego udostępnienia</w:t>
      </w:r>
      <w:r w:rsidR="00001286">
        <w:t xml:space="preserve"> Udostępniający</w:t>
      </w:r>
      <w:r w:rsidR="00FC1C6F">
        <w:t xml:space="preserve"> nie przekroczy z pewnością 10 zł netto za udostępnienie orurowania pod wszystkie lokale mieszkalne w pionie. </w:t>
      </w:r>
      <w:r w:rsidR="000940E1">
        <w:t xml:space="preserve">Aby </w:t>
      </w:r>
      <w:r w:rsidR="00877315">
        <w:t xml:space="preserve">w decyzji </w:t>
      </w:r>
      <w:r w:rsidR="000940E1">
        <w:t xml:space="preserve">została zachowana zasada </w:t>
      </w:r>
      <w:r w:rsidR="00877315">
        <w:t xml:space="preserve">zapewnienia niedyskryminacyjnych i proporcjonalnych warunków planowana opłata za dostęp do kanalizacji kablowej wewnątrzbudynkowej nie może pozostać na poziomie 0,09 zł netto. Naszym zdaniem na poczet przyszłych regulacji opłaty za dostęp do zasobów wewnątrzbudynkowych powinny być wyznaczane w oparciu </w:t>
      </w:r>
      <w:r w:rsidR="00FC277E">
        <w:t xml:space="preserve">warunki </w:t>
      </w:r>
      <w:r w:rsidR="00EA6D02">
        <w:t xml:space="preserve">typowe dla zasobów wewnątrzbudynkowych. Przede wszystkim opłata dostępowa jako przychód Udostępniającego powinna rekompensować mu utratę możliwości podłączenia abonenta, którego podłączy operator, który wynajmuje zasoby. Dlatego opłata powinna być obliczona na poziomie ilości lokali mieszkalnych możliwych do podłączenia znajdujących się w zasięgu orurowania kanalizacji wewnątrzbudynkowej, lub opłata dostępowa powinna być obliczona kwotowo lub procentowo w zależności od wartości sprzedanego abonamentu do lokalu, który zostaje podłączony przez operatora, który wynajmuje infrastrukturę.  </w:t>
      </w:r>
      <w:r w:rsidR="00BD4E7F">
        <w:t xml:space="preserve">Opłata za dostęp do orurowania wewnątrzbudynkowego nie może zostać określona na obecnym poziomie 0,09 zł netto za 1mb orurowania, gdyż wielokrotność tej opłaty względem ilości wynajmowanych metrów nigdy nie zagwarantuje zwrotu kosztów utrzymania sieci oraz nie zapewni Udostępniającemu należnego dochodu. W końcu to Udostępniający poniósł koszt budowy swojej sieci i ma prawo do zysku, który nie może być z góry narzucony w takiej formie. Obecna proponowana opłata 0,09 zł netto za 1mb kanalizacji wewnątrzbudynkowej nie została w projekcie decyzji uzasadniona żadnymi argumentami ani sposobem jej obliczenia. Należy przyjąć, że przyjęta opłata stanowi subiektywne odczucie UKE, bez jakiegokolwiek badania rynku, na którym ma być stosowana proponowana opłata. </w:t>
      </w:r>
      <w:r w:rsidR="00F81793">
        <w:t xml:space="preserve">Prezes UKE uzasadnia, że podstawą do ustalenia opłaty 0,09 zł netto za 1mb kanalizacji jest Oferta SOR. Jednak aby </w:t>
      </w:r>
      <w:r w:rsidR="00F81793">
        <w:lastRenderedPageBreak/>
        <w:t xml:space="preserve">można było tak stwierdzić, należało by wziąć pod uwagę również inne kryteria, które są stosowane do obliczenia ostatecznej ceny za wynajmowany odcinek kanalizacji kablowej czego Prezes UKE nie czyni w projekcie decyzji. </w:t>
      </w:r>
      <w:r w:rsidR="000410D0">
        <w:t>Prezes UKE nie uwzględnia między innymi współczynników obliczeniowych, które są niezbędne do ustalenia ostatecznej opłaty dostępowej</w:t>
      </w:r>
      <w:r w:rsidR="00FB4203">
        <w:t xml:space="preserve">, </w:t>
      </w:r>
      <w:r w:rsidR="000410D0">
        <w:t xml:space="preserve">w tym: </w:t>
      </w:r>
      <w:r w:rsidR="000410D0" w:rsidRPr="000410D0">
        <w:t>współczynnik</w:t>
      </w:r>
      <w:r w:rsidR="000410D0">
        <w:t>a</w:t>
      </w:r>
      <w:r w:rsidR="000410D0" w:rsidRPr="000410D0">
        <w:t xml:space="preserve"> wypełnienia kanalizacji, średnic</w:t>
      </w:r>
      <w:r w:rsidR="000410D0">
        <w:t>y</w:t>
      </w:r>
      <w:r w:rsidR="000410D0" w:rsidRPr="000410D0">
        <w:t xml:space="preserve"> zewnętrzn</w:t>
      </w:r>
      <w:r w:rsidR="000410D0">
        <w:t>ej</w:t>
      </w:r>
      <w:r w:rsidR="000410D0" w:rsidRPr="000410D0">
        <w:t xml:space="preserve"> pierwszego kabla, średnic</w:t>
      </w:r>
      <w:r w:rsidR="000410D0">
        <w:t>y</w:t>
      </w:r>
      <w:r w:rsidR="000410D0" w:rsidRPr="000410D0">
        <w:t xml:space="preserve"> zewnętrzn</w:t>
      </w:r>
      <w:r w:rsidR="000410D0">
        <w:t>ej</w:t>
      </w:r>
      <w:r w:rsidR="000410D0" w:rsidRPr="000410D0">
        <w:t xml:space="preserve"> n-tego kabla i średnic</w:t>
      </w:r>
      <w:r w:rsidR="000410D0">
        <w:t>y</w:t>
      </w:r>
      <w:r w:rsidR="000410D0" w:rsidRPr="000410D0">
        <w:t xml:space="preserve"> wewnętrzn</w:t>
      </w:r>
      <w:r w:rsidR="000410D0">
        <w:t>ej</w:t>
      </w:r>
      <w:r w:rsidR="000410D0" w:rsidRPr="000410D0">
        <w:t xml:space="preserve"> kanalizacji kablowej.</w:t>
      </w:r>
    </w:p>
    <w:p w:rsidR="00A20BCA" w:rsidRDefault="00A20BCA" w:rsidP="00C14C81">
      <w:pPr>
        <w:spacing w:line="276" w:lineRule="auto"/>
        <w:jc w:val="both"/>
      </w:pPr>
    </w:p>
    <w:p w:rsidR="00424CAE" w:rsidRDefault="00A20BCA" w:rsidP="00A65687">
      <w:pPr>
        <w:spacing w:line="276" w:lineRule="auto"/>
        <w:jc w:val="both"/>
      </w:pPr>
      <w:r w:rsidRPr="00A20BCA">
        <w:rPr>
          <w:b/>
        </w:rPr>
        <w:t xml:space="preserve">2. </w:t>
      </w:r>
      <w:r w:rsidR="00AB1A78">
        <w:t xml:space="preserve">Bardzo niekorzystnym rozwiązaniem proponowanym w projekcie decyzji jest </w:t>
      </w:r>
      <w:r w:rsidR="00CF51B0">
        <w:t>próba narzucenia</w:t>
      </w:r>
      <w:r w:rsidR="00F57FED">
        <w:t xml:space="preserve"> firmie CONECT</w:t>
      </w:r>
      <w:r w:rsidR="00CF51B0">
        <w:t xml:space="preserve"> modelu dostępowego w postaci </w:t>
      </w:r>
      <w:r w:rsidR="00002FA3">
        <w:t>wolnego miejsca w</w:t>
      </w:r>
      <w:r w:rsidR="00CF51B0">
        <w:t xml:space="preserve"> kanalizacji </w:t>
      </w:r>
      <w:r w:rsidR="00F57FED">
        <w:t xml:space="preserve">kablowej </w:t>
      </w:r>
      <w:r w:rsidR="00CF51B0">
        <w:t>wewnątrzbudynkowej</w:t>
      </w:r>
      <w:r w:rsidR="00002FA3">
        <w:t xml:space="preserve"> w celu instalacji tam kolejnych kabli światłowodowych</w:t>
      </w:r>
      <w:r w:rsidR="00CF51B0">
        <w:t xml:space="preserve"> </w:t>
      </w:r>
      <w:r w:rsidR="004E3EB0">
        <w:t xml:space="preserve">               </w:t>
      </w:r>
      <w:r w:rsidR="00CF51B0">
        <w:t>w sytuacji, kiedy udostępniający CONECT</w:t>
      </w:r>
      <w:r w:rsidR="00F57FED">
        <w:t xml:space="preserve"> w prowadzonym post</w:t>
      </w:r>
      <w:r w:rsidR="004032FF">
        <w:t xml:space="preserve">ępowaniu potwierdził, że nie zgadza się na udostępnienie kanalizacji telekomunikacyjnej budynków, wskazując, że </w:t>
      </w:r>
      <w:r w:rsidR="004E3EB0">
        <w:t xml:space="preserve">                  </w:t>
      </w:r>
      <w:r w:rsidR="004032FF">
        <w:t xml:space="preserve">w kanalizacji tej znajdują się już zainstalowane kable światłowodowe. CONECT wskazał również, że najwłaściwszym rozwiązaniem jest wykorzystanie przez SKRĘTKĘ ciemnego włókna światłowodowego, które znajduje się w ofercie Udostępniającego. Planowane działania regulatora zmierzające do zapewnienia dostępu operatorowi do orurowania CONECT, w którym znajdują się już zainstalowane kable światłowodowe szczególnie niepokoi naszą firmę. Analizując projekt decyzji można wywnioskować, że CONECT </w:t>
      </w:r>
      <w:r w:rsidR="004E3EB0">
        <w:t xml:space="preserve">                 </w:t>
      </w:r>
      <w:r w:rsidR="004032FF">
        <w:t xml:space="preserve">w rzeczywistości zaproponował dostęp do swojej infrastruktury nie blokując wnioskującego operatora. Jedynymi kwestiami spornymi są </w:t>
      </w:r>
      <w:r w:rsidR="00002FA3">
        <w:t>wysokości opłat dostępowych</w:t>
      </w:r>
      <w:r w:rsidR="004032FF">
        <w:t xml:space="preserve"> oraz uporczywe dążenie wnioskującego operatora o dostęp do kanalizacji kablowej</w:t>
      </w:r>
      <w:r w:rsidR="00002FA3">
        <w:t xml:space="preserve"> w celu instalacji własnych kabli</w:t>
      </w:r>
      <w:r w:rsidR="004032FF">
        <w:t xml:space="preserve">, </w:t>
      </w:r>
      <w:r w:rsidR="00002FA3">
        <w:t>kiedy w</w:t>
      </w:r>
      <w:r w:rsidR="004032FF">
        <w:t xml:space="preserve"> rzeczywistości</w:t>
      </w:r>
      <w:r w:rsidR="00002FA3">
        <w:t xml:space="preserve"> kanalizacja CONECT</w:t>
      </w:r>
      <w:r w:rsidR="004032FF">
        <w:t xml:space="preserve"> jest </w:t>
      </w:r>
      <w:r w:rsidR="00002FA3">
        <w:t xml:space="preserve">już </w:t>
      </w:r>
      <w:r w:rsidR="004032FF">
        <w:t>zajęta przez kable z włóknami światłowodowymi, które CONECT udostępnia. Tym bardziej jest niezrozumiała intencja UKE, który mimo w</w:t>
      </w:r>
      <w:r w:rsidR="00002FA3">
        <w:t>yjaśnienia CONECT jednak zawarł</w:t>
      </w:r>
      <w:r w:rsidR="00E63E7F">
        <w:t xml:space="preserve"> </w:t>
      </w:r>
      <w:r w:rsidR="004032FF">
        <w:t>w projekcie decyzji warunek zapewnienia dostępu do zajęte</w:t>
      </w:r>
      <w:r w:rsidR="00E63E7F">
        <w:t>go</w:t>
      </w:r>
      <w:r w:rsidR="004032FF">
        <w:t xml:space="preserve"> przez kable orurowania.</w:t>
      </w:r>
      <w:r w:rsidR="00002FA3">
        <w:t xml:space="preserve"> Należy zaznaczyć, że jeżeli proponowany model zapewnienia dostępu do kanalizacji kablowej w przypadku kiedy znajdują się tam już kable światłowodowe zostanie utrzymany w decyzji to powstanie niebezpieczny precedens, który może mieć odzwierciedlenie w innych tego typu regulacjach. </w:t>
      </w:r>
      <w:r w:rsidR="00875A68">
        <w:t xml:space="preserve">Prezes UKE wydając decyzję powinien wziąć pod uwagę wyjaśnienia CONECT dotyczące zainstalowanych już kabli światłowodowych w istniejącym orurowaniu, które są gotowe do wykorzystania. W takiej sytuacji jedynym i technicznie uzasadnionym rozwiązaniem jest udostępnienie operatorowi najemcy istniejących kabli światłowodowych lub pojedynczych włókien w tych kablach. Technicznie nieuzasadnione jest natomiast instalowanie w zajętym orurowaniu kolejnych kabli, gdyż może to doprowadzić do zniszczenia nawiązanych podłączeń do abonentów i powstania awarii w sieci CONECT, co niewątpliwie osłabi pozycję i wiarygodność tego operatora. </w:t>
      </w:r>
      <w:r w:rsidR="003348C9">
        <w:t xml:space="preserve">Istniejące już w kanalizacji wewnątrzbudynkowej okablowanie światłowodowe zapewni taką samą jakość świadczonych usług przez operatora SKRĘTKĘ jak sytuacja kiedy operator ten zainstalował by tam własne okablowanie. Zatem nie ma technicznego uzasadnienia dla instalacji kolejnego kabla w orurowaniu podczas gdy istniejące kable są to również kable światłowodowe, które </w:t>
      </w:r>
      <w:r w:rsidR="007A04A0">
        <w:t>gwarantują realizację szybkiej sieci telekomunikacyjnej oraz świadczenie usług do abonentów na najwyższym możliwym poziomie. W związku z powyższym Prezes UKE powinien umorzyć postępowanie w zakresie dostępu do kanalizacji kablowej CONECT wskazując jednocześnie na rozwiązanie wykorzystania istniejącego okablowanie</w:t>
      </w:r>
      <w:r w:rsidR="00582FD7">
        <w:t>, które wskazał udostępniający.</w:t>
      </w:r>
      <w:r w:rsidR="00110500">
        <w:t xml:space="preserve"> Innym rozwiązaniem mogło by być uwarunkowanie obowiązku udostepnienia kanalizacji wewnątrzbudynkowej dodatkową regulacją, która przewiduje, że CONECT udostępnia orurowanie kanalizacji </w:t>
      </w:r>
      <w:r w:rsidR="00110500">
        <w:lastRenderedPageBreak/>
        <w:t>kablowej SKRĘTCE jeżeli warunki techniczne pozwalają na instalację kolejnego kabla światłowodowego. I dalej Prezes UKE winien zastrzec, że jeżeli warunki techniczne nie pozwolą na instalację w orurowaniu kolejnego kabla światłowodowego, wówczas CONECT obowiązany będzie do zapewnienia SKRĘTCE innego równoważnego i niedyskryminującego modelu sposobu zapewnienia dostępu do własnej infrastruktury technicznej.</w:t>
      </w:r>
      <w:r w:rsidR="00875A68">
        <w:t xml:space="preserve"> </w:t>
      </w:r>
      <w:r w:rsidR="00E25C4C">
        <w:t xml:space="preserve">Podtrzymanie </w:t>
      </w:r>
      <w:r w:rsidR="00582FD7">
        <w:t xml:space="preserve">                 </w:t>
      </w:r>
      <w:r w:rsidR="00E25C4C">
        <w:t>w decyzji modelu dostępowego do kanalizacji wewnątrzbudynkowej</w:t>
      </w:r>
      <w:r w:rsidR="00110500">
        <w:t xml:space="preserve"> bez dodatkowej opcji wyboru innego modelu dostępowego</w:t>
      </w:r>
      <w:r w:rsidR="00E25C4C">
        <w:t xml:space="preserve"> było by kuriozalnym błędem, który wytworzy niebezpieczne zjawisko mogące doprowadzić do niszczenia instalacji telekomunikacyjnych CONECT w czasie prac instalacyjnych, które operator będzie wykonywał podczas instalacji kolejnych kabli światłowodowych</w:t>
      </w:r>
      <w:r w:rsidR="00110500">
        <w:t xml:space="preserve"> lub spowodować brak możliwości realizacji warunku określonego w decyzji z uwagi na brak warunków technicznych, doprowadzając do generowania dalszych sytuacji konfliktowych</w:t>
      </w:r>
      <w:r w:rsidR="00424CAE">
        <w:t xml:space="preserve"> między operatorami</w:t>
      </w:r>
      <w:r w:rsidR="00E25C4C">
        <w:t xml:space="preserve">. </w:t>
      </w:r>
    </w:p>
    <w:p w:rsidR="00A20BCA" w:rsidRDefault="00424CAE" w:rsidP="001843C1">
      <w:pPr>
        <w:spacing w:line="276" w:lineRule="auto"/>
        <w:ind w:firstLine="708"/>
        <w:jc w:val="both"/>
      </w:pPr>
      <w:r>
        <w:t>Pozostawienie analizowanego warunku dostępowego bez zmian, będ</w:t>
      </w:r>
      <w:r w:rsidR="00582FD7">
        <w:t>zie swego rodzaju usankcjonowanie</w:t>
      </w:r>
      <w:r>
        <w:t>m</w:t>
      </w:r>
      <w:r w:rsidR="00582FD7">
        <w:t xml:space="preserve"> zezwolenia na działania, które stoją w sprzeczności z logiką i zdrowym rozsądkiem narażając na szwank własność firmy CONECT. </w:t>
      </w:r>
      <w:r w:rsidR="00B20FC4">
        <w:t>Żaden z operatorów, nie wyobraża sobie narzuconego w ten sposób rozwiązania gdzie Prezes UKE daje przyzwolenie innemu operatorowi na to aby faktycznie wbrew istniejącym warunkom technicznym w jakich znajduje się infrastruktura na instalowanie kolejnych kabli, gdzie podczas tych czynności powst</w:t>
      </w:r>
      <w:r w:rsidR="00FC3180">
        <w:t>aną awarie i uszkodzenia sieci.</w:t>
      </w:r>
    </w:p>
    <w:p w:rsidR="00AF2769" w:rsidRDefault="00AF2769" w:rsidP="00A65687">
      <w:pPr>
        <w:spacing w:line="276" w:lineRule="auto"/>
        <w:jc w:val="both"/>
      </w:pPr>
    </w:p>
    <w:p w:rsidR="00AF2769" w:rsidRDefault="00AF2769" w:rsidP="00291487">
      <w:pPr>
        <w:spacing w:line="276" w:lineRule="auto"/>
        <w:ind w:firstLine="708"/>
        <w:jc w:val="both"/>
      </w:pPr>
      <w:r>
        <w:t xml:space="preserve">W związku z powyższym Prezes UKE przed wydaniem decyzji powinien ponownie przeanalizować </w:t>
      </w:r>
      <w:r w:rsidR="00FC3180">
        <w:t xml:space="preserve">kwestię opłaty dostępowej za kanalizację kablową nawet w kontekście innych tego typu regulacji. Podstawową kwestią jest natomiast potrzeba umorzenia postępowania             w zakresie dostępu do kanalizacji kablowej w celu montażu kolejnego kabla światłowodowego, podczas kiedy w kanalizacji znajdują się już kable światłowodowe                    z włóknami światłowodowymi gotowymi do udostępnienia. Poza możliwością umorzenia postępowania Prezes UKE mógłby również wprowadzić do regulacji dotyczącej udostępnienia kanalizacji kablowej zapis, który warunkował by takie rozwiązanie i obowiązek CONECT w sytuacji, kiedy warunki techniczne istniejącej infrastruktury teletechnicznej na to pozwolą. </w:t>
      </w:r>
    </w:p>
    <w:p w:rsidR="00291487" w:rsidRDefault="00291487" w:rsidP="00A65687">
      <w:pPr>
        <w:spacing w:line="276" w:lineRule="auto"/>
        <w:jc w:val="both"/>
      </w:pPr>
    </w:p>
    <w:p w:rsidR="00793CF3" w:rsidRDefault="00753DD3" w:rsidP="00520E1B">
      <w:pPr>
        <w:spacing w:line="276" w:lineRule="auto"/>
        <w:ind w:firstLine="708"/>
        <w:jc w:val="both"/>
      </w:pPr>
      <w:r>
        <w:t xml:space="preserve">Obecnie zaproponowane warunki, które zostały opisane w niniejszych konsultacjach nie zapewniają niedyskryminacyjnych i proporcjonalnych warunków dostępowych lekceważąc stanowisko CONECT i jednocześnie forsując stanowisko operatora SKRĘTKA. Naszym zdaniem takie działanie stoi całkowicie w sprzeczności z postanowieniami </w:t>
      </w:r>
      <w:r w:rsidR="00F46BB2">
        <w:t xml:space="preserve">określonymi w art. 22 Ustawy o wspieraniu rozwoju oraz </w:t>
      </w:r>
      <w:r w:rsidR="00F46BB2" w:rsidRPr="00F46BB2">
        <w:t>celami określonymi w art. 8 dyrektywy 2002</w:t>
      </w:r>
      <w:r w:rsidR="005067CB">
        <w:t>/21/WE Parlamentu Europejskiego</w:t>
      </w:r>
      <w:r w:rsidR="00F46BB2" w:rsidRPr="00F46BB2">
        <w:t xml:space="preserve"> i Rady z dnia 7 marca 2002 r. w sprawie wspólnych ram regulacyjnych sieci i usług łączności elektronicznej (dyrektywa ramowa) </w:t>
      </w:r>
      <w:r w:rsidR="006F7EFD">
        <w:t xml:space="preserve"> </w:t>
      </w:r>
      <w:r w:rsidR="00F46BB2" w:rsidRPr="00F46BB2">
        <w:t>(Dz. Urz. UE L 108 z 24.04.2002, str. 33, z późn. zm.)</w:t>
      </w:r>
      <w:r w:rsidR="00F46BB2">
        <w:t>.</w:t>
      </w:r>
    </w:p>
    <w:p w:rsidR="00793CF3" w:rsidRPr="00793CF3" w:rsidRDefault="00793CF3" w:rsidP="00793CF3"/>
    <w:p w:rsidR="00793CF3" w:rsidRPr="00793CF3" w:rsidRDefault="00793CF3" w:rsidP="00793CF3"/>
    <w:p w:rsidR="00793CF3" w:rsidRPr="00793CF3" w:rsidRDefault="00793CF3" w:rsidP="00793CF3"/>
    <w:p w:rsidR="00793CF3" w:rsidRDefault="00793CF3" w:rsidP="00793CF3"/>
    <w:p w:rsidR="00793CF3" w:rsidRDefault="00793CF3" w:rsidP="00793CF3"/>
    <w:p w:rsidR="006F7EFD" w:rsidRDefault="006F7EFD" w:rsidP="00793CF3"/>
    <w:p w:rsidR="006F7EFD" w:rsidRDefault="006F7EFD" w:rsidP="00793CF3"/>
    <w:p w:rsidR="00753DD3" w:rsidRPr="00793CF3" w:rsidRDefault="00793CF3" w:rsidP="00793CF3">
      <w:pPr>
        <w:tabs>
          <w:tab w:val="left" w:pos="5205"/>
        </w:tabs>
      </w:pPr>
      <w:r>
        <w:tab/>
      </w:r>
      <w:r w:rsidR="00230C5B">
        <w:t>Mateusz Dymitruk</w:t>
      </w:r>
    </w:p>
    <w:sectPr w:rsidR="00753DD3" w:rsidRPr="00793CF3" w:rsidSect="003748DF">
      <w:pgSz w:w="11906" w:h="16838"/>
      <w:pgMar w:top="709"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DB2056"/>
    <w:rsid w:val="00001286"/>
    <w:rsid w:val="00002FA3"/>
    <w:rsid w:val="00021748"/>
    <w:rsid w:val="000410D0"/>
    <w:rsid w:val="00074723"/>
    <w:rsid w:val="000940E1"/>
    <w:rsid w:val="000C4014"/>
    <w:rsid w:val="00110500"/>
    <w:rsid w:val="001843C1"/>
    <w:rsid w:val="001B6CD0"/>
    <w:rsid w:val="001C40CD"/>
    <w:rsid w:val="001D14E7"/>
    <w:rsid w:val="00230C5B"/>
    <w:rsid w:val="00264305"/>
    <w:rsid w:val="00291487"/>
    <w:rsid w:val="0031286E"/>
    <w:rsid w:val="00325AB2"/>
    <w:rsid w:val="003348C9"/>
    <w:rsid w:val="003748DF"/>
    <w:rsid w:val="003B5CC9"/>
    <w:rsid w:val="004032FF"/>
    <w:rsid w:val="00424CAE"/>
    <w:rsid w:val="004C6C49"/>
    <w:rsid w:val="004D343F"/>
    <w:rsid w:val="004E3EB0"/>
    <w:rsid w:val="004F16ED"/>
    <w:rsid w:val="005067CB"/>
    <w:rsid w:val="00520E1B"/>
    <w:rsid w:val="00524D93"/>
    <w:rsid w:val="00581A6A"/>
    <w:rsid w:val="00582F7D"/>
    <w:rsid w:val="00582FD7"/>
    <w:rsid w:val="00606F06"/>
    <w:rsid w:val="006850AA"/>
    <w:rsid w:val="006F7EFD"/>
    <w:rsid w:val="00753DD3"/>
    <w:rsid w:val="00793CF3"/>
    <w:rsid w:val="007A04A0"/>
    <w:rsid w:val="00803F42"/>
    <w:rsid w:val="00875A68"/>
    <w:rsid w:val="00877315"/>
    <w:rsid w:val="00886B15"/>
    <w:rsid w:val="008B7233"/>
    <w:rsid w:val="008C3785"/>
    <w:rsid w:val="009A0068"/>
    <w:rsid w:val="009B47D2"/>
    <w:rsid w:val="00A20BCA"/>
    <w:rsid w:val="00A65687"/>
    <w:rsid w:val="00AB1A78"/>
    <w:rsid w:val="00AF05D8"/>
    <w:rsid w:val="00AF2769"/>
    <w:rsid w:val="00B20FC4"/>
    <w:rsid w:val="00BA189C"/>
    <w:rsid w:val="00BD4E7F"/>
    <w:rsid w:val="00BD4E98"/>
    <w:rsid w:val="00C14C81"/>
    <w:rsid w:val="00C308B0"/>
    <w:rsid w:val="00C87BFB"/>
    <w:rsid w:val="00CF0817"/>
    <w:rsid w:val="00CF51B0"/>
    <w:rsid w:val="00D54F9C"/>
    <w:rsid w:val="00D80172"/>
    <w:rsid w:val="00D94318"/>
    <w:rsid w:val="00DB2056"/>
    <w:rsid w:val="00E25C4C"/>
    <w:rsid w:val="00E54DE0"/>
    <w:rsid w:val="00E63E7F"/>
    <w:rsid w:val="00EA6D02"/>
    <w:rsid w:val="00F46BB2"/>
    <w:rsid w:val="00F53C1A"/>
    <w:rsid w:val="00F57FED"/>
    <w:rsid w:val="00F81793"/>
    <w:rsid w:val="00FA1DBF"/>
    <w:rsid w:val="00FB4203"/>
    <w:rsid w:val="00FC1C6F"/>
    <w:rsid w:val="00FC277E"/>
    <w:rsid w:val="00FC3180"/>
    <w:rsid w:val="00FE509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D343F"/>
    <w:pPr>
      <w:widowControl w:val="0"/>
      <w:suppressAutoHyphens/>
    </w:pPr>
    <w:rPr>
      <w:rFonts w:ascii="Times New Roman" w:eastAsia="Lucida Sans Unicode" w:hAnsi="Times New Roman"/>
      <w:kern w:val="1"/>
      <w:sz w:val="24"/>
      <w:szCs w:val="24"/>
      <w:lang w:eastAsia="pl-PL"/>
    </w:rPr>
  </w:style>
  <w:style w:type="paragraph" w:styleId="Nagwek1">
    <w:name w:val="heading 1"/>
    <w:basedOn w:val="Normalny"/>
    <w:next w:val="Normalny"/>
    <w:link w:val="Nagwek1Znak"/>
    <w:uiPriority w:val="9"/>
    <w:qFormat/>
    <w:rsid w:val="00BA189C"/>
    <w:pPr>
      <w:keepNext/>
      <w:spacing w:before="240" w:after="60"/>
      <w:outlineLvl w:val="0"/>
    </w:pPr>
    <w:rPr>
      <w:rFonts w:asciiTheme="majorHAnsi" w:eastAsiaTheme="majorEastAsia" w:hAnsiTheme="majorHAnsi" w:cstheme="majorBidi"/>
      <w:b/>
      <w:bCs/>
      <w:kern w:val="32"/>
      <w:sz w:val="32"/>
      <w:szCs w:val="32"/>
    </w:rPr>
  </w:style>
  <w:style w:type="paragraph" w:styleId="Nagwek2">
    <w:name w:val="heading 2"/>
    <w:basedOn w:val="Normalny"/>
    <w:next w:val="Normalny"/>
    <w:link w:val="Nagwek2Znak"/>
    <w:uiPriority w:val="9"/>
    <w:unhideWhenUsed/>
    <w:qFormat/>
    <w:rsid w:val="00BA189C"/>
    <w:pPr>
      <w:keepNext/>
      <w:spacing w:before="240" w:after="60"/>
      <w:outlineLvl w:val="1"/>
    </w:pPr>
    <w:rPr>
      <w:rFonts w:asciiTheme="majorHAnsi" w:eastAsiaTheme="majorEastAsia" w:hAnsiTheme="majorHAnsi" w:cstheme="majorBidi"/>
      <w:b/>
      <w:bCs/>
      <w:i/>
      <w:iCs/>
      <w:sz w:val="28"/>
      <w:szCs w:val="28"/>
    </w:rPr>
  </w:style>
  <w:style w:type="paragraph" w:styleId="Nagwek3">
    <w:name w:val="heading 3"/>
    <w:basedOn w:val="Normalny"/>
    <w:next w:val="Normalny"/>
    <w:link w:val="Nagwek3Znak"/>
    <w:uiPriority w:val="9"/>
    <w:unhideWhenUsed/>
    <w:qFormat/>
    <w:rsid w:val="00BA189C"/>
    <w:pPr>
      <w:keepNext/>
      <w:spacing w:before="240" w:after="60"/>
      <w:outlineLvl w:val="2"/>
    </w:pPr>
    <w:rPr>
      <w:rFonts w:asciiTheme="majorHAnsi" w:eastAsiaTheme="majorEastAsia" w:hAnsiTheme="majorHAnsi" w:cstheme="majorBidi"/>
      <w:b/>
      <w:bCs/>
      <w:sz w:val="26"/>
      <w:szCs w:val="26"/>
    </w:rPr>
  </w:style>
  <w:style w:type="paragraph" w:styleId="Nagwek4">
    <w:name w:val="heading 4"/>
    <w:basedOn w:val="Normalny"/>
    <w:next w:val="Normalny"/>
    <w:link w:val="Nagwek4Znak"/>
    <w:uiPriority w:val="9"/>
    <w:unhideWhenUsed/>
    <w:qFormat/>
    <w:rsid w:val="00BA189C"/>
    <w:pPr>
      <w:keepNext/>
      <w:spacing w:before="240" w:after="60"/>
      <w:outlineLvl w:val="3"/>
    </w:pPr>
    <w:rPr>
      <w:rFonts w:asciiTheme="minorHAnsi" w:eastAsiaTheme="minorEastAsia" w:hAnsiTheme="minorHAnsi" w:cstheme="minorBidi"/>
      <w:b/>
      <w:bCs/>
      <w:sz w:val="28"/>
      <w:szCs w:val="28"/>
    </w:rPr>
  </w:style>
  <w:style w:type="paragraph" w:styleId="Nagwek5">
    <w:name w:val="heading 5"/>
    <w:basedOn w:val="Normalny"/>
    <w:next w:val="Normalny"/>
    <w:link w:val="Nagwek5Znak"/>
    <w:uiPriority w:val="9"/>
    <w:unhideWhenUsed/>
    <w:qFormat/>
    <w:rsid w:val="00BA189C"/>
    <w:pPr>
      <w:spacing w:before="240" w:after="60"/>
      <w:outlineLvl w:val="4"/>
    </w:pPr>
    <w:rPr>
      <w:rFonts w:asciiTheme="minorHAnsi" w:eastAsiaTheme="minorEastAsia" w:hAnsiTheme="minorHAnsi" w:cstheme="minorBidi"/>
      <w:b/>
      <w:bCs/>
      <w:i/>
      <w:iCs/>
      <w:sz w:val="26"/>
      <w:szCs w:val="26"/>
    </w:rPr>
  </w:style>
  <w:style w:type="paragraph" w:styleId="Nagwek8">
    <w:name w:val="heading 8"/>
    <w:basedOn w:val="Normalny"/>
    <w:next w:val="Normalny"/>
    <w:link w:val="Nagwek8Znak"/>
    <w:qFormat/>
    <w:rsid w:val="00BA189C"/>
    <w:pPr>
      <w:keepNext/>
      <w:spacing w:after="120"/>
      <w:ind w:left="-264" w:firstLine="264"/>
      <w:jc w:val="both"/>
      <w:outlineLvl w:val="7"/>
    </w:pPr>
    <w:rPr>
      <w:rFonts w:eastAsia="Times New Roman"/>
      <w:b/>
      <w:bCs/>
      <w:u w:val="single"/>
    </w:rPr>
  </w:style>
  <w:style w:type="paragraph" w:styleId="Nagwek9">
    <w:name w:val="heading 9"/>
    <w:basedOn w:val="Normalny"/>
    <w:next w:val="Normalny"/>
    <w:link w:val="Nagwek9Znak"/>
    <w:uiPriority w:val="9"/>
    <w:unhideWhenUsed/>
    <w:qFormat/>
    <w:rsid w:val="00BA189C"/>
    <w:pPr>
      <w:spacing w:before="240" w:after="60"/>
      <w:outlineLvl w:val="8"/>
    </w:pPr>
    <w:rPr>
      <w:rFonts w:asciiTheme="majorHAnsi" w:eastAsiaTheme="majorEastAsia" w:hAnsiTheme="majorHAnsi" w:cstheme="majorBid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A189C"/>
    <w:rPr>
      <w:rFonts w:asciiTheme="majorHAnsi" w:eastAsiaTheme="majorEastAsia" w:hAnsiTheme="majorHAnsi" w:cstheme="majorBidi"/>
      <w:b/>
      <w:bCs/>
      <w:kern w:val="32"/>
      <w:sz w:val="32"/>
      <w:szCs w:val="32"/>
    </w:rPr>
  </w:style>
  <w:style w:type="character" w:customStyle="1" w:styleId="Nagwek2Znak">
    <w:name w:val="Nagłówek 2 Znak"/>
    <w:basedOn w:val="Domylnaczcionkaakapitu"/>
    <w:link w:val="Nagwek2"/>
    <w:uiPriority w:val="9"/>
    <w:rsid w:val="00BA189C"/>
    <w:rPr>
      <w:rFonts w:asciiTheme="majorHAnsi" w:eastAsiaTheme="majorEastAsia" w:hAnsiTheme="majorHAnsi" w:cstheme="majorBidi"/>
      <w:b/>
      <w:bCs/>
      <w:i/>
      <w:iCs/>
      <w:sz w:val="28"/>
      <w:szCs w:val="28"/>
    </w:rPr>
  </w:style>
  <w:style w:type="character" w:customStyle="1" w:styleId="Nagwek3Znak">
    <w:name w:val="Nagłówek 3 Znak"/>
    <w:basedOn w:val="Domylnaczcionkaakapitu"/>
    <w:link w:val="Nagwek3"/>
    <w:uiPriority w:val="9"/>
    <w:rsid w:val="00BA189C"/>
    <w:rPr>
      <w:rFonts w:asciiTheme="majorHAnsi" w:eastAsiaTheme="majorEastAsia" w:hAnsiTheme="majorHAnsi" w:cstheme="majorBidi"/>
      <w:b/>
      <w:bCs/>
      <w:sz w:val="26"/>
      <w:szCs w:val="26"/>
    </w:rPr>
  </w:style>
  <w:style w:type="character" w:customStyle="1" w:styleId="Nagwek4Znak">
    <w:name w:val="Nagłówek 4 Znak"/>
    <w:basedOn w:val="Domylnaczcionkaakapitu"/>
    <w:link w:val="Nagwek4"/>
    <w:uiPriority w:val="9"/>
    <w:rsid w:val="00BA189C"/>
    <w:rPr>
      <w:rFonts w:asciiTheme="minorHAnsi" w:eastAsiaTheme="minorEastAsia" w:hAnsiTheme="minorHAnsi" w:cstheme="minorBidi"/>
      <w:b/>
      <w:bCs/>
      <w:sz w:val="28"/>
      <w:szCs w:val="28"/>
    </w:rPr>
  </w:style>
  <w:style w:type="character" w:customStyle="1" w:styleId="Nagwek5Znak">
    <w:name w:val="Nagłówek 5 Znak"/>
    <w:basedOn w:val="Domylnaczcionkaakapitu"/>
    <w:link w:val="Nagwek5"/>
    <w:uiPriority w:val="9"/>
    <w:rsid w:val="00BA189C"/>
    <w:rPr>
      <w:rFonts w:asciiTheme="minorHAnsi" w:eastAsiaTheme="minorEastAsia" w:hAnsiTheme="minorHAnsi" w:cstheme="minorBidi"/>
      <w:b/>
      <w:bCs/>
      <w:i/>
      <w:iCs/>
      <w:sz w:val="26"/>
      <w:szCs w:val="26"/>
    </w:rPr>
  </w:style>
  <w:style w:type="character" w:customStyle="1" w:styleId="Nagwek8Znak">
    <w:name w:val="Nagłówek 8 Znak"/>
    <w:link w:val="Nagwek8"/>
    <w:rsid w:val="00BA189C"/>
    <w:rPr>
      <w:rFonts w:ascii="Times New Roman" w:eastAsia="Times New Roman" w:hAnsi="Times New Roman"/>
      <w:b/>
      <w:bCs/>
      <w:sz w:val="24"/>
      <w:szCs w:val="24"/>
      <w:u w:val="single"/>
    </w:rPr>
  </w:style>
  <w:style w:type="character" w:customStyle="1" w:styleId="Nagwek9Znak">
    <w:name w:val="Nagłówek 9 Znak"/>
    <w:basedOn w:val="Domylnaczcionkaakapitu"/>
    <w:link w:val="Nagwek9"/>
    <w:uiPriority w:val="9"/>
    <w:rsid w:val="00BA189C"/>
    <w:rPr>
      <w:rFonts w:asciiTheme="majorHAnsi" w:eastAsiaTheme="majorEastAsia" w:hAnsiTheme="majorHAnsi" w:cstheme="majorBidi"/>
      <w:sz w:val="22"/>
      <w:szCs w:val="22"/>
    </w:rPr>
  </w:style>
  <w:style w:type="paragraph" w:styleId="Podtytu">
    <w:name w:val="Subtitle"/>
    <w:basedOn w:val="Normalny"/>
    <w:next w:val="Normalny"/>
    <w:link w:val="PodtytuZnak"/>
    <w:uiPriority w:val="11"/>
    <w:qFormat/>
    <w:rsid w:val="00BA189C"/>
    <w:pPr>
      <w:spacing w:after="60"/>
      <w:jc w:val="center"/>
      <w:outlineLvl w:val="1"/>
    </w:pPr>
    <w:rPr>
      <w:rFonts w:asciiTheme="majorHAnsi" w:eastAsiaTheme="majorEastAsia" w:hAnsiTheme="majorHAnsi" w:cstheme="majorBidi"/>
    </w:rPr>
  </w:style>
  <w:style w:type="character" w:customStyle="1" w:styleId="PodtytuZnak">
    <w:name w:val="Podtytuł Znak"/>
    <w:basedOn w:val="Domylnaczcionkaakapitu"/>
    <w:link w:val="Podtytu"/>
    <w:uiPriority w:val="11"/>
    <w:rsid w:val="00BA189C"/>
    <w:rPr>
      <w:rFonts w:asciiTheme="majorHAnsi" w:eastAsiaTheme="majorEastAsia" w:hAnsiTheme="majorHAnsi" w:cstheme="majorBidi"/>
      <w:sz w:val="24"/>
      <w:szCs w:val="24"/>
    </w:rPr>
  </w:style>
  <w:style w:type="character" w:styleId="Uwydatnienie">
    <w:name w:val="Emphasis"/>
    <w:basedOn w:val="Domylnaczcionkaakapitu"/>
    <w:uiPriority w:val="20"/>
    <w:qFormat/>
    <w:rsid w:val="00BA189C"/>
    <w:rPr>
      <w:i/>
      <w:iCs/>
    </w:rPr>
  </w:style>
  <w:style w:type="paragraph" w:styleId="Bezodstpw">
    <w:name w:val="No Spacing"/>
    <w:uiPriority w:val="1"/>
    <w:qFormat/>
    <w:rsid w:val="00BA189C"/>
    <w:rPr>
      <w:sz w:val="22"/>
      <w:szCs w:val="22"/>
    </w:rPr>
  </w:style>
  <w:style w:type="character" w:styleId="Wyrnieniedelikatne">
    <w:name w:val="Subtle Emphasis"/>
    <w:basedOn w:val="Domylnaczcionkaakapitu"/>
    <w:uiPriority w:val="19"/>
    <w:qFormat/>
    <w:rsid w:val="00BA189C"/>
    <w:rPr>
      <w:i/>
      <w:iCs/>
      <w:color w:val="808080" w:themeColor="text1" w:themeTint="7F"/>
    </w:rPr>
  </w:style>
  <w:style w:type="character" w:styleId="Wyrnienieintensywne">
    <w:name w:val="Intense Emphasis"/>
    <w:basedOn w:val="Domylnaczcionkaakapitu"/>
    <w:uiPriority w:val="21"/>
    <w:qFormat/>
    <w:rsid w:val="00BA189C"/>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D343F"/>
    <w:pPr>
      <w:widowControl w:val="0"/>
      <w:suppressAutoHyphens/>
    </w:pPr>
    <w:rPr>
      <w:rFonts w:ascii="Times New Roman" w:eastAsia="Lucida Sans Unicode" w:hAnsi="Times New Roman"/>
      <w:kern w:val="1"/>
      <w:sz w:val="24"/>
      <w:szCs w:val="24"/>
      <w:lang w:eastAsia="pl-PL"/>
    </w:rPr>
  </w:style>
  <w:style w:type="paragraph" w:styleId="Nagwek1">
    <w:name w:val="heading 1"/>
    <w:basedOn w:val="Normalny"/>
    <w:next w:val="Normalny"/>
    <w:link w:val="Nagwek1Znak"/>
    <w:uiPriority w:val="9"/>
    <w:qFormat/>
    <w:rsid w:val="00BA189C"/>
    <w:pPr>
      <w:keepNext/>
      <w:spacing w:before="240" w:after="60"/>
      <w:outlineLvl w:val="0"/>
    </w:pPr>
    <w:rPr>
      <w:rFonts w:asciiTheme="majorHAnsi" w:eastAsiaTheme="majorEastAsia" w:hAnsiTheme="majorHAnsi" w:cstheme="majorBidi"/>
      <w:b/>
      <w:bCs/>
      <w:kern w:val="32"/>
      <w:sz w:val="32"/>
      <w:szCs w:val="32"/>
    </w:rPr>
  </w:style>
  <w:style w:type="paragraph" w:styleId="Nagwek2">
    <w:name w:val="heading 2"/>
    <w:basedOn w:val="Normalny"/>
    <w:next w:val="Normalny"/>
    <w:link w:val="Nagwek2Znak"/>
    <w:uiPriority w:val="9"/>
    <w:unhideWhenUsed/>
    <w:qFormat/>
    <w:rsid w:val="00BA189C"/>
    <w:pPr>
      <w:keepNext/>
      <w:spacing w:before="240" w:after="60"/>
      <w:outlineLvl w:val="1"/>
    </w:pPr>
    <w:rPr>
      <w:rFonts w:asciiTheme="majorHAnsi" w:eastAsiaTheme="majorEastAsia" w:hAnsiTheme="majorHAnsi" w:cstheme="majorBidi"/>
      <w:b/>
      <w:bCs/>
      <w:i/>
      <w:iCs/>
      <w:sz w:val="28"/>
      <w:szCs w:val="28"/>
    </w:rPr>
  </w:style>
  <w:style w:type="paragraph" w:styleId="Nagwek3">
    <w:name w:val="heading 3"/>
    <w:basedOn w:val="Normalny"/>
    <w:next w:val="Normalny"/>
    <w:link w:val="Nagwek3Znak"/>
    <w:uiPriority w:val="9"/>
    <w:unhideWhenUsed/>
    <w:qFormat/>
    <w:rsid w:val="00BA189C"/>
    <w:pPr>
      <w:keepNext/>
      <w:spacing w:before="240" w:after="60"/>
      <w:outlineLvl w:val="2"/>
    </w:pPr>
    <w:rPr>
      <w:rFonts w:asciiTheme="majorHAnsi" w:eastAsiaTheme="majorEastAsia" w:hAnsiTheme="majorHAnsi" w:cstheme="majorBidi"/>
      <w:b/>
      <w:bCs/>
      <w:sz w:val="26"/>
      <w:szCs w:val="26"/>
    </w:rPr>
  </w:style>
  <w:style w:type="paragraph" w:styleId="Nagwek4">
    <w:name w:val="heading 4"/>
    <w:basedOn w:val="Normalny"/>
    <w:next w:val="Normalny"/>
    <w:link w:val="Nagwek4Znak"/>
    <w:uiPriority w:val="9"/>
    <w:unhideWhenUsed/>
    <w:qFormat/>
    <w:rsid w:val="00BA189C"/>
    <w:pPr>
      <w:keepNext/>
      <w:spacing w:before="240" w:after="60"/>
      <w:outlineLvl w:val="3"/>
    </w:pPr>
    <w:rPr>
      <w:rFonts w:asciiTheme="minorHAnsi" w:eastAsiaTheme="minorEastAsia" w:hAnsiTheme="minorHAnsi" w:cstheme="minorBidi"/>
      <w:b/>
      <w:bCs/>
      <w:sz w:val="28"/>
      <w:szCs w:val="28"/>
    </w:rPr>
  </w:style>
  <w:style w:type="paragraph" w:styleId="Nagwek5">
    <w:name w:val="heading 5"/>
    <w:basedOn w:val="Normalny"/>
    <w:next w:val="Normalny"/>
    <w:link w:val="Nagwek5Znak"/>
    <w:uiPriority w:val="9"/>
    <w:unhideWhenUsed/>
    <w:qFormat/>
    <w:rsid w:val="00BA189C"/>
    <w:pPr>
      <w:spacing w:before="240" w:after="60"/>
      <w:outlineLvl w:val="4"/>
    </w:pPr>
    <w:rPr>
      <w:rFonts w:asciiTheme="minorHAnsi" w:eastAsiaTheme="minorEastAsia" w:hAnsiTheme="minorHAnsi" w:cstheme="minorBidi"/>
      <w:b/>
      <w:bCs/>
      <w:i/>
      <w:iCs/>
      <w:sz w:val="26"/>
      <w:szCs w:val="26"/>
    </w:rPr>
  </w:style>
  <w:style w:type="paragraph" w:styleId="Nagwek8">
    <w:name w:val="heading 8"/>
    <w:basedOn w:val="Normalny"/>
    <w:next w:val="Normalny"/>
    <w:link w:val="Nagwek8Znak"/>
    <w:qFormat/>
    <w:rsid w:val="00BA189C"/>
    <w:pPr>
      <w:keepNext/>
      <w:spacing w:after="120"/>
      <w:ind w:left="-264" w:firstLine="264"/>
      <w:jc w:val="both"/>
      <w:outlineLvl w:val="7"/>
    </w:pPr>
    <w:rPr>
      <w:rFonts w:eastAsia="Times New Roman"/>
      <w:b/>
      <w:bCs/>
      <w:u w:val="single"/>
    </w:rPr>
  </w:style>
  <w:style w:type="paragraph" w:styleId="Nagwek9">
    <w:name w:val="heading 9"/>
    <w:basedOn w:val="Normalny"/>
    <w:next w:val="Normalny"/>
    <w:link w:val="Nagwek9Znak"/>
    <w:uiPriority w:val="9"/>
    <w:unhideWhenUsed/>
    <w:qFormat/>
    <w:rsid w:val="00BA189C"/>
    <w:pPr>
      <w:spacing w:before="240" w:after="60"/>
      <w:outlineLvl w:val="8"/>
    </w:pPr>
    <w:rPr>
      <w:rFonts w:asciiTheme="majorHAnsi" w:eastAsiaTheme="majorEastAsia" w:hAnsiTheme="majorHAnsi" w:cstheme="majorBid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A189C"/>
    <w:rPr>
      <w:rFonts w:asciiTheme="majorHAnsi" w:eastAsiaTheme="majorEastAsia" w:hAnsiTheme="majorHAnsi" w:cstheme="majorBidi"/>
      <w:b/>
      <w:bCs/>
      <w:kern w:val="32"/>
      <w:sz w:val="32"/>
      <w:szCs w:val="32"/>
    </w:rPr>
  </w:style>
  <w:style w:type="character" w:customStyle="1" w:styleId="Nagwek2Znak">
    <w:name w:val="Nagłówek 2 Znak"/>
    <w:basedOn w:val="Domylnaczcionkaakapitu"/>
    <w:link w:val="Nagwek2"/>
    <w:uiPriority w:val="9"/>
    <w:rsid w:val="00BA189C"/>
    <w:rPr>
      <w:rFonts w:asciiTheme="majorHAnsi" w:eastAsiaTheme="majorEastAsia" w:hAnsiTheme="majorHAnsi" w:cstheme="majorBidi"/>
      <w:b/>
      <w:bCs/>
      <w:i/>
      <w:iCs/>
      <w:sz w:val="28"/>
      <w:szCs w:val="28"/>
    </w:rPr>
  </w:style>
  <w:style w:type="character" w:customStyle="1" w:styleId="Nagwek3Znak">
    <w:name w:val="Nagłówek 3 Znak"/>
    <w:basedOn w:val="Domylnaczcionkaakapitu"/>
    <w:link w:val="Nagwek3"/>
    <w:uiPriority w:val="9"/>
    <w:rsid w:val="00BA189C"/>
    <w:rPr>
      <w:rFonts w:asciiTheme="majorHAnsi" w:eastAsiaTheme="majorEastAsia" w:hAnsiTheme="majorHAnsi" w:cstheme="majorBidi"/>
      <w:b/>
      <w:bCs/>
      <w:sz w:val="26"/>
      <w:szCs w:val="26"/>
    </w:rPr>
  </w:style>
  <w:style w:type="character" w:customStyle="1" w:styleId="Nagwek4Znak">
    <w:name w:val="Nagłówek 4 Znak"/>
    <w:basedOn w:val="Domylnaczcionkaakapitu"/>
    <w:link w:val="Nagwek4"/>
    <w:uiPriority w:val="9"/>
    <w:rsid w:val="00BA189C"/>
    <w:rPr>
      <w:rFonts w:asciiTheme="minorHAnsi" w:eastAsiaTheme="minorEastAsia" w:hAnsiTheme="minorHAnsi" w:cstheme="minorBidi"/>
      <w:b/>
      <w:bCs/>
      <w:sz w:val="28"/>
      <w:szCs w:val="28"/>
    </w:rPr>
  </w:style>
  <w:style w:type="character" w:customStyle="1" w:styleId="Nagwek5Znak">
    <w:name w:val="Nagłówek 5 Znak"/>
    <w:basedOn w:val="Domylnaczcionkaakapitu"/>
    <w:link w:val="Nagwek5"/>
    <w:uiPriority w:val="9"/>
    <w:rsid w:val="00BA189C"/>
    <w:rPr>
      <w:rFonts w:asciiTheme="minorHAnsi" w:eastAsiaTheme="minorEastAsia" w:hAnsiTheme="minorHAnsi" w:cstheme="minorBidi"/>
      <w:b/>
      <w:bCs/>
      <w:i/>
      <w:iCs/>
      <w:sz w:val="26"/>
      <w:szCs w:val="26"/>
    </w:rPr>
  </w:style>
  <w:style w:type="character" w:customStyle="1" w:styleId="Nagwek8Znak">
    <w:name w:val="Nagłówek 8 Znak"/>
    <w:link w:val="Nagwek8"/>
    <w:rsid w:val="00BA189C"/>
    <w:rPr>
      <w:rFonts w:ascii="Times New Roman" w:eastAsia="Times New Roman" w:hAnsi="Times New Roman"/>
      <w:b/>
      <w:bCs/>
      <w:sz w:val="24"/>
      <w:szCs w:val="24"/>
      <w:u w:val="single"/>
    </w:rPr>
  </w:style>
  <w:style w:type="character" w:customStyle="1" w:styleId="Nagwek9Znak">
    <w:name w:val="Nagłówek 9 Znak"/>
    <w:basedOn w:val="Domylnaczcionkaakapitu"/>
    <w:link w:val="Nagwek9"/>
    <w:uiPriority w:val="9"/>
    <w:rsid w:val="00BA189C"/>
    <w:rPr>
      <w:rFonts w:asciiTheme="majorHAnsi" w:eastAsiaTheme="majorEastAsia" w:hAnsiTheme="majorHAnsi" w:cstheme="majorBidi"/>
      <w:sz w:val="22"/>
      <w:szCs w:val="22"/>
    </w:rPr>
  </w:style>
  <w:style w:type="paragraph" w:styleId="Podtytu">
    <w:name w:val="Subtitle"/>
    <w:basedOn w:val="Normalny"/>
    <w:next w:val="Normalny"/>
    <w:link w:val="PodtytuZnak"/>
    <w:uiPriority w:val="11"/>
    <w:qFormat/>
    <w:rsid w:val="00BA189C"/>
    <w:pPr>
      <w:spacing w:after="60"/>
      <w:jc w:val="center"/>
      <w:outlineLvl w:val="1"/>
    </w:pPr>
    <w:rPr>
      <w:rFonts w:asciiTheme="majorHAnsi" w:eastAsiaTheme="majorEastAsia" w:hAnsiTheme="majorHAnsi" w:cstheme="majorBidi"/>
    </w:rPr>
  </w:style>
  <w:style w:type="character" w:customStyle="1" w:styleId="PodtytuZnak">
    <w:name w:val="Podtytuł Znak"/>
    <w:basedOn w:val="Domylnaczcionkaakapitu"/>
    <w:link w:val="Podtytu"/>
    <w:uiPriority w:val="11"/>
    <w:rsid w:val="00BA189C"/>
    <w:rPr>
      <w:rFonts w:asciiTheme="majorHAnsi" w:eastAsiaTheme="majorEastAsia" w:hAnsiTheme="majorHAnsi" w:cstheme="majorBidi"/>
      <w:sz w:val="24"/>
      <w:szCs w:val="24"/>
    </w:rPr>
  </w:style>
  <w:style w:type="character" w:styleId="Uwydatnienie">
    <w:name w:val="Emphasis"/>
    <w:basedOn w:val="Domylnaczcionkaakapitu"/>
    <w:uiPriority w:val="20"/>
    <w:qFormat/>
    <w:rsid w:val="00BA189C"/>
    <w:rPr>
      <w:i/>
      <w:iCs/>
    </w:rPr>
  </w:style>
  <w:style w:type="paragraph" w:styleId="Bezodstpw">
    <w:name w:val="No Spacing"/>
    <w:uiPriority w:val="1"/>
    <w:qFormat/>
    <w:rsid w:val="00BA189C"/>
    <w:rPr>
      <w:sz w:val="22"/>
      <w:szCs w:val="22"/>
    </w:rPr>
  </w:style>
  <w:style w:type="character" w:styleId="Wyrnieniedelikatne">
    <w:name w:val="Subtle Emphasis"/>
    <w:basedOn w:val="Domylnaczcionkaakapitu"/>
    <w:uiPriority w:val="19"/>
    <w:qFormat/>
    <w:rsid w:val="00BA189C"/>
    <w:rPr>
      <w:i/>
      <w:iCs/>
      <w:color w:val="808080" w:themeColor="text1" w:themeTint="7F"/>
    </w:rPr>
  </w:style>
  <w:style w:type="character" w:styleId="Wyrnienieintensywne">
    <w:name w:val="Intense Emphasis"/>
    <w:basedOn w:val="Domylnaczcionkaakapitu"/>
    <w:uiPriority w:val="21"/>
    <w:qFormat/>
    <w:rsid w:val="00BA189C"/>
    <w:rPr>
      <w:b/>
      <w:bCs/>
      <w:i/>
      <w:iCs/>
      <w:color w:val="4F81BD" w:themeColor="accent1"/>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604E9D-C0C8-4A98-B22A-11777E78B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2009</Words>
  <Characters>12058</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Piotr</dc:creator>
  <cp:lastModifiedBy>Dorota Gasiorowska</cp:lastModifiedBy>
  <cp:revision>2</cp:revision>
  <dcterms:created xsi:type="dcterms:W3CDTF">2017-08-16T07:42:00Z</dcterms:created>
  <dcterms:modified xsi:type="dcterms:W3CDTF">2017-08-16T07:42:00Z</dcterms:modified>
</cp:coreProperties>
</file>